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400BA8C" w14:textId="18A714A1" w:rsidR="00222AC1" w:rsidRPr="009C52C4" w:rsidRDefault="00222AC1" w:rsidP="00222AC1">
      <w:pPr>
        <w:tabs>
          <w:tab w:val="left" w:pos="1843"/>
        </w:tabs>
        <w:spacing w:line="360" w:lineRule="auto"/>
        <w:ind w:left="-142"/>
        <w:jc w:val="right"/>
        <w:rPr>
          <w:rFonts w:ascii="Times New Roman" w:eastAsia="Times New Roman" w:hAnsi="Times New Roman" w:cs="Times New Roman"/>
          <w:color w:val="auto"/>
          <w:sz w:val="24"/>
          <w:szCs w:val="24"/>
        </w:rPr>
      </w:pPr>
      <w:bookmarkStart w:id="0" w:name="_GoBack"/>
      <w:bookmarkEnd w:id="0"/>
      <w:r w:rsidRPr="009C52C4">
        <w:rPr>
          <w:rFonts w:ascii="Times New Roman" w:eastAsia="Times New Roman" w:hAnsi="Times New Roman" w:cs="Times New Roman"/>
          <w:color w:val="auto"/>
          <w:sz w:val="24"/>
          <w:szCs w:val="24"/>
        </w:rPr>
        <w:t>Prijedlog</w:t>
      </w:r>
    </w:p>
    <w:p w14:paraId="0F41B721" w14:textId="77777777" w:rsidR="00222AC1" w:rsidRPr="009C52C4" w:rsidRDefault="00222AC1" w:rsidP="007B2AEA">
      <w:pPr>
        <w:tabs>
          <w:tab w:val="left" w:pos="1843"/>
        </w:tabs>
        <w:spacing w:line="360" w:lineRule="auto"/>
        <w:ind w:left="-142"/>
        <w:jc w:val="center"/>
        <w:rPr>
          <w:rFonts w:ascii="Times New Roman" w:eastAsia="Times New Roman" w:hAnsi="Times New Roman" w:cs="Times New Roman"/>
          <w:color w:val="auto"/>
          <w:sz w:val="24"/>
          <w:szCs w:val="24"/>
        </w:rPr>
      </w:pPr>
    </w:p>
    <w:p w14:paraId="3F78C095" w14:textId="5CCF1411" w:rsidR="00F35652" w:rsidRPr="009C52C4" w:rsidRDefault="00F35652" w:rsidP="007B2AEA">
      <w:pPr>
        <w:tabs>
          <w:tab w:val="left" w:pos="1843"/>
        </w:tabs>
        <w:spacing w:line="360" w:lineRule="auto"/>
        <w:ind w:left="-142"/>
        <w:jc w:val="cente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t>MINISTARSTVO GRADITELJSTVA I PROSTORNOGA UREĐENJA</w:t>
      </w:r>
    </w:p>
    <w:p w14:paraId="53578AC2" w14:textId="60731E59"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3B602F6C" w14:textId="74081C12"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7629D692" w14:textId="3E199EF1"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77F35FC9" w14:textId="4EAE92DC"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1A44F10B" w14:textId="61DFF4C8"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67BE88ED" w14:textId="1397D7FF"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43461AB1" w14:textId="737AD5F5"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01EC6EFC" w14:textId="77777777" w:rsidR="00F35652" w:rsidRPr="009C52C4" w:rsidRDefault="00F35652" w:rsidP="00F35652">
      <w:pPr>
        <w:tabs>
          <w:tab w:val="left" w:pos="1843"/>
        </w:tabs>
        <w:spacing w:line="360" w:lineRule="auto"/>
        <w:jc w:val="center"/>
        <w:rPr>
          <w:rFonts w:ascii="Times New Roman" w:eastAsia="Times New Roman" w:hAnsi="Times New Roman" w:cs="Times New Roman"/>
          <w:color w:val="auto"/>
          <w:sz w:val="24"/>
          <w:szCs w:val="24"/>
        </w:rPr>
      </w:pPr>
    </w:p>
    <w:p w14:paraId="1E077849" w14:textId="77777777" w:rsidR="00F35652" w:rsidRPr="009C52C4" w:rsidRDefault="00F35652" w:rsidP="00F35652">
      <w:pPr>
        <w:tabs>
          <w:tab w:val="left" w:pos="1843"/>
        </w:tabs>
        <w:spacing w:line="360" w:lineRule="auto"/>
        <w:jc w:val="center"/>
        <w:rPr>
          <w:rFonts w:ascii="Times New Roman" w:eastAsia="Times New Roman" w:hAnsi="Times New Roman" w:cs="Times New Roman"/>
          <w:color w:val="auto"/>
          <w:sz w:val="24"/>
          <w:szCs w:val="24"/>
        </w:rPr>
      </w:pPr>
    </w:p>
    <w:p w14:paraId="15760B8B" w14:textId="77777777" w:rsidR="00F35652" w:rsidRPr="009C52C4" w:rsidRDefault="00F35652" w:rsidP="00F35652">
      <w:pPr>
        <w:tabs>
          <w:tab w:val="left" w:pos="1843"/>
        </w:tabs>
        <w:spacing w:line="360" w:lineRule="auto"/>
        <w:jc w:val="center"/>
        <w:rPr>
          <w:rFonts w:ascii="Times New Roman" w:eastAsia="Times New Roman" w:hAnsi="Times New Roman" w:cs="Times New Roman"/>
          <w:color w:val="auto"/>
          <w:sz w:val="24"/>
          <w:szCs w:val="24"/>
        </w:rPr>
      </w:pPr>
    </w:p>
    <w:p w14:paraId="26712209" w14:textId="77777777" w:rsidR="00F35652" w:rsidRPr="009C52C4" w:rsidRDefault="00F35652" w:rsidP="00F35652">
      <w:pPr>
        <w:tabs>
          <w:tab w:val="left" w:pos="1843"/>
        </w:tabs>
        <w:spacing w:line="360" w:lineRule="auto"/>
        <w:jc w:val="center"/>
        <w:rPr>
          <w:rFonts w:ascii="Times New Roman" w:eastAsia="Times New Roman" w:hAnsi="Times New Roman" w:cs="Times New Roman"/>
          <w:color w:val="auto"/>
          <w:sz w:val="24"/>
          <w:szCs w:val="24"/>
        </w:rPr>
      </w:pPr>
    </w:p>
    <w:p w14:paraId="4A6F1A27" w14:textId="2C9D8070"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t>Dugoročn</w:t>
      </w:r>
      <w:r w:rsidR="00026C1C" w:rsidRPr="009C52C4">
        <w:rPr>
          <w:rFonts w:ascii="Times New Roman" w:eastAsia="Times New Roman" w:hAnsi="Times New Roman" w:cs="Times New Roman"/>
          <w:color w:val="auto"/>
          <w:sz w:val="24"/>
          <w:szCs w:val="24"/>
        </w:rPr>
        <w:t>a</w:t>
      </w:r>
      <w:r w:rsidRPr="009C52C4">
        <w:rPr>
          <w:rFonts w:ascii="Times New Roman" w:eastAsia="Times New Roman" w:hAnsi="Times New Roman" w:cs="Times New Roman"/>
          <w:color w:val="auto"/>
          <w:sz w:val="24"/>
          <w:szCs w:val="24"/>
        </w:rPr>
        <w:t xml:space="preserve"> strategij</w:t>
      </w:r>
      <w:r w:rsidR="00026C1C" w:rsidRPr="009C52C4">
        <w:rPr>
          <w:rFonts w:ascii="Times New Roman" w:eastAsia="Times New Roman" w:hAnsi="Times New Roman" w:cs="Times New Roman"/>
          <w:color w:val="auto"/>
          <w:sz w:val="24"/>
          <w:szCs w:val="24"/>
        </w:rPr>
        <w:t>a</w:t>
      </w:r>
      <w:r w:rsidRPr="009C52C4">
        <w:rPr>
          <w:rFonts w:ascii="Times New Roman" w:eastAsia="Times New Roman" w:hAnsi="Times New Roman" w:cs="Times New Roman"/>
          <w:color w:val="auto"/>
          <w:sz w:val="24"/>
          <w:szCs w:val="24"/>
        </w:rPr>
        <w:t xml:space="preserve"> za poticanje ulaganja u obnovu nacionalnog fonda zgrada Republike Hrvatske</w:t>
      </w:r>
    </w:p>
    <w:p w14:paraId="17A25085" w14:textId="48F7ABCC"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608694C3" w14:textId="2605ED02"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4C623C58" w14:textId="6FB1D4E8"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1441B96D" w14:textId="387348DD"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39BF1DF4" w14:textId="73ECE10B"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6182672B" w14:textId="62BCC658" w:rsidR="00F35652" w:rsidRPr="009C52C4" w:rsidRDefault="00F35652" w:rsidP="00026C1C">
      <w:pPr>
        <w:tabs>
          <w:tab w:val="left" w:pos="1843"/>
        </w:tabs>
        <w:spacing w:line="360" w:lineRule="auto"/>
        <w:jc w:val="center"/>
        <w:rPr>
          <w:rFonts w:ascii="Times New Roman" w:eastAsia="Times New Roman" w:hAnsi="Times New Roman" w:cs="Times New Roman"/>
          <w:color w:val="auto"/>
          <w:sz w:val="24"/>
          <w:szCs w:val="24"/>
        </w:rPr>
      </w:pPr>
    </w:p>
    <w:p w14:paraId="7F12031E" w14:textId="710E9E57"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58DD66F7" w14:textId="40C3F935"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393C3A2D" w14:textId="5690949B"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03A1EA5C" w14:textId="75A87C0C"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5BABD424" w14:textId="69F6459D"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27D97E64" w14:textId="5DD27A73"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6EB0697D" w14:textId="00CBC6D7"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2497E546" w14:textId="724366A0"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1EC4F64F" w14:textId="0529FF68" w:rsidR="00F35652" w:rsidRPr="009C52C4" w:rsidRDefault="00F35652" w:rsidP="00906D61">
      <w:pPr>
        <w:tabs>
          <w:tab w:val="left" w:pos="1843"/>
        </w:tabs>
        <w:spacing w:line="360" w:lineRule="auto"/>
        <w:jc w:val="left"/>
        <w:rPr>
          <w:rFonts w:ascii="Times New Roman" w:eastAsia="Times New Roman" w:hAnsi="Times New Roman" w:cs="Times New Roman"/>
          <w:color w:val="auto"/>
          <w:sz w:val="24"/>
          <w:szCs w:val="24"/>
        </w:rPr>
      </w:pPr>
    </w:p>
    <w:p w14:paraId="6C1A22AA" w14:textId="0EC10BED" w:rsidR="00F35652" w:rsidRPr="009C52C4" w:rsidRDefault="00F35652" w:rsidP="00F35652">
      <w:pPr>
        <w:tabs>
          <w:tab w:val="left" w:pos="1843"/>
        </w:tabs>
        <w:spacing w:line="360" w:lineRule="auto"/>
        <w:jc w:val="cente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t xml:space="preserve">Zagreb, </w:t>
      </w:r>
      <w:r w:rsidR="00026C1C" w:rsidRPr="009C52C4">
        <w:rPr>
          <w:rFonts w:ascii="Times New Roman" w:eastAsia="Times New Roman" w:hAnsi="Times New Roman" w:cs="Times New Roman"/>
          <w:color w:val="auto"/>
          <w:sz w:val="24"/>
          <w:szCs w:val="24"/>
        </w:rPr>
        <w:t xml:space="preserve">ožujak </w:t>
      </w:r>
      <w:r w:rsidRPr="009C52C4">
        <w:rPr>
          <w:rFonts w:ascii="Times New Roman" w:eastAsia="Times New Roman" w:hAnsi="Times New Roman" w:cs="Times New Roman"/>
          <w:color w:val="auto"/>
          <w:sz w:val="24"/>
          <w:szCs w:val="24"/>
        </w:rPr>
        <w:t>201</w:t>
      </w:r>
      <w:r w:rsidR="00026C1C" w:rsidRPr="009C52C4">
        <w:rPr>
          <w:rFonts w:ascii="Times New Roman" w:eastAsia="Times New Roman" w:hAnsi="Times New Roman" w:cs="Times New Roman"/>
          <w:color w:val="auto"/>
          <w:sz w:val="24"/>
          <w:szCs w:val="24"/>
        </w:rPr>
        <w:t>9</w:t>
      </w:r>
      <w:r w:rsidRPr="009C52C4">
        <w:rPr>
          <w:rFonts w:ascii="Times New Roman" w:eastAsia="Times New Roman" w:hAnsi="Times New Roman" w:cs="Times New Roman"/>
          <w:color w:val="auto"/>
          <w:sz w:val="24"/>
          <w:szCs w:val="24"/>
        </w:rPr>
        <w:t>.</w:t>
      </w:r>
    </w:p>
    <w:p w14:paraId="7160F609" w14:textId="1726BCA1" w:rsidR="00A62920" w:rsidRPr="009C52C4" w:rsidRDefault="00A62920" w:rsidP="00906D61">
      <w:pPr>
        <w:tabs>
          <w:tab w:val="left" w:pos="1843"/>
        </w:tabs>
        <w:spacing w:line="360" w:lineRule="auto"/>
        <w:jc w:val="left"/>
        <w:rPr>
          <w:rFonts w:ascii="Times New Roman" w:eastAsia="Times New Roman" w:hAnsi="Times New Roman" w:cs="Times New Roman"/>
          <w:color w:val="auto"/>
          <w:sz w:val="24"/>
          <w:szCs w:val="24"/>
        </w:rPr>
      </w:pPr>
    </w:p>
    <w:p w14:paraId="31763AE1" w14:textId="7CAC2F46" w:rsidR="00F35652" w:rsidRPr="009C52C4" w:rsidRDefault="00A62920" w:rsidP="00A62920">
      <w:pP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br w:type="page"/>
      </w:r>
    </w:p>
    <w:sdt>
      <w:sdtPr>
        <w:rPr>
          <w:rFonts w:ascii="Times New Roman" w:eastAsia="Calibri" w:hAnsi="Times New Roman" w:cs="Times New Roman"/>
          <w:b w:val="0"/>
          <w:bCs w:val="0"/>
          <w:color w:val="000000"/>
          <w:sz w:val="24"/>
          <w:szCs w:val="24"/>
          <w:lang w:val="hr-HR" w:eastAsia="hr-HR"/>
        </w:rPr>
        <w:id w:val="2055423865"/>
        <w:docPartObj>
          <w:docPartGallery w:val="Table of Contents"/>
          <w:docPartUnique/>
        </w:docPartObj>
      </w:sdtPr>
      <w:sdtEndPr/>
      <w:sdtContent>
        <w:p w14:paraId="4FF35327" w14:textId="77777777" w:rsidR="00232B85" w:rsidRPr="009C52C4" w:rsidRDefault="00232B85">
          <w:pPr>
            <w:pStyle w:val="TOCHeading"/>
            <w:rPr>
              <w:rFonts w:ascii="Times New Roman" w:hAnsi="Times New Roman" w:cs="Times New Roman"/>
              <w:color w:val="auto"/>
              <w:sz w:val="24"/>
              <w:szCs w:val="24"/>
              <w:lang w:val="hr-HR"/>
            </w:rPr>
          </w:pPr>
          <w:r w:rsidRPr="009C52C4">
            <w:rPr>
              <w:rFonts w:ascii="Times New Roman" w:hAnsi="Times New Roman" w:cs="Times New Roman"/>
              <w:color w:val="auto"/>
              <w:sz w:val="24"/>
              <w:szCs w:val="24"/>
              <w:lang w:val="hr-HR"/>
            </w:rPr>
            <w:t>Sadržaj</w:t>
          </w:r>
        </w:p>
        <w:p w14:paraId="44C9D137" w14:textId="77777777" w:rsidR="00380BFF" w:rsidRPr="009C52C4" w:rsidRDefault="00380BFF" w:rsidP="00380BFF">
          <w:pPr>
            <w:rPr>
              <w:rFonts w:ascii="Times New Roman" w:hAnsi="Times New Roman" w:cs="Times New Roman"/>
              <w:sz w:val="24"/>
              <w:szCs w:val="24"/>
              <w:lang w:eastAsia="ja-JP"/>
            </w:rPr>
          </w:pPr>
        </w:p>
        <w:p w14:paraId="2AB1CE2A" w14:textId="50182E42" w:rsidR="00A62920" w:rsidRPr="009C52C4" w:rsidRDefault="00232B85">
          <w:pPr>
            <w:pStyle w:val="TOC1"/>
            <w:rPr>
              <w:rFonts w:ascii="Times New Roman" w:eastAsiaTheme="minorEastAsia" w:hAnsi="Times New Roman" w:cs="Times New Roman"/>
              <w:color w:val="auto"/>
              <w:sz w:val="24"/>
              <w:szCs w:val="24"/>
            </w:rPr>
          </w:pP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TOC \o "1-3" \h \z \u </w:instrText>
          </w:r>
          <w:r w:rsidRPr="009C52C4">
            <w:rPr>
              <w:rFonts w:ascii="Times New Roman" w:hAnsi="Times New Roman" w:cs="Times New Roman"/>
              <w:sz w:val="24"/>
              <w:szCs w:val="24"/>
            </w:rPr>
            <w:fldChar w:fldCharType="separate"/>
          </w:r>
          <w:hyperlink w:anchor="_Toc3277894" w:history="1">
            <w:r w:rsidR="00A62920" w:rsidRPr="009C52C4">
              <w:rPr>
                <w:rStyle w:val="Hyperlink"/>
                <w:rFonts w:ascii="Times New Roman" w:hAnsi="Times New Roman" w:cs="Times New Roman"/>
                <w:sz w:val="24"/>
                <w:szCs w:val="24"/>
              </w:rPr>
              <w:t>Sažetak</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_Toc3277894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9</w:t>
            </w:r>
            <w:r w:rsidR="00A62920" w:rsidRPr="009C52C4">
              <w:rPr>
                <w:rFonts w:ascii="Times New Roman" w:hAnsi="Times New Roman" w:cs="Times New Roman"/>
                <w:webHidden/>
                <w:sz w:val="24"/>
                <w:szCs w:val="24"/>
              </w:rPr>
              <w:fldChar w:fldCharType="end"/>
            </w:r>
          </w:hyperlink>
        </w:p>
        <w:p w14:paraId="023EFD33" w14:textId="6BC25CC5"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895" w:history="1">
            <w:r w:rsidR="00A62920" w:rsidRPr="009C52C4">
              <w:rPr>
                <w:rStyle w:val="Hyperlink"/>
                <w:rFonts w:ascii="Times New Roman" w:eastAsia="Arial" w:hAnsi="Times New Roman" w:cs="Times New Roman"/>
                <w:sz w:val="24"/>
                <w:szCs w:val="24"/>
              </w:rPr>
              <w:t>1.</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Uvod</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_Toc3277895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w:t>
            </w:r>
            <w:r w:rsidR="00A62920" w:rsidRPr="009C52C4">
              <w:rPr>
                <w:rFonts w:ascii="Times New Roman" w:hAnsi="Times New Roman" w:cs="Times New Roman"/>
                <w:webHidden/>
                <w:sz w:val="24"/>
                <w:szCs w:val="24"/>
              </w:rPr>
              <w:fldChar w:fldCharType="end"/>
            </w:r>
          </w:hyperlink>
        </w:p>
        <w:p w14:paraId="45843C22" w14:textId="2B080BBD"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896" w:history="1">
            <w:r w:rsidR="00A62920" w:rsidRPr="009C52C4">
              <w:rPr>
                <w:rStyle w:val="Hyperlink"/>
                <w:rFonts w:ascii="Times New Roman" w:eastAsia="Arial" w:hAnsi="Times New Roman" w:cs="Times New Roman"/>
                <w:sz w:val="24"/>
                <w:szCs w:val="24"/>
              </w:rPr>
              <w:t>2.</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Pregled nacionalnog fonda zgrada Republike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_Toc3277896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16</w:t>
            </w:r>
            <w:r w:rsidR="00A62920" w:rsidRPr="009C52C4">
              <w:rPr>
                <w:rFonts w:ascii="Times New Roman" w:hAnsi="Times New Roman" w:cs="Times New Roman"/>
                <w:webHidden/>
                <w:sz w:val="24"/>
                <w:szCs w:val="24"/>
              </w:rPr>
              <w:fldChar w:fldCharType="end"/>
            </w:r>
          </w:hyperlink>
        </w:p>
        <w:p w14:paraId="7D03BD71" w14:textId="239B21C1" w:rsidR="00A62920" w:rsidRPr="009C52C4" w:rsidRDefault="00A209E4">
          <w:pPr>
            <w:pStyle w:val="TOC2"/>
            <w:rPr>
              <w:rFonts w:ascii="Times New Roman" w:eastAsiaTheme="minorEastAsia" w:hAnsi="Times New Roman" w:cs="Times New Roman"/>
              <w:noProof/>
              <w:color w:val="auto"/>
              <w:sz w:val="24"/>
              <w:szCs w:val="24"/>
            </w:rPr>
          </w:pPr>
          <w:hyperlink w:anchor="_Toc3277897" w:history="1">
            <w:r w:rsidR="00A62920" w:rsidRPr="009C52C4">
              <w:rPr>
                <w:rStyle w:val="Hyperlink"/>
                <w:rFonts w:ascii="Times New Roman" w:eastAsia="Arial" w:hAnsi="Times New Roman" w:cs="Times New Roman"/>
                <w:noProof/>
                <w:sz w:val="24"/>
                <w:szCs w:val="24"/>
              </w:rPr>
              <w:t>2.1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Kategorije nacionalnog fonda zgrada prema namjeni</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_Toc3277897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16</w:t>
            </w:r>
            <w:r w:rsidR="00A62920" w:rsidRPr="009C52C4">
              <w:rPr>
                <w:rFonts w:ascii="Times New Roman" w:hAnsi="Times New Roman" w:cs="Times New Roman"/>
                <w:noProof/>
                <w:webHidden/>
                <w:sz w:val="24"/>
                <w:szCs w:val="24"/>
              </w:rPr>
              <w:fldChar w:fldCharType="end"/>
            </w:r>
          </w:hyperlink>
        </w:p>
        <w:p w14:paraId="138787C6" w14:textId="184A9E30" w:rsidR="00A62920" w:rsidRPr="009C52C4" w:rsidRDefault="00A209E4">
          <w:pPr>
            <w:pStyle w:val="TOC2"/>
            <w:rPr>
              <w:rFonts w:ascii="Times New Roman" w:eastAsiaTheme="minorEastAsia" w:hAnsi="Times New Roman" w:cs="Times New Roman"/>
              <w:noProof/>
              <w:color w:val="auto"/>
              <w:sz w:val="24"/>
              <w:szCs w:val="24"/>
            </w:rPr>
          </w:pPr>
          <w:hyperlink w:anchor="_Toc3277898" w:history="1">
            <w:r w:rsidR="00A62920" w:rsidRPr="009C52C4">
              <w:rPr>
                <w:rStyle w:val="Hyperlink"/>
                <w:rFonts w:ascii="Times New Roman" w:eastAsia="Arial" w:hAnsi="Times New Roman" w:cs="Times New Roman"/>
                <w:noProof/>
                <w:sz w:val="24"/>
                <w:szCs w:val="24"/>
              </w:rPr>
              <w:t>2.2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nacionalnog fonda zgrada prema razdoblju gradnje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_Toc3277898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18</w:t>
            </w:r>
            <w:r w:rsidR="00A62920" w:rsidRPr="009C52C4">
              <w:rPr>
                <w:rFonts w:ascii="Times New Roman" w:hAnsi="Times New Roman" w:cs="Times New Roman"/>
                <w:noProof/>
                <w:webHidden/>
                <w:sz w:val="24"/>
                <w:szCs w:val="24"/>
              </w:rPr>
              <w:fldChar w:fldCharType="end"/>
            </w:r>
          </w:hyperlink>
        </w:p>
        <w:p w14:paraId="517063D0" w14:textId="63E40146" w:rsidR="00A62920" w:rsidRPr="009C52C4" w:rsidRDefault="00A209E4">
          <w:pPr>
            <w:pStyle w:val="TOC2"/>
            <w:rPr>
              <w:rFonts w:ascii="Times New Roman" w:eastAsiaTheme="minorEastAsia" w:hAnsi="Times New Roman" w:cs="Times New Roman"/>
              <w:noProof/>
              <w:color w:val="auto"/>
              <w:sz w:val="24"/>
              <w:szCs w:val="24"/>
            </w:rPr>
          </w:pPr>
          <w:hyperlink w:anchor="_Toc3277899" w:history="1">
            <w:r w:rsidR="00A62920" w:rsidRPr="009C52C4">
              <w:rPr>
                <w:rStyle w:val="Hyperlink"/>
                <w:rFonts w:ascii="Times New Roman" w:eastAsia="Arial" w:hAnsi="Times New Roman" w:cs="Times New Roman"/>
                <w:noProof/>
                <w:sz w:val="24"/>
                <w:szCs w:val="24"/>
              </w:rPr>
              <w:t>2.3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nacionalnog fonda zgrada prema klimatskim zonama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_Toc3277899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21</w:t>
            </w:r>
            <w:r w:rsidR="00A62920" w:rsidRPr="009C52C4">
              <w:rPr>
                <w:rFonts w:ascii="Times New Roman" w:hAnsi="Times New Roman" w:cs="Times New Roman"/>
                <w:noProof/>
                <w:webHidden/>
                <w:sz w:val="24"/>
                <w:szCs w:val="24"/>
              </w:rPr>
              <w:fldChar w:fldCharType="end"/>
            </w:r>
          </w:hyperlink>
        </w:p>
        <w:p w14:paraId="5FB1F4D5" w14:textId="69BE8554" w:rsidR="00A62920" w:rsidRPr="009C52C4" w:rsidRDefault="00A209E4">
          <w:pPr>
            <w:pStyle w:val="TOC2"/>
            <w:rPr>
              <w:rFonts w:ascii="Times New Roman" w:eastAsiaTheme="minorEastAsia" w:hAnsi="Times New Roman" w:cs="Times New Roman"/>
              <w:noProof/>
              <w:color w:val="auto"/>
              <w:sz w:val="24"/>
              <w:szCs w:val="24"/>
            </w:rPr>
          </w:pPr>
          <w:hyperlink w:anchor="_Toc3277900" w:history="1">
            <w:r w:rsidR="00A62920" w:rsidRPr="009C52C4">
              <w:rPr>
                <w:rStyle w:val="Hyperlink"/>
                <w:rFonts w:ascii="Times New Roman" w:eastAsia="Arial" w:hAnsi="Times New Roman" w:cs="Times New Roman"/>
                <w:noProof/>
                <w:sz w:val="24"/>
                <w:szCs w:val="24"/>
              </w:rPr>
              <w:t>2.4</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nacionalnog fonda zgrada prema vlasništvu</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_Toc3277900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22</w:t>
            </w:r>
            <w:r w:rsidR="00A62920" w:rsidRPr="009C52C4">
              <w:rPr>
                <w:rFonts w:ascii="Times New Roman" w:hAnsi="Times New Roman" w:cs="Times New Roman"/>
                <w:noProof/>
                <w:webHidden/>
                <w:sz w:val="24"/>
                <w:szCs w:val="24"/>
              </w:rPr>
              <w:fldChar w:fldCharType="end"/>
            </w:r>
          </w:hyperlink>
        </w:p>
        <w:p w14:paraId="490A7A27" w14:textId="232179F7" w:rsidR="00A62920" w:rsidRPr="009C52C4" w:rsidRDefault="00A209E4">
          <w:pPr>
            <w:pStyle w:val="TOC2"/>
            <w:rPr>
              <w:rFonts w:ascii="Times New Roman" w:eastAsiaTheme="minorEastAsia" w:hAnsi="Times New Roman" w:cs="Times New Roman"/>
              <w:noProof/>
              <w:color w:val="auto"/>
              <w:sz w:val="24"/>
              <w:szCs w:val="24"/>
            </w:rPr>
          </w:pPr>
          <w:hyperlink w:anchor="_Toc3277901" w:history="1">
            <w:r w:rsidR="00A62920" w:rsidRPr="009C52C4">
              <w:rPr>
                <w:rStyle w:val="Hyperlink"/>
                <w:rFonts w:ascii="Times New Roman" w:eastAsia="Arial" w:hAnsi="Times New Roman" w:cs="Times New Roman"/>
                <w:noProof/>
                <w:sz w:val="24"/>
                <w:szCs w:val="24"/>
              </w:rPr>
              <w:t>2.5</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nacionalnog fonda zgrada prema području (urbano/ruralno)</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_Toc3277901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23</w:t>
            </w:r>
            <w:r w:rsidR="00A62920" w:rsidRPr="009C52C4">
              <w:rPr>
                <w:rFonts w:ascii="Times New Roman" w:hAnsi="Times New Roman" w:cs="Times New Roman"/>
                <w:noProof/>
                <w:webHidden/>
                <w:sz w:val="24"/>
                <w:szCs w:val="24"/>
              </w:rPr>
              <w:fldChar w:fldCharType="end"/>
            </w:r>
          </w:hyperlink>
        </w:p>
        <w:p w14:paraId="31FCFDCA" w14:textId="005143B9" w:rsidR="00A62920" w:rsidRPr="009C52C4" w:rsidRDefault="00A209E4">
          <w:pPr>
            <w:pStyle w:val="TOC2"/>
            <w:rPr>
              <w:rFonts w:ascii="Times New Roman" w:eastAsiaTheme="minorEastAsia" w:hAnsi="Times New Roman" w:cs="Times New Roman"/>
              <w:noProof/>
              <w:color w:val="auto"/>
              <w:sz w:val="24"/>
              <w:szCs w:val="24"/>
            </w:rPr>
          </w:pPr>
          <w:hyperlink w:anchor="_Toc3277902" w:history="1">
            <w:r w:rsidR="00A62920" w:rsidRPr="009C52C4">
              <w:rPr>
                <w:rStyle w:val="Hyperlink"/>
                <w:rFonts w:ascii="Times New Roman" w:eastAsia="Arial" w:hAnsi="Times New Roman" w:cs="Times New Roman"/>
                <w:noProof/>
                <w:sz w:val="24"/>
                <w:szCs w:val="24"/>
              </w:rPr>
              <w:t>2.6</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Energetska svojstva i karakteristike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_Toc3277902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24</w:t>
            </w:r>
            <w:r w:rsidR="00A62920" w:rsidRPr="009C52C4">
              <w:rPr>
                <w:rFonts w:ascii="Times New Roman" w:hAnsi="Times New Roman" w:cs="Times New Roman"/>
                <w:noProof/>
                <w:webHidden/>
                <w:sz w:val="24"/>
                <w:szCs w:val="24"/>
              </w:rPr>
              <w:fldChar w:fldCharType="end"/>
            </w:r>
          </w:hyperlink>
        </w:p>
        <w:p w14:paraId="51A0FD22" w14:textId="104DCCA5"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03" w:history="1">
            <w:r w:rsidR="00A62920" w:rsidRPr="009C52C4">
              <w:rPr>
                <w:rStyle w:val="Hyperlink"/>
                <w:rFonts w:ascii="Times New Roman" w:eastAsia="Arial" w:hAnsi="Times New Roman" w:cs="Times New Roman"/>
                <w:noProof/>
                <w:sz w:val="24"/>
                <w:szCs w:val="24"/>
              </w:rPr>
              <w:t>2.6.1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U – koeficijenti građevinskih dijelova i elemenata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_Toc3277903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24</w:t>
            </w:r>
            <w:r w:rsidR="00A62920" w:rsidRPr="009C52C4">
              <w:rPr>
                <w:rFonts w:ascii="Times New Roman" w:hAnsi="Times New Roman" w:cs="Times New Roman"/>
                <w:noProof/>
                <w:webHidden/>
                <w:sz w:val="24"/>
                <w:szCs w:val="24"/>
              </w:rPr>
              <w:fldChar w:fldCharType="end"/>
            </w:r>
          </w:hyperlink>
        </w:p>
        <w:p w14:paraId="281BD785" w14:textId="66BE484C"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04" w:history="1">
            <w:r w:rsidR="00A62920" w:rsidRPr="009C52C4">
              <w:rPr>
                <w:rStyle w:val="Hyperlink"/>
                <w:rFonts w:ascii="Times New Roman" w:eastAsia="Arial" w:hAnsi="Times New Roman" w:cs="Times New Roman"/>
                <w:noProof/>
                <w:sz w:val="24"/>
                <w:szCs w:val="24"/>
              </w:rPr>
              <w:t>2.6.2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Sustavi grijanja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_Toc3277904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33</w:t>
            </w:r>
            <w:r w:rsidR="00A62920" w:rsidRPr="009C52C4">
              <w:rPr>
                <w:rFonts w:ascii="Times New Roman" w:hAnsi="Times New Roman" w:cs="Times New Roman"/>
                <w:noProof/>
                <w:webHidden/>
                <w:sz w:val="24"/>
                <w:szCs w:val="24"/>
              </w:rPr>
              <w:fldChar w:fldCharType="end"/>
            </w:r>
          </w:hyperlink>
        </w:p>
        <w:p w14:paraId="4F27DECF" w14:textId="2D6D270A"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905" w:history="1">
            <w:r w:rsidR="00A62920" w:rsidRPr="009C52C4">
              <w:rPr>
                <w:rStyle w:val="Hyperlink"/>
                <w:rFonts w:ascii="Times New Roman" w:eastAsia="Arial" w:hAnsi="Times New Roman" w:cs="Times New Roman"/>
                <w:sz w:val="24"/>
                <w:szCs w:val="24"/>
              </w:rPr>
              <w:t>3.</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Analiza ključnih elemenata programa obnove zgrada</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_Toc3277905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39</w:t>
            </w:r>
            <w:r w:rsidR="00A62920" w:rsidRPr="009C52C4">
              <w:rPr>
                <w:rFonts w:ascii="Times New Roman" w:hAnsi="Times New Roman" w:cs="Times New Roman"/>
                <w:webHidden/>
                <w:sz w:val="24"/>
                <w:szCs w:val="24"/>
              </w:rPr>
              <w:fldChar w:fldCharType="end"/>
            </w:r>
          </w:hyperlink>
        </w:p>
        <w:p w14:paraId="479B8EB4" w14:textId="10C9F24D" w:rsidR="00A62920" w:rsidRPr="009C52C4" w:rsidRDefault="00A209E4">
          <w:pPr>
            <w:pStyle w:val="TOC2"/>
            <w:rPr>
              <w:rFonts w:ascii="Times New Roman" w:eastAsiaTheme="minorEastAsia" w:hAnsi="Times New Roman" w:cs="Times New Roman"/>
              <w:noProof/>
              <w:color w:val="auto"/>
              <w:sz w:val="24"/>
              <w:szCs w:val="24"/>
            </w:rPr>
          </w:pPr>
          <w:hyperlink w:anchor="_Toc3277906" w:history="1">
            <w:r w:rsidR="00A62920" w:rsidRPr="009C52C4">
              <w:rPr>
                <w:rStyle w:val="Hyperlink"/>
                <w:rFonts w:ascii="Times New Roman" w:eastAsia="Arial" w:hAnsi="Times New Roman" w:cs="Times New Roman"/>
                <w:noProof/>
                <w:sz w:val="24"/>
                <w:szCs w:val="24"/>
              </w:rPr>
              <w:t>3.1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Tehničke mogućnosti za energetsku obnovu (retrofit) primjenom mjera energetske učinkovitosti i obnovljivih izvora energije za svaku kategoriju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_Toc3277906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39</w:t>
            </w:r>
            <w:r w:rsidR="00A62920" w:rsidRPr="009C52C4">
              <w:rPr>
                <w:rFonts w:ascii="Times New Roman" w:hAnsi="Times New Roman" w:cs="Times New Roman"/>
                <w:noProof/>
                <w:webHidden/>
                <w:sz w:val="24"/>
                <w:szCs w:val="24"/>
              </w:rPr>
              <w:fldChar w:fldCharType="end"/>
            </w:r>
          </w:hyperlink>
        </w:p>
        <w:p w14:paraId="35BE719F" w14:textId="74A24A87"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07" w:history="1">
            <w:r w:rsidR="00A62920" w:rsidRPr="009C52C4">
              <w:rPr>
                <w:rStyle w:val="Hyperlink"/>
                <w:rFonts w:ascii="Times New Roman" w:eastAsia="Arial" w:hAnsi="Times New Roman" w:cs="Times New Roman"/>
                <w:noProof/>
                <w:sz w:val="24"/>
                <w:szCs w:val="24"/>
              </w:rPr>
              <w:t>3.1.1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centralizacije i modernizacije sustava grijanja uz primjenu obnovljivih izvora energije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_Toc3277907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40</w:t>
            </w:r>
            <w:r w:rsidR="00A62920" w:rsidRPr="009C52C4">
              <w:rPr>
                <w:rFonts w:ascii="Times New Roman" w:hAnsi="Times New Roman" w:cs="Times New Roman"/>
                <w:noProof/>
                <w:webHidden/>
                <w:sz w:val="24"/>
                <w:szCs w:val="24"/>
              </w:rPr>
              <w:fldChar w:fldCharType="end"/>
            </w:r>
          </w:hyperlink>
        </w:p>
        <w:p w14:paraId="6619BF9E" w14:textId="76FCC363"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08" w:history="1">
            <w:r w:rsidR="00A62920" w:rsidRPr="009C52C4">
              <w:rPr>
                <w:rStyle w:val="Hyperlink"/>
                <w:rFonts w:ascii="Times New Roman" w:eastAsia="Arial" w:hAnsi="Times New Roman" w:cs="Times New Roman"/>
                <w:noProof/>
                <w:sz w:val="24"/>
                <w:szCs w:val="24"/>
              </w:rPr>
              <w:t>3.1.2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centralizacije i modernizacije sustava hlađenja i ventilacije uz primjenu obnovljivih izvora energije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_Toc3277908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41</w:t>
            </w:r>
            <w:r w:rsidR="00A62920" w:rsidRPr="009C52C4">
              <w:rPr>
                <w:rFonts w:ascii="Times New Roman" w:hAnsi="Times New Roman" w:cs="Times New Roman"/>
                <w:noProof/>
                <w:webHidden/>
                <w:sz w:val="24"/>
                <w:szCs w:val="24"/>
              </w:rPr>
              <w:fldChar w:fldCharType="end"/>
            </w:r>
          </w:hyperlink>
        </w:p>
        <w:p w14:paraId="04D90EF5" w14:textId="4EECEE09"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09" w:history="1">
            <w:r w:rsidR="00A62920" w:rsidRPr="009C52C4">
              <w:rPr>
                <w:rStyle w:val="Hyperlink"/>
                <w:rFonts w:ascii="Times New Roman" w:eastAsia="Arial" w:hAnsi="Times New Roman" w:cs="Times New Roman"/>
                <w:noProof/>
                <w:sz w:val="24"/>
                <w:szCs w:val="24"/>
              </w:rPr>
              <w:t>3.1.3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centralizacije i modernizacije sustava pripreme potrošne tople vode uz primjenu obnovljivih izvora energije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_Toc3277909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41</w:t>
            </w:r>
            <w:r w:rsidR="00A62920" w:rsidRPr="009C52C4">
              <w:rPr>
                <w:rFonts w:ascii="Times New Roman" w:hAnsi="Times New Roman" w:cs="Times New Roman"/>
                <w:noProof/>
                <w:webHidden/>
                <w:sz w:val="24"/>
                <w:szCs w:val="24"/>
              </w:rPr>
              <w:fldChar w:fldCharType="end"/>
            </w:r>
          </w:hyperlink>
        </w:p>
        <w:p w14:paraId="161F7877" w14:textId="3E7C91AB"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10" w:history="1">
            <w:r w:rsidR="00A62920" w:rsidRPr="009C52C4">
              <w:rPr>
                <w:rStyle w:val="Hyperlink"/>
                <w:rFonts w:ascii="Times New Roman" w:eastAsia="Arial" w:hAnsi="Times New Roman" w:cs="Times New Roman"/>
                <w:noProof/>
                <w:sz w:val="24"/>
                <w:szCs w:val="24"/>
              </w:rPr>
              <w:t>3.1.4</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modernizacije sustava rasvjete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_Toc3277910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42</w:t>
            </w:r>
            <w:r w:rsidR="00A62920" w:rsidRPr="009C52C4">
              <w:rPr>
                <w:rFonts w:ascii="Times New Roman" w:hAnsi="Times New Roman" w:cs="Times New Roman"/>
                <w:noProof/>
                <w:webHidden/>
                <w:sz w:val="24"/>
                <w:szCs w:val="24"/>
              </w:rPr>
              <w:fldChar w:fldCharType="end"/>
            </w:r>
          </w:hyperlink>
        </w:p>
        <w:p w14:paraId="505D2E31" w14:textId="1A7585F5"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11" w:history="1">
            <w:r w:rsidR="00A62920" w:rsidRPr="009C52C4">
              <w:rPr>
                <w:rStyle w:val="Hyperlink"/>
                <w:rFonts w:ascii="Times New Roman" w:eastAsia="Arial" w:hAnsi="Times New Roman" w:cs="Times New Roman"/>
                <w:noProof/>
                <w:sz w:val="24"/>
                <w:szCs w:val="24"/>
              </w:rPr>
              <w:t>3.1.5</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smanjenja potrošnje vode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_Toc3277911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42</w:t>
            </w:r>
            <w:r w:rsidR="00A62920" w:rsidRPr="009C52C4">
              <w:rPr>
                <w:rFonts w:ascii="Times New Roman" w:hAnsi="Times New Roman" w:cs="Times New Roman"/>
                <w:noProof/>
                <w:webHidden/>
                <w:sz w:val="24"/>
                <w:szCs w:val="24"/>
              </w:rPr>
              <w:fldChar w:fldCharType="end"/>
            </w:r>
          </w:hyperlink>
        </w:p>
        <w:p w14:paraId="21C1FA26" w14:textId="71AA3070"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12" w:history="1">
            <w:r w:rsidR="00A62920" w:rsidRPr="009C52C4">
              <w:rPr>
                <w:rStyle w:val="Hyperlink"/>
                <w:rFonts w:ascii="Times New Roman" w:eastAsia="Arial" w:hAnsi="Times New Roman" w:cs="Times New Roman"/>
                <w:noProof/>
                <w:sz w:val="24"/>
                <w:szCs w:val="24"/>
              </w:rPr>
              <w:t>3.1.6</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Mjera ugradnje centralnog nadzornog i upravljačkog sustava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_Toc3277912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42</w:t>
            </w:r>
            <w:r w:rsidR="00A62920" w:rsidRPr="009C52C4">
              <w:rPr>
                <w:rFonts w:ascii="Times New Roman" w:hAnsi="Times New Roman" w:cs="Times New Roman"/>
                <w:noProof/>
                <w:webHidden/>
                <w:sz w:val="24"/>
                <w:szCs w:val="24"/>
              </w:rPr>
              <w:fldChar w:fldCharType="end"/>
            </w:r>
          </w:hyperlink>
        </w:p>
        <w:p w14:paraId="29A6504F" w14:textId="5C6B0510"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13" w:history="1">
            <w:r w:rsidR="00A62920" w:rsidRPr="009C52C4">
              <w:rPr>
                <w:rStyle w:val="Hyperlink"/>
                <w:rFonts w:ascii="Times New Roman" w:eastAsia="Arial" w:hAnsi="Times New Roman" w:cs="Times New Roman"/>
                <w:noProof/>
                <w:sz w:val="24"/>
                <w:szCs w:val="24"/>
              </w:rPr>
              <w:t>3.1.7</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Ostale mjere energetske učinkovitosti i primjene obnovljivih izvora energije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_Toc3277913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42</w:t>
            </w:r>
            <w:r w:rsidR="00A62920" w:rsidRPr="009C52C4">
              <w:rPr>
                <w:rFonts w:ascii="Times New Roman" w:hAnsi="Times New Roman" w:cs="Times New Roman"/>
                <w:noProof/>
                <w:webHidden/>
                <w:sz w:val="24"/>
                <w:szCs w:val="24"/>
              </w:rPr>
              <w:fldChar w:fldCharType="end"/>
            </w:r>
          </w:hyperlink>
        </w:p>
        <w:p w14:paraId="6C63ABA2" w14:textId="2B9E0F50" w:rsidR="00A62920" w:rsidRPr="009C52C4" w:rsidRDefault="00A209E4">
          <w:pPr>
            <w:pStyle w:val="TOC2"/>
            <w:rPr>
              <w:rFonts w:ascii="Times New Roman" w:eastAsiaTheme="minorEastAsia" w:hAnsi="Times New Roman" w:cs="Times New Roman"/>
              <w:noProof/>
              <w:color w:val="auto"/>
              <w:sz w:val="24"/>
              <w:szCs w:val="24"/>
            </w:rPr>
          </w:pPr>
          <w:hyperlink w:anchor="_Toc3277914" w:history="1">
            <w:r w:rsidR="00A62920" w:rsidRPr="009C52C4">
              <w:rPr>
                <w:rStyle w:val="Hyperlink"/>
                <w:rFonts w:ascii="Times New Roman" w:eastAsia="Arial" w:hAnsi="Times New Roman" w:cs="Times New Roman"/>
                <w:noProof/>
                <w:sz w:val="24"/>
                <w:szCs w:val="24"/>
              </w:rPr>
              <w:t>3.2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Tehničke mogućnosti centraliziranog toplinskog sustava (CTS) grijanja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_Toc3277914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44</w:t>
            </w:r>
            <w:r w:rsidR="00A62920" w:rsidRPr="009C52C4">
              <w:rPr>
                <w:rFonts w:ascii="Times New Roman" w:hAnsi="Times New Roman" w:cs="Times New Roman"/>
                <w:noProof/>
                <w:webHidden/>
                <w:sz w:val="24"/>
                <w:szCs w:val="24"/>
              </w:rPr>
              <w:fldChar w:fldCharType="end"/>
            </w:r>
          </w:hyperlink>
        </w:p>
        <w:p w14:paraId="46BC43E3" w14:textId="51042A1E" w:rsidR="00A62920" w:rsidRPr="009C52C4" w:rsidRDefault="00A209E4">
          <w:pPr>
            <w:pStyle w:val="TOC2"/>
            <w:rPr>
              <w:rFonts w:ascii="Times New Roman" w:eastAsiaTheme="minorEastAsia" w:hAnsi="Times New Roman" w:cs="Times New Roman"/>
              <w:noProof/>
              <w:color w:val="auto"/>
              <w:sz w:val="24"/>
              <w:szCs w:val="24"/>
            </w:rPr>
          </w:pPr>
          <w:hyperlink w:anchor="_Toc3277915" w:history="1">
            <w:r w:rsidR="00A62920" w:rsidRPr="009C52C4">
              <w:rPr>
                <w:rStyle w:val="Hyperlink"/>
                <w:rFonts w:ascii="Times New Roman" w:eastAsia="Arial" w:hAnsi="Times New Roman" w:cs="Times New Roman"/>
                <w:noProof/>
                <w:sz w:val="24"/>
                <w:szCs w:val="24"/>
              </w:rPr>
              <w:t>3.3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Mogući modeli održive obnove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_Toc3277915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47</w:t>
            </w:r>
            <w:r w:rsidR="00A62920" w:rsidRPr="009C52C4">
              <w:rPr>
                <w:rFonts w:ascii="Times New Roman" w:hAnsi="Times New Roman" w:cs="Times New Roman"/>
                <w:noProof/>
                <w:webHidden/>
                <w:sz w:val="24"/>
                <w:szCs w:val="24"/>
              </w:rPr>
              <w:fldChar w:fldCharType="end"/>
            </w:r>
          </w:hyperlink>
        </w:p>
        <w:p w14:paraId="3F8533CE" w14:textId="7BF4AA15" w:rsidR="00A62920" w:rsidRPr="009C52C4" w:rsidRDefault="00A209E4">
          <w:pPr>
            <w:pStyle w:val="TOC2"/>
            <w:rPr>
              <w:rFonts w:ascii="Times New Roman" w:eastAsiaTheme="minorEastAsia" w:hAnsi="Times New Roman" w:cs="Times New Roman"/>
              <w:noProof/>
              <w:color w:val="auto"/>
              <w:sz w:val="24"/>
              <w:szCs w:val="24"/>
            </w:rPr>
          </w:pPr>
          <w:hyperlink w:anchor="_Toc3277916" w:history="1">
            <w:r w:rsidR="00A62920" w:rsidRPr="009C52C4">
              <w:rPr>
                <w:rStyle w:val="Hyperlink"/>
                <w:rFonts w:ascii="Times New Roman" w:eastAsia="Arial" w:hAnsi="Times New Roman" w:cs="Times New Roman"/>
                <w:noProof/>
                <w:sz w:val="24"/>
                <w:szCs w:val="24"/>
              </w:rPr>
              <w:t>3.4</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Utvrđivanje troškovno učinkovitog pristupa obnovi ovisno o kategoriji zgrade i klimatskoj zoni</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_Toc3277916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52</w:t>
            </w:r>
            <w:r w:rsidR="00A62920" w:rsidRPr="009C52C4">
              <w:rPr>
                <w:rFonts w:ascii="Times New Roman" w:hAnsi="Times New Roman" w:cs="Times New Roman"/>
                <w:noProof/>
                <w:webHidden/>
                <w:sz w:val="24"/>
                <w:szCs w:val="24"/>
              </w:rPr>
              <w:fldChar w:fldCharType="end"/>
            </w:r>
          </w:hyperlink>
        </w:p>
        <w:p w14:paraId="74214597" w14:textId="2A4E9533" w:rsidR="00A62920" w:rsidRPr="009C52C4" w:rsidRDefault="00A209E4">
          <w:pPr>
            <w:pStyle w:val="TOC2"/>
            <w:rPr>
              <w:rFonts w:ascii="Times New Roman" w:eastAsiaTheme="minorEastAsia" w:hAnsi="Times New Roman" w:cs="Times New Roman"/>
              <w:noProof/>
              <w:color w:val="auto"/>
              <w:sz w:val="24"/>
              <w:szCs w:val="24"/>
            </w:rPr>
          </w:pPr>
          <w:hyperlink w:anchor="_Toc3277917" w:history="1">
            <w:r w:rsidR="00A62920" w:rsidRPr="009C52C4">
              <w:rPr>
                <w:rStyle w:val="Hyperlink"/>
                <w:rFonts w:ascii="Times New Roman" w:eastAsia="Arial" w:hAnsi="Times New Roman" w:cs="Times New Roman"/>
                <w:noProof/>
                <w:sz w:val="24"/>
                <w:szCs w:val="24"/>
              </w:rPr>
              <w:t>3.5</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Opis metode korištene za troškovno učinkovitu analizu</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_Toc3277917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62</w:t>
            </w:r>
            <w:r w:rsidR="00A62920" w:rsidRPr="009C52C4">
              <w:rPr>
                <w:rFonts w:ascii="Times New Roman" w:hAnsi="Times New Roman" w:cs="Times New Roman"/>
                <w:noProof/>
                <w:webHidden/>
                <w:sz w:val="24"/>
                <w:szCs w:val="24"/>
              </w:rPr>
              <w:fldChar w:fldCharType="end"/>
            </w:r>
          </w:hyperlink>
        </w:p>
        <w:p w14:paraId="3B77B74E" w14:textId="50BB1E8B"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918" w:history="1">
            <w:r w:rsidR="00A62920" w:rsidRPr="009C52C4">
              <w:rPr>
                <w:rStyle w:val="Hyperlink"/>
                <w:rFonts w:ascii="Times New Roman" w:eastAsia="Arial" w:hAnsi="Times New Roman" w:cs="Times New Roman"/>
                <w:sz w:val="24"/>
                <w:szCs w:val="24"/>
              </w:rPr>
              <w:t>4.</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Politike i mjere za poticanje troškovno učinkovite integralne obnove zgrada</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_Toc3277918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65</w:t>
            </w:r>
            <w:r w:rsidR="00A62920" w:rsidRPr="009C52C4">
              <w:rPr>
                <w:rFonts w:ascii="Times New Roman" w:hAnsi="Times New Roman" w:cs="Times New Roman"/>
                <w:webHidden/>
                <w:sz w:val="24"/>
                <w:szCs w:val="24"/>
              </w:rPr>
              <w:fldChar w:fldCharType="end"/>
            </w:r>
          </w:hyperlink>
        </w:p>
        <w:p w14:paraId="7ABFF224" w14:textId="26D2A133" w:rsidR="00A62920" w:rsidRPr="009C52C4" w:rsidRDefault="00A209E4">
          <w:pPr>
            <w:pStyle w:val="TOC2"/>
            <w:rPr>
              <w:rFonts w:ascii="Times New Roman" w:eastAsiaTheme="minorEastAsia" w:hAnsi="Times New Roman" w:cs="Times New Roman"/>
              <w:noProof/>
              <w:color w:val="auto"/>
              <w:sz w:val="24"/>
              <w:szCs w:val="24"/>
            </w:rPr>
          </w:pPr>
          <w:hyperlink w:anchor="_Toc3277919" w:history="1">
            <w:r w:rsidR="00A62920" w:rsidRPr="009C52C4">
              <w:rPr>
                <w:rStyle w:val="Hyperlink"/>
                <w:rFonts w:ascii="Times New Roman" w:eastAsia="Arial" w:hAnsi="Times New Roman" w:cs="Times New Roman"/>
                <w:noProof/>
                <w:sz w:val="24"/>
                <w:szCs w:val="24"/>
              </w:rPr>
              <w:t>4.1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postojećih mjera za poticanje obnove zgrada u Republici Hrvatskoj</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_Toc3277919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65</w:t>
            </w:r>
            <w:r w:rsidR="00A62920" w:rsidRPr="009C52C4">
              <w:rPr>
                <w:rFonts w:ascii="Times New Roman" w:hAnsi="Times New Roman" w:cs="Times New Roman"/>
                <w:noProof/>
                <w:webHidden/>
                <w:sz w:val="24"/>
                <w:szCs w:val="24"/>
              </w:rPr>
              <w:fldChar w:fldCharType="end"/>
            </w:r>
          </w:hyperlink>
        </w:p>
        <w:p w14:paraId="30B941DF" w14:textId="108EE5BE"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20" w:history="1">
            <w:r w:rsidR="00A62920" w:rsidRPr="009C52C4">
              <w:rPr>
                <w:rStyle w:val="Hyperlink"/>
                <w:rFonts w:ascii="Times New Roman" w:eastAsia="Arial" w:hAnsi="Times New Roman" w:cs="Times New Roman"/>
                <w:noProof/>
                <w:sz w:val="24"/>
                <w:szCs w:val="24"/>
              </w:rPr>
              <w:t>4.1.1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Pregled nacionalnih i međunarodnih projekata i programa za obnovu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_Toc3277920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65</w:t>
            </w:r>
            <w:r w:rsidR="00A62920" w:rsidRPr="009C52C4">
              <w:rPr>
                <w:rFonts w:ascii="Times New Roman" w:hAnsi="Times New Roman" w:cs="Times New Roman"/>
                <w:noProof/>
                <w:webHidden/>
                <w:sz w:val="24"/>
                <w:szCs w:val="24"/>
              </w:rPr>
              <w:fldChar w:fldCharType="end"/>
            </w:r>
          </w:hyperlink>
        </w:p>
        <w:p w14:paraId="4E20C5FA" w14:textId="58F85560"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21" w:history="1">
            <w:r w:rsidR="00A62920" w:rsidRPr="009C52C4">
              <w:rPr>
                <w:rStyle w:val="Hyperlink"/>
                <w:rFonts w:ascii="Times New Roman" w:eastAsia="Arial" w:hAnsi="Times New Roman" w:cs="Times New Roman"/>
                <w:noProof/>
                <w:sz w:val="24"/>
                <w:szCs w:val="24"/>
              </w:rPr>
              <w:t>4.1.2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Provedba operativnih programa Republike Hrvatske za različite tipologije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_Toc3277921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66</w:t>
            </w:r>
            <w:r w:rsidR="00A62920" w:rsidRPr="009C52C4">
              <w:rPr>
                <w:rFonts w:ascii="Times New Roman" w:hAnsi="Times New Roman" w:cs="Times New Roman"/>
                <w:noProof/>
                <w:webHidden/>
                <w:sz w:val="24"/>
                <w:szCs w:val="24"/>
              </w:rPr>
              <w:fldChar w:fldCharType="end"/>
            </w:r>
          </w:hyperlink>
        </w:p>
        <w:p w14:paraId="5A57E9FA" w14:textId="11D993D1" w:rsidR="00A62920" w:rsidRPr="009C52C4" w:rsidRDefault="00A209E4">
          <w:pPr>
            <w:pStyle w:val="TOC2"/>
            <w:rPr>
              <w:rFonts w:ascii="Times New Roman" w:eastAsiaTheme="minorEastAsia" w:hAnsi="Times New Roman" w:cs="Times New Roman"/>
              <w:noProof/>
              <w:color w:val="auto"/>
              <w:sz w:val="24"/>
              <w:szCs w:val="24"/>
            </w:rPr>
          </w:pPr>
          <w:hyperlink w:anchor="_Toc3277922" w:history="1">
            <w:r w:rsidR="00A62920" w:rsidRPr="009C52C4">
              <w:rPr>
                <w:rStyle w:val="Hyperlink"/>
                <w:rFonts w:ascii="Times New Roman" w:eastAsia="Arial" w:hAnsi="Times New Roman" w:cs="Times New Roman"/>
                <w:noProof/>
                <w:sz w:val="24"/>
                <w:szCs w:val="24"/>
              </w:rPr>
              <w:t>4.2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Analiza mjera za poticanje integralne obnove zgrada država članica Europske unije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_Toc3277922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68</w:t>
            </w:r>
            <w:r w:rsidR="00A62920" w:rsidRPr="009C52C4">
              <w:rPr>
                <w:rFonts w:ascii="Times New Roman" w:hAnsi="Times New Roman" w:cs="Times New Roman"/>
                <w:noProof/>
                <w:webHidden/>
                <w:sz w:val="24"/>
                <w:szCs w:val="24"/>
              </w:rPr>
              <w:fldChar w:fldCharType="end"/>
            </w:r>
          </w:hyperlink>
        </w:p>
        <w:p w14:paraId="79B7F3B5" w14:textId="6254D5D9" w:rsidR="00A62920" w:rsidRPr="009C52C4" w:rsidRDefault="00A209E4">
          <w:pPr>
            <w:pStyle w:val="TOC2"/>
            <w:rPr>
              <w:rFonts w:ascii="Times New Roman" w:eastAsiaTheme="minorEastAsia" w:hAnsi="Times New Roman" w:cs="Times New Roman"/>
              <w:noProof/>
              <w:color w:val="auto"/>
              <w:sz w:val="24"/>
              <w:szCs w:val="24"/>
            </w:rPr>
          </w:pPr>
          <w:hyperlink w:anchor="_Toc3277923" w:history="1">
            <w:r w:rsidR="00A62920" w:rsidRPr="009C52C4">
              <w:rPr>
                <w:rStyle w:val="Hyperlink"/>
                <w:rFonts w:ascii="Times New Roman" w:eastAsia="Arial" w:hAnsi="Times New Roman" w:cs="Times New Roman"/>
                <w:noProof/>
                <w:sz w:val="24"/>
                <w:szCs w:val="24"/>
              </w:rPr>
              <w:t>4.3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Analiza postojećih prepreka za integralnu energetsku obnovu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_Toc3277923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72</w:t>
            </w:r>
            <w:r w:rsidR="00A62920" w:rsidRPr="009C52C4">
              <w:rPr>
                <w:rFonts w:ascii="Times New Roman" w:hAnsi="Times New Roman" w:cs="Times New Roman"/>
                <w:noProof/>
                <w:webHidden/>
                <w:sz w:val="24"/>
                <w:szCs w:val="24"/>
              </w:rPr>
              <w:fldChar w:fldCharType="end"/>
            </w:r>
          </w:hyperlink>
        </w:p>
        <w:p w14:paraId="210D696E" w14:textId="349AFC23" w:rsidR="00A62920" w:rsidRPr="009C52C4" w:rsidRDefault="00A209E4">
          <w:pPr>
            <w:pStyle w:val="TOC2"/>
            <w:rPr>
              <w:rFonts w:ascii="Times New Roman" w:eastAsiaTheme="minorEastAsia" w:hAnsi="Times New Roman" w:cs="Times New Roman"/>
              <w:noProof/>
              <w:color w:val="auto"/>
              <w:sz w:val="24"/>
              <w:szCs w:val="24"/>
            </w:rPr>
          </w:pPr>
          <w:hyperlink w:anchor="_Toc3277924" w:history="1">
            <w:r w:rsidR="00A62920" w:rsidRPr="009C52C4">
              <w:rPr>
                <w:rStyle w:val="Hyperlink"/>
                <w:rFonts w:ascii="Times New Roman" w:eastAsia="Arial" w:hAnsi="Times New Roman" w:cs="Times New Roman"/>
                <w:noProof/>
                <w:sz w:val="24"/>
                <w:szCs w:val="24"/>
              </w:rPr>
              <w:t>4.4</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Prijedlozi rješenja i novih mjera za svladavanje postojećih prepreka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_Toc3277924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78</w:t>
            </w:r>
            <w:r w:rsidR="00A62920" w:rsidRPr="009C52C4">
              <w:rPr>
                <w:rFonts w:ascii="Times New Roman" w:hAnsi="Times New Roman" w:cs="Times New Roman"/>
                <w:noProof/>
                <w:webHidden/>
                <w:sz w:val="24"/>
                <w:szCs w:val="24"/>
              </w:rPr>
              <w:fldChar w:fldCharType="end"/>
            </w:r>
          </w:hyperlink>
        </w:p>
        <w:p w14:paraId="1A927269" w14:textId="5A8F7224"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925" w:history="1">
            <w:r w:rsidR="00A62920" w:rsidRPr="009C52C4">
              <w:rPr>
                <w:rStyle w:val="Hyperlink"/>
                <w:rFonts w:ascii="Times New Roman" w:eastAsia="Arial" w:hAnsi="Times New Roman" w:cs="Times New Roman"/>
                <w:sz w:val="24"/>
                <w:szCs w:val="24"/>
              </w:rPr>
              <w:t>5.</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Dugoročna perspektiva za usmjeravanje odluka pojedinaca, građevinske industrije i financijskih institucija o ulaganjima do 2050. godine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_Toc3277925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85</w:t>
            </w:r>
            <w:r w:rsidR="00A62920" w:rsidRPr="009C52C4">
              <w:rPr>
                <w:rFonts w:ascii="Times New Roman" w:hAnsi="Times New Roman" w:cs="Times New Roman"/>
                <w:webHidden/>
                <w:sz w:val="24"/>
                <w:szCs w:val="24"/>
              </w:rPr>
              <w:fldChar w:fldCharType="end"/>
            </w:r>
          </w:hyperlink>
        </w:p>
        <w:p w14:paraId="7F3BEAA0" w14:textId="5D7B2A51" w:rsidR="00A62920" w:rsidRPr="009C52C4" w:rsidRDefault="00A209E4">
          <w:pPr>
            <w:pStyle w:val="TOC2"/>
            <w:rPr>
              <w:rFonts w:ascii="Times New Roman" w:eastAsiaTheme="minorEastAsia" w:hAnsi="Times New Roman" w:cs="Times New Roman"/>
              <w:noProof/>
              <w:color w:val="auto"/>
              <w:sz w:val="24"/>
              <w:szCs w:val="24"/>
            </w:rPr>
          </w:pPr>
          <w:hyperlink w:anchor="_Toc3277926" w:history="1">
            <w:r w:rsidR="00A62920" w:rsidRPr="009C52C4">
              <w:rPr>
                <w:rStyle w:val="Hyperlink"/>
                <w:rFonts w:ascii="Times New Roman" w:eastAsia="Arial" w:hAnsi="Times New Roman" w:cs="Times New Roman"/>
                <w:noProof/>
                <w:sz w:val="24"/>
                <w:szCs w:val="24"/>
              </w:rPr>
              <w:t>5.1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Procjene potrebnih ulaganja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_Toc3277926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85</w:t>
            </w:r>
            <w:r w:rsidR="00A62920" w:rsidRPr="009C52C4">
              <w:rPr>
                <w:rFonts w:ascii="Times New Roman" w:hAnsi="Times New Roman" w:cs="Times New Roman"/>
                <w:noProof/>
                <w:webHidden/>
                <w:sz w:val="24"/>
                <w:szCs w:val="24"/>
              </w:rPr>
              <w:fldChar w:fldCharType="end"/>
            </w:r>
          </w:hyperlink>
        </w:p>
        <w:p w14:paraId="38A4FD14" w14:textId="09F53A2C" w:rsidR="00A62920" w:rsidRPr="009C52C4" w:rsidRDefault="00A209E4">
          <w:pPr>
            <w:pStyle w:val="TOC2"/>
            <w:rPr>
              <w:rFonts w:ascii="Times New Roman" w:eastAsiaTheme="minorEastAsia" w:hAnsi="Times New Roman" w:cs="Times New Roman"/>
              <w:noProof/>
              <w:color w:val="auto"/>
              <w:sz w:val="24"/>
              <w:szCs w:val="24"/>
            </w:rPr>
          </w:pPr>
          <w:hyperlink w:anchor="_Toc3277927" w:history="1">
            <w:r w:rsidR="00A62920" w:rsidRPr="009C52C4">
              <w:rPr>
                <w:rStyle w:val="Hyperlink"/>
                <w:rFonts w:ascii="Times New Roman" w:eastAsia="Arial" w:hAnsi="Times New Roman" w:cs="Times New Roman"/>
                <w:noProof/>
                <w:sz w:val="24"/>
                <w:szCs w:val="24"/>
              </w:rPr>
              <w:t>5.2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Identifikacija izvora financiranja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_Toc3277927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87</w:t>
            </w:r>
            <w:r w:rsidR="00A62920" w:rsidRPr="009C52C4">
              <w:rPr>
                <w:rFonts w:ascii="Times New Roman" w:hAnsi="Times New Roman" w:cs="Times New Roman"/>
                <w:noProof/>
                <w:webHidden/>
                <w:sz w:val="24"/>
                <w:szCs w:val="24"/>
              </w:rPr>
              <w:fldChar w:fldCharType="end"/>
            </w:r>
          </w:hyperlink>
        </w:p>
        <w:p w14:paraId="2C8DB2F8" w14:textId="72D2F5E7"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28" w:history="1">
            <w:r w:rsidR="00A62920" w:rsidRPr="009C52C4">
              <w:rPr>
                <w:rStyle w:val="Hyperlink"/>
                <w:rFonts w:ascii="Times New Roman" w:eastAsia="Arial" w:hAnsi="Times New Roman" w:cs="Times New Roman"/>
                <w:noProof/>
                <w:sz w:val="24"/>
                <w:szCs w:val="24"/>
              </w:rPr>
              <w:t>5.2.1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Postojeći izvori financiranja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_Toc3277928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87</w:t>
            </w:r>
            <w:r w:rsidR="00A62920" w:rsidRPr="009C52C4">
              <w:rPr>
                <w:rFonts w:ascii="Times New Roman" w:hAnsi="Times New Roman" w:cs="Times New Roman"/>
                <w:noProof/>
                <w:webHidden/>
                <w:sz w:val="24"/>
                <w:szCs w:val="24"/>
              </w:rPr>
              <w:fldChar w:fldCharType="end"/>
            </w:r>
          </w:hyperlink>
        </w:p>
        <w:p w14:paraId="5317B19A" w14:textId="41EE17A7"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29" w:history="1">
            <w:r w:rsidR="00A62920" w:rsidRPr="009C52C4">
              <w:rPr>
                <w:rStyle w:val="Hyperlink"/>
                <w:rFonts w:ascii="Times New Roman" w:eastAsia="Arial" w:hAnsi="Times New Roman" w:cs="Times New Roman"/>
                <w:noProof/>
                <w:sz w:val="24"/>
                <w:szCs w:val="24"/>
              </w:rPr>
              <w:t>5.2.2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Financijske barijere i ograničenja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_Toc3277929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89</w:t>
            </w:r>
            <w:r w:rsidR="00A62920" w:rsidRPr="009C52C4">
              <w:rPr>
                <w:rFonts w:ascii="Times New Roman" w:hAnsi="Times New Roman" w:cs="Times New Roman"/>
                <w:noProof/>
                <w:webHidden/>
                <w:sz w:val="24"/>
                <w:szCs w:val="24"/>
              </w:rPr>
              <w:fldChar w:fldCharType="end"/>
            </w:r>
          </w:hyperlink>
        </w:p>
        <w:p w14:paraId="4F055529" w14:textId="4D38A283" w:rsidR="00A62920" w:rsidRPr="009C52C4" w:rsidRDefault="00A209E4">
          <w:pPr>
            <w:pStyle w:val="TOC3"/>
            <w:tabs>
              <w:tab w:val="left" w:pos="1320"/>
              <w:tab w:val="right" w:leader="dot" w:pos="9062"/>
            </w:tabs>
            <w:rPr>
              <w:rFonts w:ascii="Times New Roman" w:eastAsiaTheme="minorEastAsia" w:hAnsi="Times New Roman" w:cs="Times New Roman"/>
              <w:noProof/>
              <w:color w:val="auto"/>
              <w:sz w:val="24"/>
              <w:szCs w:val="24"/>
            </w:rPr>
          </w:pPr>
          <w:hyperlink w:anchor="_Toc3277930" w:history="1">
            <w:r w:rsidR="00A62920" w:rsidRPr="009C52C4">
              <w:rPr>
                <w:rStyle w:val="Hyperlink"/>
                <w:rFonts w:ascii="Times New Roman" w:eastAsia="Arial" w:hAnsi="Times New Roman" w:cs="Times New Roman"/>
                <w:noProof/>
                <w:sz w:val="24"/>
                <w:szCs w:val="24"/>
              </w:rPr>
              <w:t>5.2.3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Dugoročni model financiranja energetske obnove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_Toc3277930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90</w:t>
            </w:r>
            <w:r w:rsidR="00A62920" w:rsidRPr="009C52C4">
              <w:rPr>
                <w:rFonts w:ascii="Times New Roman" w:hAnsi="Times New Roman" w:cs="Times New Roman"/>
                <w:noProof/>
                <w:webHidden/>
                <w:sz w:val="24"/>
                <w:szCs w:val="24"/>
              </w:rPr>
              <w:fldChar w:fldCharType="end"/>
            </w:r>
          </w:hyperlink>
        </w:p>
        <w:p w14:paraId="1AA0D52C" w14:textId="66B5C568" w:rsidR="00A62920" w:rsidRPr="009C52C4" w:rsidRDefault="00A209E4">
          <w:pPr>
            <w:pStyle w:val="TOC2"/>
            <w:rPr>
              <w:rFonts w:ascii="Times New Roman" w:eastAsiaTheme="minorEastAsia" w:hAnsi="Times New Roman" w:cs="Times New Roman"/>
              <w:noProof/>
              <w:color w:val="auto"/>
              <w:sz w:val="24"/>
              <w:szCs w:val="24"/>
            </w:rPr>
          </w:pPr>
          <w:hyperlink w:anchor="_Toc3277931" w:history="1">
            <w:r w:rsidR="00A62920" w:rsidRPr="009C52C4">
              <w:rPr>
                <w:rStyle w:val="Hyperlink"/>
                <w:rFonts w:ascii="Times New Roman" w:eastAsia="Arial" w:hAnsi="Times New Roman" w:cs="Times New Roman"/>
                <w:noProof/>
                <w:sz w:val="24"/>
                <w:szCs w:val="24"/>
              </w:rPr>
              <w:t>5.3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Načini da se investicije u energetsku obnovu učine atraktivnijima za banke i privatne investitore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_Toc3277931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93</w:t>
            </w:r>
            <w:r w:rsidR="00A62920" w:rsidRPr="009C52C4">
              <w:rPr>
                <w:rFonts w:ascii="Times New Roman" w:hAnsi="Times New Roman" w:cs="Times New Roman"/>
                <w:noProof/>
                <w:webHidden/>
                <w:sz w:val="24"/>
                <w:szCs w:val="24"/>
              </w:rPr>
              <w:fldChar w:fldCharType="end"/>
            </w:r>
          </w:hyperlink>
        </w:p>
        <w:p w14:paraId="271EB335" w14:textId="76DEDA3B"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932" w:history="1">
            <w:r w:rsidR="00A62920" w:rsidRPr="009C52C4">
              <w:rPr>
                <w:rStyle w:val="Hyperlink"/>
                <w:rFonts w:ascii="Times New Roman" w:eastAsia="Arial" w:hAnsi="Times New Roman" w:cs="Times New Roman"/>
                <w:sz w:val="24"/>
                <w:szCs w:val="24"/>
              </w:rPr>
              <w:t>6.</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Procjena očekivanih ušteda i širih koristi utemeljena na računskim i modelskim podacima</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_Toc3277932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95</w:t>
            </w:r>
            <w:r w:rsidR="00A62920" w:rsidRPr="009C52C4">
              <w:rPr>
                <w:rFonts w:ascii="Times New Roman" w:hAnsi="Times New Roman" w:cs="Times New Roman"/>
                <w:webHidden/>
                <w:sz w:val="24"/>
                <w:szCs w:val="24"/>
              </w:rPr>
              <w:fldChar w:fldCharType="end"/>
            </w:r>
          </w:hyperlink>
        </w:p>
        <w:p w14:paraId="5FCDB0E6" w14:textId="34E54615" w:rsidR="00A62920" w:rsidRPr="009C52C4" w:rsidRDefault="00A209E4">
          <w:pPr>
            <w:pStyle w:val="TOC2"/>
            <w:rPr>
              <w:rFonts w:ascii="Times New Roman" w:eastAsiaTheme="minorEastAsia" w:hAnsi="Times New Roman" w:cs="Times New Roman"/>
              <w:noProof/>
              <w:color w:val="auto"/>
              <w:sz w:val="24"/>
              <w:szCs w:val="24"/>
            </w:rPr>
          </w:pPr>
          <w:hyperlink w:anchor="_Toc3277933" w:history="1">
            <w:r w:rsidR="00A62920" w:rsidRPr="009C52C4">
              <w:rPr>
                <w:rStyle w:val="Hyperlink"/>
                <w:rFonts w:ascii="Times New Roman" w:eastAsia="Arial" w:hAnsi="Times New Roman" w:cs="Times New Roman"/>
                <w:noProof/>
                <w:sz w:val="24"/>
                <w:szCs w:val="24"/>
              </w:rPr>
              <w:t>6.1</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Ekonomsko modeliranje integralne obnove zgrada</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_Toc3277933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95</w:t>
            </w:r>
            <w:r w:rsidR="00A62920" w:rsidRPr="009C52C4">
              <w:rPr>
                <w:rFonts w:ascii="Times New Roman" w:hAnsi="Times New Roman" w:cs="Times New Roman"/>
                <w:noProof/>
                <w:webHidden/>
                <w:sz w:val="24"/>
                <w:szCs w:val="24"/>
              </w:rPr>
              <w:fldChar w:fldCharType="end"/>
            </w:r>
          </w:hyperlink>
        </w:p>
        <w:p w14:paraId="71084DAE" w14:textId="35C9BF97" w:rsidR="00A62920" w:rsidRPr="009C52C4" w:rsidRDefault="00A209E4">
          <w:pPr>
            <w:pStyle w:val="TOC2"/>
            <w:rPr>
              <w:rFonts w:ascii="Times New Roman" w:eastAsiaTheme="minorEastAsia" w:hAnsi="Times New Roman" w:cs="Times New Roman"/>
              <w:noProof/>
              <w:color w:val="auto"/>
              <w:sz w:val="24"/>
              <w:szCs w:val="24"/>
            </w:rPr>
          </w:pPr>
          <w:hyperlink w:anchor="_Toc3277934" w:history="1">
            <w:r w:rsidR="00A62920" w:rsidRPr="009C52C4">
              <w:rPr>
                <w:rStyle w:val="Hyperlink"/>
                <w:rFonts w:ascii="Times New Roman" w:eastAsia="Arial" w:hAnsi="Times New Roman" w:cs="Times New Roman"/>
                <w:noProof/>
                <w:sz w:val="24"/>
                <w:szCs w:val="24"/>
              </w:rPr>
              <w:t>6.2</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Makroekonomski okvir</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_Toc3277934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97</w:t>
            </w:r>
            <w:r w:rsidR="00A62920" w:rsidRPr="009C52C4">
              <w:rPr>
                <w:rFonts w:ascii="Times New Roman" w:hAnsi="Times New Roman" w:cs="Times New Roman"/>
                <w:noProof/>
                <w:webHidden/>
                <w:sz w:val="24"/>
                <w:szCs w:val="24"/>
              </w:rPr>
              <w:fldChar w:fldCharType="end"/>
            </w:r>
          </w:hyperlink>
        </w:p>
        <w:p w14:paraId="6698FC27" w14:textId="41817023" w:rsidR="00A62920" w:rsidRPr="009C52C4" w:rsidRDefault="00A209E4">
          <w:pPr>
            <w:pStyle w:val="TOC2"/>
            <w:rPr>
              <w:rFonts w:ascii="Times New Roman" w:eastAsiaTheme="minorEastAsia" w:hAnsi="Times New Roman" w:cs="Times New Roman"/>
              <w:noProof/>
              <w:color w:val="auto"/>
              <w:sz w:val="24"/>
              <w:szCs w:val="24"/>
            </w:rPr>
          </w:pPr>
          <w:hyperlink w:anchor="_Toc3277935" w:history="1">
            <w:r w:rsidR="00A62920" w:rsidRPr="009C52C4">
              <w:rPr>
                <w:rStyle w:val="Hyperlink"/>
                <w:rFonts w:ascii="Times New Roman" w:eastAsia="Arial" w:hAnsi="Times New Roman" w:cs="Times New Roman"/>
                <w:noProof/>
                <w:sz w:val="24"/>
                <w:szCs w:val="24"/>
              </w:rPr>
              <w:t>6.3</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Strateški ciljevi obnove zgrada, potrebna ulaganja i učinci na BDP, ušteda energije, zaposlenost i državni proračun za razdoblje do 2050. godine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_Toc3277935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98</w:t>
            </w:r>
            <w:r w:rsidR="00A62920" w:rsidRPr="009C52C4">
              <w:rPr>
                <w:rFonts w:ascii="Times New Roman" w:hAnsi="Times New Roman" w:cs="Times New Roman"/>
                <w:noProof/>
                <w:webHidden/>
                <w:sz w:val="24"/>
                <w:szCs w:val="24"/>
              </w:rPr>
              <w:fldChar w:fldCharType="end"/>
            </w:r>
          </w:hyperlink>
        </w:p>
        <w:p w14:paraId="160E4C65" w14:textId="03B36237" w:rsidR="00A62920" w:rsidRPr="009C52C4" w:rsidRDefault="00A209E4">
          <w:pPr>
            <w:pStyle w:val="TOC2"/>
            <w:rPr>
              <w:rFonts w:ascii="Times New Roman" w:eastAsiaTheme="minorEastAsia" w:hAnsi="Times New Roman" w:cs="Times New Roman"/>
              <w:noProof/>
              <w:color w:val="auto"/>
              <w:sz w:val="24"/>
              <w:szCs w:val="24"/>
            </w:rPr>
          </w:pPr>
          <w:hyperlink w:anchor="_Toc3277936" w:history="1">
            <w:r w:rsidR="00A62920" w:rsidRPr="009C52C4">
              <w:rPr>
                <w:rStyle w:val="Hyperlink"/>
                <w:rFonts w:ascii="Times New Roman" w:eastAsia="Arial" w:hAnsi="Times New Roman" w:cs="Times New Roman"/>
                <w:noProof/>
                <w:sz w:val="24"/>
                <w:szCs w:val="24"/>
              </w:rPr>
              <w:t>6.4</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Strateški ciljevi obnove zgrada, potrebna ulaganja i učinci na BDP, zaposlenost i državni proračun za razdoblje do 2030. godine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_Toc3277936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104</w:t>
            </w:r>
            <w:r w:rsidR="00A62920" w:rsidRPr="009C52C4">
              <w:rPr>
                <w:rFonts w:ascii="Times New Roman" w:hAnsi="Times New Roman" w:cs="Times New Roman"/>
                <w:noProof/>
                <w:webHidden/>
                <w:sz w:val="24"/>
                <w:szCs w:val="24"/>
              </w:rPr>
              <w:fldChar w:fldCharType="end"/>
            </w:r>
          </w:hyperlink>
        </w:p>
        <w:p w14:paraId="3D958B91" w14:textId="29BB5D9D" w:rsidR="00A62920" w:rsidRPr="009C52C4" w:rsidRDefault="00A209E4">
          <w:pPr>
            <w:pStyle w:val="TOC2"/>
            <w:rPr>
              <w:rFonts w:ascii="Times New Roman" w:eastAsiaTheme="minorEastAsia" w:hAnsi="Times New Roman" w:cs="Times New Roman"/>
              <w:noProof/>
              <w:color w:val="auto"/>
              <w:sz w:val="24"/>
              <w:szCs w:val="24"/>
            </w:rPr>
          </w:pPr>
          <w:hyperlink w:anchor="_Toc3277937" w:history="1">
            <w:r w:rsidR="00A62920" w:rsidRPr="009C52C4">
              <w:rPr>
                <w:rStyle w:val="Hyperlink"/>
                <w:rFonts w:ascii="Times New Roman" w:eastAsia="Arial" w:hAnsi="Times New Roman" w:cs="Times New Roman"/>
                <w:noProof/>
                <w:sz w:val="24"/>
                <w:szCs w:val="24"/>
              </w:rPr>
              <w:t>6.5</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Potencijali i ograničenja građevinske industrije u Hrvatskoj</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_Toc3277937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107</w:t>
            </w:r>
            <w:r w:rsidR="00A62920" w:rsidRPr="009C52C4">
              <w:rPr>
                <w:rFonts w:ascii="Times New Roman" w:hAnsi="Times New Roman" w:cs="Times New Roman"/>
                <w:noProof/>
                <w:webHidden/>
                <w:sz w:val="24"/>
                <w:szCs w:val="24"/>
              </w:rPr>
              <w:fldChar w:fldCharType="end"/>
            </w:r>
          </w:hyperlink>
        </w:p>
        <w:p w14:paraId="2D182174" w14:textId="7E20683E" w:rsidR="00A62920" w:rsidRPr="009C52C4" w:rsidRDefault="00A209E4">
          <w:pPr>
            <w:pStyle w:val="TOC2"/>
            <w:rPr>
              <w:rFonts w:ascii="Times New Roman" w:eastAsiaTheme="minorEastAsia" w:hAnsi="Times New Roman" w:cs="Times New Roman"/>
              <w:noProof/>
              <w:color w:val="auto"/>
              <w:sz w:val="24"/>
              <w:szCs w:val="24"/>
            </w:rPr>
          </w:pPr>
          <w:hyperlink w:anchor="_Toc3277938" w:history="1">
            <w:r w:rsidR="00A62920" w:rsidRPr="009C52C4">
              <w:rPr>
                <w:rStyle w:val="Hyperlink"/>
                <w:rFonts w:ascii="Times New Roman" w:eastAsia="Arial" w:hAnsi="Times New Roman" w:cs="Times New Roman"/>
                <w:noProof/>
                <w:sz w:val="24"/>
                <w:szCs w:val="24"/>
              </w:rPr>
              <w:t>6.6</w:t>
            </w:r>
            <w:r w:rsidR="00A62920" w:rsidRPr="009C52C4">
              <w:rPr>
                <w:rFonts w:ascii="Times New Roman" w:eastAsiaTheme="minorEastAsia" w:hAnsi="Times New Roman" w:cs="Times New Roman"/>
                <w:noProof/>
                <w:color w:val="auto"/>
                <w:sz w:val="24"/>
                <w:szCs w:val="24"/>
              </w:rPr>
              <w:tab/>
            </w:r>
            <w:r w:rsidR="00A62920" w:rsidRPr="009C52C4">
              <w:rPr>
                <w:rStyle w:val="Hyperlink"/>
                <w:rFonts w:ascii="Times New Roman" w:hAnsi="Times New Roman" w:cs="Times New Roman"/>
                <w:noProof/>
                <w:sz w:val="24"/>
                <w:szCs w:val="24"/>
              </w:rPr>
              <w:t>Ostale koristi od provedbe Dugoročne strategije za poticanja obnove nacionalnog fonda zgrada Republike Hrvatske</w:t>
            </w:r>
            <w:r w:rsidR="00A62920" w:rsidRPr="009C52C4">
              <w:rPr>
                <w:rFonts w:ascii="Times New Roman" w:hAnsi="Times New Roman" w:cs="Times New Roman"/>
                <w:noProof/>
                <w:webHidden/>
                <w:sz w:val="24"/>
                <w:szCs w:val="24"/>
              </w:rPr>
              <w:tab/>
            </w:r>
            <w:r w:rsidR="00A62920" w:rsidRPr="009C52C4">
              <w:rPr>
                <w:rFonts w:ascii="Times New Roman" w:hAnsi="Times New Roman" w:cs="Times New Roman"/>
                <w:noProof/>
                <w:webHidden/>
                <w:sz w:val="24"/>
                <w:szCs w:val="24"/>
              </w:rPr>
              <w:fldChar w:fldCharType="begin"/>
            </w:r>
            <w:r w:rsidR="00A62920" w:rsidRPr="009C52C4">
              <w:rPr>
                <w:rFonts w:ascii="Times New Roman" w:hAnsi="Times New Roman" w:cs="Times New Roman"/>
                <w:noProof/>
                <w:webHidden/>
                <w:sz w:val="24"/>
                <w:szCs w:val="24"/>
              </w:rPr>
              <w:instrText xml:space="preserve"> PAGEREF _Toc3277938 \h </w:instrText>
            </w:r>
            <w:r w:rsidR="00A62920" w:rsidRPr="009C52C4">
              <w:rPr>
                <w:rFonts w:ascii="Times New Roman" w:hAnsi="Times New Roman" w:cs="Times New Roman"/>
                <w:noProof/>
                <w:webHidden/>
                <w:sz w:val="24"/>
                <w:szCs w:val="24"/>
              </w:rPr>
            </w:r>
            <w:r w:rsidR="00A62920"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109</w:t>
            </w:r>
            <w:r w:rsidR="00A62920" w:rsidRPr="009C52C4">
              <w:rPr>
                <w:rFonts w:ascii="Times New Roman" w:hAnsi="Times New Roman" w:cs="Times New Roman"/>
                <w:noProof/>
                <w:webHidden/>
                <w:sz w:val="24"/>
                <w:szCs w:val="24"/>
              </w:rPr>
              <w:fldChar w:fldCharType="end"/>
            </w:r>
          </w:hyperlink>
        </w:p>
        <w:p w14:paraId="11C82893" w14:textId="469C2D3F" w:rsidR="00A62920" w:rsidRPr="009C52C4" w:rsidRDefault="00A209E4">
          <w:pPr>
            <w:pStyle w:val="TOC1"/>
            <w:tabs>
              <w:tab w:val="left" w:pos="440"/>
            </w:tabs>
            <w:rPr>
              <w:rFonts w:ascii="Times New Roman" w:eastAsiaTheme="minorEastAsia" w:hAnsi="Times New Roman" w:cs="Times New Roman"/>
              <w:color w:val="auto"/>
              <w:sz w:val="24"/>
              <w:szCs w:val="24"/>
            </w:rPr>
          </w:pPr>
          <w:hyperlink w:anchor="_Toc3277939" w:history="1">
            <w:r w:rsidR="00A62920" w:rsidRPr="009C52C4">
              <w:rPr>
                <w:rStyle w:val="Hyperlink"/>
                <w:rFonts w:ascii="Times New Roman" w:eastAsia="Arial" w:hAnsi="Times New Roman" w:cs="Times New Roman"/>
                <w:sz w:val="24"/>
                <w:szCs w:val="24"/>
              </w:rPr>
              <w:t>7.</w:t>
            </w:r>
            <w:r w:rsidR="00A62920" w:rsidRPr="009C52C4">
              <w:rPr>
                <w:rFonts w:ascii="Times New Roman" w:eastAsiaTheme="minorEastAsia" w:hAnsi="Times New Roman" w:cs="Times New Roman"/>
                <w:color w:val="auto"/>
                <w:sz w:val="24"/>
                <w:szCs w:val="24"/>
              </w:rPr>
              <w:tab/>
            </w:r>
            <w:r w:rsidR="00A62920" w:rsidRPr="009C52C4">
              <w:rPr>
                <w:rStyle w:val="Hyperlink"/>
                <w:rFonts w:ascii="Times New Roman" w:hAnsi="Times New Roman" w:cs="Times New Roman"/>
                <w:sz w:val="24"/>
                <w:szCs w:val="24"/>
              </w:rPr>
              <w:t>Zaključak</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_Toc3277939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112</w:t>
            </w:r>
            <w:r w:rsidR="00A62920" w:rsidRPr="009C52C4">
              <w:rPr>
                <w:rFonts w:ascii="Times New Roman" w:hAnsi="Times New Roman" w:cs="Times New Roman"/>
                <w:webHidden/>
                <w:sz w:val="24"/>
                <w:szCs w:val="24"/>
              </w:rPr>
              <w:fldChar w:fldCharType="end"/>
            </w:r>
          </w:hyperlink>
        </w:p>
        <w:p w14:paraId="46C9432D" w14:textId="137541AB" w:rsidR="00A62920" w:rsidRPr="009C52C4" w:rsidRDefault="00A209E4">
          <w:pPr>
            <w:pStyle w:val="TOC1"/>
            <w:rPr>
              <w:rFonts w:ascii="Times New Roman" w:eastAsiaTheme="minorEastAsia" w:hAnsi="Times New Roman" w:cs="Times New Roman"/>
              <w:color w:val="auto"/>
              <w:sz w:val="24"/>
              <w:szCs w:val="24"/>
            </w:rPr>
          </w:pPr>
          <w:hyperlink w:anchor="_Toc3277940" w:history="1">
            <w:r w:rsidR="00A62920" w:rsidRPr="009C52C4">
              <w:rPr>
                <w:rStyle w:val="Hyperlink"/>
                <w:rFonts w:ascii="Times New Roman" w:hAnsi="Times New Roman" w:cs="Times New Roman"/>
                <w:sz w:val="24"/>
                <w:szCs w:val="24"/>
              </w:rPr>
              <w:t>Prilog 1 Prikaz mjera energetske učinkovitosti i obnovljivih izvora energije za svaku kategoriju zgrada</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_Toc3277940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115</w:t>
            </w:r>
            <w:r w:rsidR="00A62920" w:rsidRPr="009C52C4">
              <w:rPr>
                <w:rFonts w:ascii="Times New Roman" w:hAnsi="Times New Roman" w:cs="Times New Roman"/>
                <w:webHidden/>
                <w:sz w:val="24"/>
                <w:szCs w:val="24"/>
              </w:rPr>
              <w:fldChar w:fldCharType="end"/>
            </w:r>
          </w:hyperlink>
        </w:p>
        <w:p w14:paraId="322302E5" w14:textId="082966CF" w:rsidR="00A62920" w:rsidRPr="009C52C4" w:rsidRDefault="00A209E4">
          <w:pPr>
            <w:pStyle w:val="TOC1"/>
            <w:rPr>
              <w:rFonts w:ascii="Times New Roman" w:eastAsiaTheme="minorEastAsia" w:hAnsi="Times New Roman" w:cs="Times New Roman"/>
              <w:color w:val="auto"/>
              <w:sz w:val="24"/>
              <w:szCs w:val="24"/>
            </w:rPr>
          </w:pPr>
          <w:hyperlink w:anchor="_Toc3277941" w:history="1">
            <w:r w:rsidR="00A62920" w:rsidRPr="009C52C4">
              <w:rPr>
                <w:rStyle w:val="Hyperlink"/>
                <w:rFonts w:ascii="Times New Roman" w:hAnsi="Times New Roman" w:cs="Times New Roman"/>
                <w:sz w:val="24"/>
                <w:szCs w:val="24"/>
              </w:rPr>
              <w:t>Prilog 2 Prikaz specifičnih parametara mjera EnU i OIE mogućih modela obnove zgrada javne namjene kontinentalne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_Toc3277941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119</w:t>
            </w:r>
            <w:r w:rsidR="00A62920" w:rsidRPr="009C52C4">
              <w:rPr>
                <w:rFonts w:ascii="Times New Roman" w:hAnsi="Times New Roman" w:cs="Times New Roman"/>
                <w:webHidden/>
                <w:sz w:val="24"/>
                <w:szCs w:val="24"/>
              </w:rPr>
              <w:fldChar w:fldCharType="end"/>
            </w:r>
          </w:hyperlink>
        </w:p>
        <w:p w14:paraId="0432D41A" w14:textId="72C8D24B" w:rsidR="00A62920" w:rsidRPr="009C52C4" w:rsidRDefault="00A209E4">
          <w:pPr>
            <w:pStyle w:val="TOC1"/>
            <w:rPr>
              <w:rFonts w:ascii="Times New Roman" w:eastAsiaTheme="minorEastAsia" w:hAnsi="Times New Roman" w:cs="Times New Roman"/>
              <w:color w:val="auto"/>
              <w:sz w:val="24"/>
              <w:szCs w:val="24"/>
            </w:rPr>
          </w:pPr>
          <w:hyperlink w:anchor="_Toc3277942" w:history="1">
            <w:r w:rsidR="00A62920" w:rsidRPr="009C52C4">
              <w:rPr>
                <w:rStyle w:val="Hyperlink"/>
                <w:rFonts w:ascii="Times New Roman" w:hAnsi="Times New Roman" w:cs="Times New Roman"/>
                <w:sz w:val="24"/>
                <w:szCs w:val="24"/>
              </w:rPr>
              <w:t>Prilog 3 Prikaz parametara različitih modela obnove zgrada javne namjene kontinentalne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_Toc3277942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121</w:t>
            </w:r>
            <w:r w:rsidR="00A62920" w:rsidRPr="009C52C4">
              <w:rPr>
                <w:rFonts w:ascii="Times New Roman" w:hAnsi="Times New Roman" w:cs="Times New Roman"/>
                <w:webHidden/>
                <w:sz w:val="24"/>
                <w:szCs w:val="24"/>
              </w:rPr>
              <w:fldChar w:fldCharType="end"/>
            </w:r>
          </w:hyperlink>
        </w:p>
        <w:p w14:paraId="2CFF92CF" w14:textId="672ED285" w:rsidR="00A62920" w:rsidRPr="009C52C4" w:rsidRDefault="00A209E4">
          <w:pPr>
            <w:pStyle w:val="TOC1"/>
            <w:rPr>
              <w:rFonts w:ascii="Times New Roman" w:eastAsiaTheme="minorEastAsia" w:hAnsi="Times New Roman" w:cs="Times New Roman"/>
              <w:color w:val="auto"/>
              <w:sz w:val="24"/>
              <w:szCs w:val="24"/>
            </w:rPr>
          </w:pPr>
          <w:hyperlink w:anchor="_Toc3277943" w:history="1">
            <w:r w:rsidR="00A62920" w:rsidRPr="009C52C4">
              <w:rPr>
                <w:rStyle w:val="Hyperlink"/>
                <w:rFonts w:ascii="Times New Roman" w:hAnsi="Times New Roman" w:cs="Times New Roman"/>
                <w:sz w:val="24"/>
                <w:szCs w:val="24"/>
              </w:rPr>
              <w:t>Prilog 4 Prikaz specifičnih parametara mjera EnU i OIE mogućih modela obnove zgrada javne namjene primorske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_Toc3277943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122</w:t>
            </w:r>
            <w:r w:rsidR="00A62920" w:rsidRPr="009C52C4">
              <w:rPr>
                <w:rFonts w:ascii="Times New Roman" w:hAnsi="Times New Roman" w:cs="Times New Roman"/>
                <w:webHidden/>
                <w:sz w:val="24"/>
                <w:szCs w:val="24"/>
              </w:rPr>
              <w:fldChar w:fldCharType="end"/>
            </w:r>
          </w:hyperlink>
        </w:p>
        <w:p w14:paraId="63AFCCDD" w14:textId="2A895683" w:rsidR="00A62920" w:rsidRPr="009C52C4" w:rsidRDefault="00A209E4">
          <w:pPr>
            <w:pStyle w:val="TOC1"/>
            <w:rPr>
              <w:rFonts w:ascii="Times New Roman" w:eastAsiaTheme="minorEastAsia" w:hAnsi="Times New Roman" w:cs="Times New Roman"/>
              <w:color w:val="auto"/>
              <w:sz w:val="24"/>
              <w:szCs w:val="24"/>
            </w:rPr>
          </w:pPr>
          <w:hyperlink w:anchor="_Toc3277944" w:history="1">
            <w:r w:rsidR="00A62920" w:rsidRPr="009C52C4">
              <w:rPr>
                <w:rStyle w:val="Hyperlink"/>
                <w:rFonts w:ascii="Times New Roman" w:hAnsi="Times New Roman" w:cs="Times New Roman"/>
                <w:sz w:val="24"/>
                <w:szCs w:val="24"/>
              </w:rPr>
              <w:t>Prilog 5 Prikaz parametara različitih modela obnove zgrada javne namjene primorske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_Toc3277944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124</w:t>
            </w:r>
            <w:r w:rsidR="00A62920" w:rsidRPr="009C52C4">
              <w:rPr>
                <w:rFonts w:ascii="Times New Roman" w:hAnsi="Times New Roman" w:cs="Times New Roman"/>
                <w:webHidden/>
                <w:sz w:val="24"/>
                <w:szCs w:val="24"/>
              </w:rPr>
              <w:fldChar w:fldCharType="end"/>
            </w:r>
          </w:hyperlink>
        </w:p>
        <w:p w14:paraId="6A5326EE" w14:textId="7C1E2819" w:rsidR="00A62920" w:rsidRPr="009C52C4" w:rsidRDefault="00A209E4">
          <w:pPr>
            <w:pStyle w:val="TOC1"/>
            <w:rPr>
              <w:rFonts w:ascii="Times New Roman" w:eastAsiaTheme="minorEastAsia" w:hAnsi="Times New Roman" w:cs="Times New Roman"/>
              <w:color w:val="auto"/>
              <w:sz w:val="24"/>
              <w:szCs w:val="24"/>
            </w:rPr>
          </w:pPr>
          <w:hyperlink w:anchor="_Toc3277945" w:history="1">
            <w:r w:rsidR="00A62920" w:rsidRPr="009C52C4">
              <w:rPr>
                <w:rStyle w:val="Hyperlink"/>
                <w:rFonts w:ascii="Times New Roman" w:hAnsi="Times New Roman" w:cs="Times New Roman"/>
                <w:sz w:val="24"/>
                <w:szCs w:val="24"/>
              </w:rPr>
              <w:t>Prilog 6 Prikaz specifičnih parametara mjera EnU i OIE mogućih modela obnove zgrada komercijalne namjene kontinentalne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_Toc3277945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125</w:t>
            </w:r>
            <w:r w:rsidR="00A62920" w:rsidRPr="009C52C4">
              <w:rPr>
                <w:rFonts w:ascii="Times New Roman" w:hAnsi="Times New Roman" w:cs="Times New Roman"/>
                <w:webHidden/>
                <w:sz w:val="24"/>
                <w:szCs w:val="24"/>
              </w:rPr>
              <w:fldChar w:fldCharType="end"/>
            </w:r>
          </w:hyperlink>
        </w:p>
        <w:p w14:paraId="130960D7" w14:textId="53AD9BA1" w:rsidR="00A62920" w:rsidRPr="009C52C4" w:rsidRDefault="00A209E4">
          <w:pPr>
            <w:pStyle w:val="TOC1"/>
            <w:rPr>
              <w:rFonts w:ascii="Times New Roman" w:eastAsiaTheme="minorEastAsia" w:hAnsi="Times New Roman" w:cs="Times New Roman"/>
              <w:color w:val="auto"/>
              <w:sz w:val="24"/>
              <w:szCs w:val="24"/>
            </w:rPr>
          </w:pPr>
          <w:hyperlink w:anchor="_Toc3277946" w:history="1">
            <w:r w:rsidR="00A62920" w:rsidRPr="009C52C4">
              <w:rPr>
                <w:rStyle w:val="Hyperlink"/>
                <w:rFonts w:ascii="Times New Roman" w:hAnsi="Times New Roman" w:cs="Times New Roman"/>
                <w:sz w:val="24"/>
                <w:szCs w:val="24"/>
              </w:rPr>
              <w:t>Prilog 7 Prikaz parametara različitih modela obnove zgrada komercijalne namjene kontinentalne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_Toc3277946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127</w:t>
            </w:r>
            <w:r w:rsidR="00A62920" w:rsidRPr="009C52C4">
              <w:rPr>
                <w:rFonts w:ascii="Times New Roman" w:hAnsi="Times New Roman" w:cs="Times New Roman"/>
                <w:webHidden/>
                <w:sz w:val="24"/>
                <w:szCs w:val="24"/>
              </w:rPr>
              <w:fldChar w:fldCharType="end"/>
            </w:r>
          </w:hyperlink>
        </w:p>
        <w:p w14:paraId="69D4CC8E" w14:textId="50C9C7AB" w:rsidR="00A62920" w:rsidRPr="009C52C4" w:rsidRDefault="00A209E4">
          <w:pPr>
            <w:pStyle w:val="TOC1"/>
            <w:rPr>
              <w:rFonts w:ascii="Times New Roman" w:eastAsiaTheme="minorEastAsia" w:hAnsi="Times New Roman" w:cs="Times New Roman"/>
              <w:color w:val="auto"/>
              <w:sz w:val="24"/>
              <w:szCs w:val="24"/>
            </w:rPr>
          </w:pPr>
          <w:hyperlink w:anchor="_Toc3277947" w:history="1">
            <w:r w:rsidR="00A62920" w:rsidRPr="009C52C4">
              <w:rPr>
                <w:rStyle w:val="Hyperlink"/>
                <w:rFonts w:ascii="Times New Roman" w:hAnsi="Times New Roman" w:cs="Times New Roman"/>
                <w:sz w:val="24"/>
                <w:szCs w:val="24"/>
              </w:rPr>
              <w:t>Prilog 8 Prikaz specifičnih parametara mjera EnU i OIE mogućih modela obnove zgrada komercijalne namjene primorske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_Toc3277947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128</w:t>
            </w:r>
            <w:r w:rsidR="00A62920" w:rsidRPr="009C52C4">
              <w:rPr>
                <w:rFonts w:ascii="Times New Roman" w:hAnsi="Times New Roman" w:cs="Times New Roman"/>
                <w:webHidden/>
                <w:sz w:val="24"/>
                <w:szCs w:val="24"/>
              </w:rPr>
              <w:fldChar w:fldCharType="end"/>
            </w:r>
          </w:hyperlink>
        </w:p>
        <w:p w14:paraId="23B8431F" w14:textId="333C293C" w:rsidR="00A62920" w:rsidRPr="009C52C4" w:rsidRDefault="00A209E4">
          <w:pPr>
            <w:pStyle w:val="TOC1"/>
            <w:rPr>
              <w:rFonts w:ascii="Times New Roman" w:eastAsiaTheme="minorEastAsia" w:hAnsi="Times New Roman" w:cs="Times New Roman"/>
              <w:color w:val="auto"/>
              <w:sz w:val="24"/>
              <w:szCs w:val="24"/>
            </w:rPr>
          </w:pPr>
          <w:hyperlink w:anchor="_Toc3277948" w:history="1">
            <w:r w:rsidR="00A62920" w:rsidRPr="009C52C4">
              <w:rPr>
                <w:rStyle w:val="Hyperlink"/>
                <w:rFonts w:ascii="Times New Roman" w:hAnsi="Times New Roman" w:cs="Times New Roman"/>
                <w:sz w:val="24"/>
                <w:szCs w:val="24"/>
              </w:rPr>
              <w:t>Prilog 9 Prikaz parametara različitih modela obnove zgrada komercijalne namjene primorske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_Toc3277948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130</w:t>
            </w:r>
            <w:r w:rsidR="00A62920" w:rsidRPr="009C52C4">
              <w:rPr>
                <w:rFonts w:ascii="Times New Roman" w:hAnsi="Times New Roman" w:cs="Times New Roman"/>
                <w:webHidden/>
                <w:sz w:val="24"/>
                <w:szCs w:val="24"/>
              </w:rPr>
              <w:fldChar w:fldCharType="end"/>
            </w:r>
          </w:hyperlink>
        </w:p>
        <w:p w14:paraId="6EF3C670" w14:textId="7C04350B" w:rsidR="00A62920" w:rsidRPr="009C52C4" w:rsidRDefault="00A209E4">
          <w:pPr>
            <w:pStyle w:val="TOC1"/>
            <w:rPr>
              <w:rFonts w:ascii="Times New Roman" w:eastAsiaTheme="minorEastAsia" w:hAnsi="Times New Roman" w:cs="Times New Roman"/>
              <w:color w:val="auto"/>
              <w:sz w:val="24"/>
              <w:szCs w:val="24"/>
            </w:rPr>
          </w:pPr>
          <w:hyperlink w:anchor="_Toc3277949" w:history="1">
            <w:r w:rsidR="00A62920" w:rsidRPr="009C52C4">
              <w:rPr>
                <w:rStyle w:val="Hyperlink"/>
                <w:rFonts w:ascii="Times New Roman" w:hAnsi="Times New Roman" w:cs="Times New Roman"/>
                <w:sz w:val="24"/>
                <w:szCs w:val="24"/>
              </w:rPr>
              <w:t>Prilog 10 Prikaz specifičnih parametara mjera EnU i OIE mogućih modela obnove višestambenih zgrada kontinentalne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_Toc3277949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131</w:t>
            </w:r>
            <w:r w:rsidR="00A62920" w:rsidRPr="009C52C4">
              <w:rPr>
                <w:rFonts w:ascii="Times New Roman" w:hAnsi="Times New Roman" w:cs="Times New Roman"/>
                <w:webHidden/>
                <w:sz w:val="24"/>
                <w:szCs w:val="24"/>
              </w:rPr>
              <w:fldChar w:fldCharType="end"/>
            </w:r>
          </w:hyperlink>
        </w:p>
        <w:p w14:paraId="1910B026" w14:textId="0B955797" w:rsidR="00A62920" w:rsidRPr="009C52C4" w:rsidRDefault="00A209E4">
          <w:pPr>
            <w:pStyle w:val="TOC1"/>
            <w:rPr>
              <w:rFonts w:ascii="Times New Roman" w:eastAsiaTheme="minorEastAsia" w:hAnsi="Times New Roman" w:cs="Times New Roman"/>
              <w:color w:val="auto"/>
              <w:sz w:val="24"/>
              <w:szCs w:val="24"/>
            </w:rPr>
          </w:pPr>
          <w:hyperlink w:anchor="_Toc3277950" w:history="1">
            <w:r w:rsidR="00A62920" w:rsidRPr="009C52C4">
              <w:rPr>
                <w:rStyle w:val="Hyperlink"/>
                <w:rFonts w:ascii="Times New Roman" w:hAnsi="Times New Roman" w:cs="Times New Roman"/>
                <w:sz w:val="24"/>
                <w:szCs w:val="24"/>
              </w:rPr>
              <w:t>Prilog 11 Prikaz parametara različitih modela obnove višestambenih zgrada kontinentalne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_Toc3277950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132</w:t>
            </w:r>
            <w:r w:rsidR="00A62920" w:rsidRPr="009C52C4">
              <w:rPr>
                <w:rFonts w:ascii="Times New Roman" w:hAnsi="Times New Roman" w:cs="Times New Roman"/>
                <w:webHidden/>
                <w:sz w:val="24"/>
                <w:szCs w:val="24"/>
              </w:rPr>
              <w:fldChar w:fldCharType="end"/>
            </w:r>
          </w:hyperlink>
        </w:p>
        <w:p w14:paraId="30426637" w14:textId="667268EF" w:rsidR="00A62920" w:rsidRPr="009C52C4" w:rsidRDefault="00A209E4">
          <w:pPr>
            <w:pStyle w:val="TOC1"/>
            <w:rPr>
              <w:rFonts w:ascii="Times New Roman" w:eastAsiaTheme="minorEastAsia" w:hAnsi="Times New Roman" w:cs="Times New Roman"/>
              <w:color w:val="auto"/>
              <w:sz w:val="24"/>
              <w:szCs w:val="24"/>
            </w:rPr>
          </w:pPr>
          <w:hyperlink w:anchor="_Toc3277951" w:history="1">
            <w:r w:rsidR="00A62920" w:rsidRPr="009C52C4">
              <w:rPr>
                <w:rStyle w:val="Hyperlink"/>
                <w:rFonts w:ascii="Times New Roman" w:hAnsi="Times New Roman" w:cs="Times New Roman"/>
                <w:sz w:val="24"/>
                <w:szCs w:val="24"/>
              </w:rPr>
              <w:t>Prilog 12 Prikaz specifičnih parametara mjera EnU i OIE mogućih modela obnove višestambenih zgrada primorske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_Toc3277951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133</w:t>
            </w:r>
            <w:r w:rsidR="00A62920" w:rsidRPr="009C52C4">
              <w:rPr>
                <w:rFonts w:ascii="Times New Roman" w:hAnsi="Times New Roman" w:cs="Times New Roman"/>
                <w:webHidden/>
                <w:sz w:val="24"/>
                <w:szCs w:val="24"/>
              </w:rPr>
              <w:fldChar w:fldCharType="end"/>
            </w:r>
          </w:hyperlink>
        </w:p>
        <w:p w14:paraId="7E581F99" w14:textId="766867E0" w:rsidR="00A62920" w:rsidRPr="009C52C4" w:rsidRDefault="00A209E4">
          <w:pPr>
            <w:pStyle w:val="TOC1"/>
            <w:rPr>
              <w:rFonts w:ascii="Times New Roman" w:eastAsiaTheme="minorEastAsia" w:hAnsi="Times New Roman" w:cs="Times New Roman"/>
              <w:color w:val="auto"/>
              <w:sz w:val="24"/>
              <w:szCs w:val="24"/>
            </w:rPr>
          </w:pPr>
          <w:hyperlink w:anchor="_Toc3277952" w:history="1">
            <w:r w:rsidR="00A62920" w:rsidRPr="009C52C4">
              <w:rPr>
                <w:rStyle w:val="Hyperlink"/>
                <w:rFonts w:ascii="Times New Roman" w:hAnsi="Times New Roman" w:cs="Times New Roman"/>
                <w:sz w:val="24"/>
                <w:szCs w:val="24"/>
              </w:rPr>
              <w:t>Prilog 13 Prikaz parametara različitih modela obnove višestambenih zgrada primorske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_Toc3277952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134</w:t>
            </w:r>
            <w:r w:rsidR="00A62920" w:rsidRPr="009C52C4">
              <w:rPr>
                <w:rFonts w:ascii="Times New Roman" w:hAnsi="Times New Roman" w:cs="Times New Roman"/>
                <w:webHidden/>
                <w:sz w:val="24"/>
                <w:szCs w:val="24"/>
              </w:rPr>
              <w:fldChar w:fldCharType="end"/>
            </w:r>
          </w:hyperlink>
        </w:p>
        <w:p w14:paraId="15C125B3" w14:textId="5E5826B8" w:rsidR="00A62920" w:rsidRPr="009C52C4" w:rsidRDefault="00A209E4">
          <w:pPr>
            <w:pStyle w:val="TOC1"/>
            <w:rPr>
              <w:rFonts w:ascii="Times New Roman" w:eastAsiaTheme="minorEastAsia" w:hAnsi="Times New Roman" w:cs="Times New Roman"/>
              <w:color w:val="auto"/>
              <w:sz w:val="24"/>
              <w:szCs w:val="24"/>
            </w:rPr>
          </w:pPr>
          <w:hyperlink w:anchor="_Toc3277953" w:history="1">
            <w:r w:rsidR="00A62920" w:rsidRPr="009C52C4">
              <w:rPr>
                <w:rStyle w:val="Hyperlink"/>
                <w:rFonts w:ascii="Times New Roman" w:hAnsi="Times New Roman" w:cs="Times New Roman"/>
                <w:sz w:val="24"/>
                <w:szCs w:val="24"/>
              </w:rPr>
              <w:t>Prilog 14 Prikaz specifičnih parametara mjera EnU i OIE mogućih modela obnove obiteljskih kuća kontinentalne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_Toc3277953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135</w:t>
            </w:r>
            <w:r w:rsidR="00A62920" w:rsidRPr="009C52C4">
              <w:rPr>
                <w:rFonts w:ascii="Times New Roman" w:hAnsi="Times New Roman" w:cs="Times New Roman"/>
                <w:webHidden/>
                <w:sz w:val="24"/>
                <w:szCs w:val="24"/>
              </w:rPr>
              <w:fldChar w:fldCharType="end"/>
            </w:r>
          </w:hyperlink>
        </w:p>
        <w:p w14:paraId="2DCFF3E8" w14:textId="3CA7389F" w:rsidR="00A62920" w:rsidRPr="009C52C4" w:rsidRDefault="00A209E4">
          <w:pPr>
            <w:pStyle w:val="TOC1"/>
            <w:rPr>
              <w:rFonts w:ascii="Times New Roman" w:eastAsiaTheme="minorEastAsia" w:hAnsi="Times New Roman" w:cs="Times New Roman"/>
              <w:color w:val="auto"/>
              <w:sz w:val="24"/>
              <w:szCs w:val="24"/>
            </w:rPr>
          </w:pPr>
          <w:hyperlink w:anchor="_Toc3277954" w:history="1">
            <w:r w:rsidR="00A62920" w:rsidRPr="009C52C4">
              <w:rPr>
                <w:rStyle w:val="Hyperlink"/>
                <w:rFonts w:ascii="Times New Roman" w:hAnsi="Times New Roman" w:cs="Times New Roman"/>
                <w:b/>
                <w:sz w:val="24"/>
                <w:szCs w:val="24"/>
              </w:rPr>
              <w:t>Prilog 15 Prikaz parametara različitih modela obnove obiteljskih kuća kontinentalne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_Toc3277954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137</w:t>
            </w:r>
            <w:r w:rsidR="00A62920" w:rsidRPr="009C52C4">
              <w:rPr>
                <w:rFonts w:ascii="Times New Roman" w:hAnsi="Times New Roman" w:cs="Times New Roman"/>
                <w:webHidden/>
                <w:sz w:val="24"/>
                <w:szCs w:val="24"/>
              </w:rPr>
              <w:fldChar w:fldCharType="end"/>
            </w:r>
          </w:hyperlink>
        </w:p>
        <w:p w14:paraId="1DCCE7BF" w14:textId="3672795D" w:rsidR="00A62920" w:rsidRPr="009C52C4" w:rsidRDefault="00A209E4">
          <w:pPr>
            <w:pStyle w:val="TOC1"/>
            <w:rPr>
              <w:rFonts w:ascii="Times New Roman" w:eastAsiaTheme="minorEastAsia" w:hAnsi="Times New Roman" w:cs="Times New Roman"/>
              <w:color w:val="auto"/>
              <w:sz w:val="24"/>
              <w:szCs w:val="24"/>
            </w:rPr>
          </w:pPr>
          <w:hyperlink w:anchor="_Toc3277955" w:history="1">
            <w:r w:rsidR="00A62920" w:rsidRPr="009C52C4">
              <w:rPr>
                <w:rStyle w:val="Hyperlink"/>
                <w:rFonts w:ascii="Times New Roman" w:hAnsi="Times New Roman" w:cs="Times New Roman"/>
                <w:sz w:val="24"/>
                <w:szCs w:val="24"/>
              </w:rPr>
              <w:t>Prilog 16 Prikaz specifičnih parametara mjera EnU i OIE mogućih modela obnove obiteljskih kuća primorske Hrvatske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_Toc3277955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138</w:t>
            </w:r>
            <w:r w:rsidR="00A62920" w:rsidRPr="009C52C4">
              <w:rPr>
                <w:rFonts w:ascii="Times New Roman" w:hAnsi="Times New Roman" w:cs="Times New Roman"/>
                <w:webHidden/>
                <w:sz w:val="24"/>
                <w:szCs w:val="24"/>
              </w:rPr>
              <w:fldChar w:fldCharType="end"/>
            </w:r>
          </w:hyperlink>
        </w:p>
        <w:p w14:paraId="58E34368" w14:textId="7123273E" w:rsidR="00A62920" w:rsidRPr="009C52C4" w:rsidRDefault="00A209E4">
          <w:pPr>
            <w:pStyle w:val="TOC1"/>
            <w:rPr>
              <w:rFonts w:ascii="Times New Roman" w:eastAsiaTheme="minorEastAsia" w:hAnsi="Times New Roman" w:cs="Times New Roman"/>
              <w:color w:val="auto"/>
              <w:sz w:val="24"/>
              <w:szCs w:val="24"/>
            </w:rPr>
          </w:pPr>
          <w:hyperlink w:anchor="_Toc3277956" w:history="1">
            <w:r w:rsidR="00A62920" w:rsidRPr="009C52C4">
              <w:rPr>
                <w:rStyle w:val="Hyperlink"/>
                <w:rFonts w:ascii="Times New Roman" w:hAnsi="Times New Roman" w:cs="Times New Roman"/>
                <w:sz w:val="24"/>
                <w:szCs w:val="24"/>
              </w:rPr>
              <w:t>Prilog 17 Prikaz parametara različitih modela obnove obiteljskih kuća primorske Hrvatske za različita razdoblja kalkulacije</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_Toc3277956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140</w:t>
            </w:r>
            <w:r w:rsidR="00A62920" w:rsidRPr="009C52C4">
              <w:rPr>
                <w:rFonts w:ascii="Times New Roman" w:hAnsi="Times New Roman" w:cs="Times New Roman"/>
                <w:webHidden/>
                <w:sz w:val="24"/>
                <w:szCs w:val="24"/>
              </w:rPr>
              <w:fldChar w:fldCharType="end"/>
            </w:r>
          </w:hyperlink>
        </w:p>
        <w:p w14:paraId="219DCF64" w14:textId="79CC95B1" w:rsidR="00A62920" w:rsidRPr="009C52C4" w:rsidRDefault="00A209E4">
          <w:pPr>
            <w:pStyle w:val="TOC1"/>
            <w:rPr>
              <w:rFonts w:ascii="Times New Roman" w:eastAsiaTheme="minorEastAsia" w:hAnsi="Times New Roman" w:cs="Times New Roman"/>
              <w:color w:val="auto"/>
              <w:sz w:val="24"/>
              <w:szCs w:val="24"/>
            </w:rPr>
          </w:pPr>
          <w:hyperlink w:anchor="_Toc3277957" w:history="1">
            <w:r w:rsidR="00A62920" w:rsidRPr="009C52C4">
              <w:rPr>
                <w:rStyle w:val="Hyperlink"/>
                <w:rFonts w:ascii="Times New Roman" w:hAnsi="Times New Roman" w:cs="Times New Roman"/>
                <w:sz w:val="24"/>
                <w:szCs w:val="24"/>
              </w:rPr>
              <w:t>Prilog 18 Struktura ulaganja u obnovu nacionalnog fonda zgrada za razdoblje 2017.-2049.</w:t>
            </w:r>
            <w:r w:rsidR="00A62920" w:rsidRPr="009C52C4">
              <w:rPr>
                <w:rFonts w:ascii="Times New Roman" w:hAnsi="Times New Roman" w:cs="Times New Roman"/>
                <w:webHidden/>
                <w:sz w:val="24"/>
                <w:szCs w:val="24"/>
              </w:rPr>
              <w:tab/>
            </w:r>
            <w:r w:rsidR="00A62920" w:rsidRPr="009C52C4">
              <w:rPr>
                <w:rFonts w:ascii="Times New Roman" w:hAnsi="Times New Roman" w:cs="Times New Roman"/>
                <w:webHidden/>
                <w:sz w:val="24"/>
                <w:szCs w:val="24"/>
              </w:rPr>
              <w:fldChar w:fldCharType="begin"/>
            </w:r>
            <w:r w:rsidR="00A62920" w:rsidRPr="009C52C4">
              <w:rPr>
                <w:rFonts w:ascii="Times New Roman" w:hAnsi="Times New Roman" w:cs="Times New Roman"/>
                <w:webHidden/>
                <w:sz w:val="24"/>
                <w:szCs w:val="24"/>
              </w:rPr>
              <w:instrText xml:space="preserve"> PAGEREF _Toc3277957 \h </w:instrText>
            </w:r>
            <w:r w:rsidR="00A62920" w:rsidRPr="009C52C4">
              <w:rPr>
                <w:rFonts w:ascii="Times New Roman" w:hAnsi="Times New Roman" w:cs="Times New Roman"/>
                <w:webHidden/>
                <w:sz w:val="24"/>
                <w:szCs w:val="24"/>
              </w:rPr>
            </w:r>
            <w:r w:rsidR="00A62920" w:rsidRPr="009C52C4">
              <w:rPr>
                <w:rFonts w:ascii="Times New Roman" w:hAnsi="Times New Roman" w:cs="Times New Roman"/>
                <w:webHidden/>
                <w:sz w:val="24"/>
                <w:szCs w:val="24"/>
              </w:rPr>
              <w:fldChar w:fldCharType="separate"/>
            </w:r>
            <w:r w:rsidR="00A62920" w:rsidRPr="009C52C4">
              <w:rPr>
                <w:rFonts w:ascii="Times New Roman" w:hAnsi="Times New Roman" w:cs="Times New Roman"/>
                <w:webHidden/>
                <w:sz w:val="24"/>
                <w:szCs w:val="24"/>
              </w:rPr>
              <w:t>141</w:t>
            </w:r>
            <w:r w:rsidR="00A62920" w:rsidRPr="009C52C4">
              <w:rPr>
                <w:rFonts w:ascii="Times New Roman" w:hAnsi="Times New Roman" w:cs="Times New Roman"/>
                <w:webHidden/>
                <w:sz w:val="24"/>
                <w:szCs w:val="24"/>
              </w:rPr>
              <w:fldChar w:fldCharType="end"/>
            </w:r>
          </w:hyperlink>
        </w:p>
        <w:p w14:paraId="76FB778C" w14:textId="572E6A53" w:rsidR="00232B85" w:rsidRPr="009C52C4" w:rsidRDefault="00232B85">
          <w:pPr>
            <w:rPr>
              <w:rFonts w:ascii="Times New Roman" w:hAnsi="Times New Roman" w:cs="Times New Roman"/>
              <w:sz w:val="24"/>
              <w:szCs w:val="24"/>
            </w:rPr>
          </w:pPr>
          <w:r w:rsidRPr="009C52C4">
            <w:rPr>
              <w:rFonts w:ascii="Times New Roman" w:hAnsi="Times New Roman" w:cs="Times New Roman"/>
              <w:b/>
              <w:bCs/>
              <w:sz w:val="24"/>
              <w:szCs w:val="24"/>
            </w:rPr>
            <w:fldChar w:fldCharType="end"/>
          </w:r>
        </w:p>
      </w:sdtContent>
    </w:sdt>
    <w:p w14:paraId="28262E3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br w:type="page"/>
      </w:r>
    </w:p>
    <w:p w14:paraId="5BC70336"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b/>
          <w:sz w:val="24"/>
          <w:szCs w:val="24"/>
        </w:rPr>
        <w:lastRenderedPageBreak/>
        <w:t>Popis slika</w:t>
      </w:r>
    </w:p>
    <w:p w14:paraId="7CD320A8" w14:textId="77777777" w:rsidR="006730B1" w:rsidRPr="009C52C4" w:rsidRDefault="006730B1">
      <w:pPr>
        <w:rPr>
          <w:rFonts w:ascii="Times New Roman" w:hAnsi="Times New Roman" w:cs="Times New Roman"/>
          <w:sz w:val="24"/>
          <w:szCs w:val="24"/>
        </w:rPr>
      </w:pPr>
    </w:p>
    <w:p w14:paraId="4BFAC6A4" w14:textId="0688F188" w:rsidR="00211D83" w:rsidRPr="009C52C4" w:rsidRDefault="006730B1">
      <w:pPr>
        <w:pStyle w:val="TableofFigures"/>
        <w:tabs>
          <w:tab w:val="right" w:leader="dot" w:pos="9062"/>
        </w:tabs>
        <w:rPr>
          <w:rFonts w:ascii="Times New Roman" w:eastAsiaTheme="minorEastAsia" w:hAnsi="Times New Roman" w:cs="Times New Roman"/>
          <w:noProof/>
          <w:color w:val="auto"/>
          <w:sz w:val="24"/>
          <w:szCs w:val="24"/>
        </w:rPr>
      </w:pP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TOC \h \z \c "Slika" </w:instrText>
      </w:r>
      <w:r w:rsidRPr="009C52C4">
        <w:rPr>
          <w:rFonts w:ascii="Times New Roman" w:hAnsi="Times New Roman" w:cs="Times New Roman"/>
          <w:sz w:val="24"/>
          <w:szCs w:val="24"/>
        </w:rPr>
        <w:fldChar w:fldCharType="separate"/>
      </w:r>
      <w:hyperlink w:anchor="_Toc2681279" w:history="1">
        <w:r w:rsidR="00211D83" w:rsidRPr="009C52C4">
          <w:rPr>
            <w:rStyle w:val="Hyperlink"/>
            <w:rFonts w:ascii="Times New Roman" w:hAnsi="Times New Roman" w:cs="Times New Roman"/>
            <w:noProof/>
            <w:sz w:val="24"/>
            <w:szCs w:val="24"/>
          </w:rPr>
          <w:t>Slika 4.1 Glavne kategorije postojećih prepreka za integralnu energetsku obnovu nacionalnog fonda zgrada Republike Hrvatske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_Toc2681279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72</w:t>
        </w:r>
        <w:r w:rsidR="00211D83" w:rsidRPr="009C52C4">
          <w:rPr>
            <w:rFonts w:ascii="Times New Roman" w:hAnsi="Times New Roman" w:cs="Times New Roman"/>
            <w:noProof/>
            <w:webHidden/>
            <w:sz w:val="24"/>
            <w:szCs w:val="24"/>
          </w:rPr>
          <w:fldChar w:fldCharType="end"/>
        </w:r>
      </w:hyperlink>
    </w:p>
    <w:p w14:paraId="6EA364DB" w14:textId="2A968F51"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80" w:history="1">
        <w:r w:rsidR="00211D83" w:rsidRPr="009C52C4">
          <w:rPr>
            <w:rStyle w:val="Hyperlink"/>
            <w:rFonts w:ascii="Times New Roman" w:hAnsi="Times New Roman" w:cs="Times New Roman"/>
            <w:noProof/>
            <w:sz w:val="24"/>
            <w:szCs w:val="24"/>
          </w:rPr>
          <w:t>Slika 5.1 Struktura ulaganja u obnovu nacionalnog fonda zgrada RH</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_Toc2681280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85</w:t>
        </w:r>
        <w:r w:rsidR="00211D83" w:rsidRPr="009C52C4">
          <w:rPr>
            <w:rFonts w:ascii="Times New Roman" w:hAnsi="Times New Roman" w:cs="Times New Roman"/>
            <w:noProof/>
            <w:webHidden/>
            <w:sz w:val="24"/>
            <w:szCs w:val="24"/>
          </w:rPr>
          <w:fldChar w:fldCharType="end"/>
        </w:r>
      </w:hyperlink>
    </w:p>
    <w:p w14:paraId="0D611940" w14:textId="42FC5748"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81" w:history="1">
        <w:r w:rsidR="00211D83" w:rsidRPr="009C52C4">
          <w:rPr>
            <w:rStyle w:val="Hyperlink"/>
            <w:rFonts w:ascii="Times New Roman" w:hAnsi="Times New Roman" w:cs="Times New Roman"/>
            <w:noProof/>
            <w:sz w:val="24"/>
            <w:szCs w:val="24"/>
          </w:rPr>
          <w:t>Slika 6.1</w:t>
        </w:r>
        <w:r w:rsidR="00211D83" w:rsidRPr="009C52C4">
          <w:rPr>
            <w:rStyle w:val="Hyperlink"/>
            <w:rFonts w:ascii="Times New Roman" w:hAnsi="Times New Roman" w:cs="Times New Roman"/>
            <w:noProof/>
            <w:sz w:val="24"/>
            <w:szCs w:val="24"/>
            <w:lang w:eastAsia="en-US"/>
          </w:rPr>
          <w:t xml:space="preserve"> Struktura ulaganja u održivu obnovu zgrada u razdoblju od 2014. do 2050.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_Toc2681281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98</w:t>
        </w:r>
        <w:r w:rsidR="00211D83" w:rsidRPr="009C52C4">
          <w:rPr>
            <w:rFonts w:ascii="Times New Roman" w:hAnsi="Times New Roman" w:cs="Times New Roman"/>
            <w:noProof/>
            <w:webHidden/>
            <w:sz w:val="24"/>
            <w:szCs w:val="24"/>
          </w:rPr>
          <w:fldChar w:fldCharType="end"/>
        </w:r>
      </w:hyperlink>
    </w:p>
    <w:p w14:paraId="6112711B" w14:textId="661F178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82" w:history="1">
        <w:r w:rsidR="00211D83" w:rsidRPr="009C52C4">
          <w:rPr>
            <w:rStyle w:val="Hyperlink"/>
            <w:rFonts w:ascii="Times New Roman" w:hAnsi="Times New Roman" w:cs="Times New Roman"/>
            <w:noProof/>
            <w:sz w:val="24"/>
            <w:szCs w:val="24"/>
          </w:rPr>
          <w:t>Slika 6.2</w:t>
        </w:r>
        <w:r w:rsidR="00211D83" w:rsidRPr="009C52C4">
          <w:rPr>
            <w:rStyle w:val="Hyperlink"/>
            <w:rFonts w:ascii="Times New Roman" w:hAnsi="Times New Roman" w:cs="Times New Roman"/>
            <w:noProof/>
            <w:sz w:val="24"/>
            <w:szCs w:val="24"/>
            <w:lang w:eastAsia="en-US"/>
          </w:rPr>
          <w:t xml:space="preserve"> Bazni indeks cijena nekretnina, 2010. = 100</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_Toc2681282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109</w:t>
        </w:r>
        <w:r w:rsidR="00211D83" w:rsidRPr="009C52C4">
          <w:rPr>
            <w:rFonts w:ascii="Times New Roman" w:hAnsi="Times New Roman" w:cs="Times New Roman"/>
            <w:noProof/>
            <w:webHidden/>
            <w:sz w:val="24"/>
            <w:szCs w:val="24"/>
          </w:rPr>
          <w:fldChar w:fldCharType="end"/>
        </w:r>
      </w:hyperlink>
    </w:p>
    <w:p w14:paraId="1B8A163E" w14:textId="414C397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83" w:history="1">
        <w:r w:rsidR="00211D83" w:rsidRPr="009C52C4">
          <w:rPr>
            <w:rStyle w:val="Hyperlink"/>
            <w:rFonts w:ascii="Times New Roman" w:hAnsi="Times New Roman" w:cs="Times New Roman"/>
            <w:noProof/>
            <w:sz w:val="24"/>
            <w:szCs w:val="24"/>
          </w:rPr>
          <w:t>Slika 6.3</w:t>
        </w:r>
        <w:r w:rsidR="00211D83" w:rsidRPr="009C52C4">
          <w:rPr>
            <w:rStyle w:val="Hyperlink"/>
            <w:rFonts w:ascii="Times New Roman" w:hAnsi="Times New Roman" w:cs="Times New Roman"/>
            <w:noProof/>
            <w:sz w:val="24"/>
            <w:szCs w:val="24"/>
            <w:lang w:eastAsia="en-US"/>
          </w:rPr>
          <w:t xml:space="preserve"> Shematski prikaz svih potencijalnih učinaka energetske obnove zgrada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_Toc2681283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111</w:t>
        </w:r>
        <w:r w:rsidR="00211D83" w:rsidRPr="009C52C4">
          <w:rPr>
            <w:rFonts w:ascii="Times New Roman" w:hAnsi="Times New Roman" w:cs="Times New Roman"/>
            <w:noProof/>
            <w:webHidden/>
            <w:sz w:val="24"/>
            <w:szCs w:val="24"/>
          </w:rPr>
          <w:fldChar w:fldCharType="end"/>
        </w:r>
      </w:hyperlink>
    </w:p>
    <w:p w14:paraId="45E63514" w14:textId="17CDC492" w:rsidR="006730B1" w:rsidRPr="009C52C4" w:rsidRDefault="006730B1">
      <w:pPr>
        <w:rPr>
          <w:rFonts w:ascii="Times New Roman" w:hAnsi="Times New Roman" w:cs="Times New Roman"/>
          <w:sz w:val="24"/>
          <w:szCs w:val="24"/>
        </w:rPr>
      </w:pPr>
      <w:r w:rsidRPr="009C52C4">
        <w:rPr>
          <w:rFonts w:ascii="Times New Roman" w:hAnsi="Times New Roman" w:cs="Times New Roman"/>
          <w:sz w:val="24"/>
          <w:szCs w:val="24"/>
        </w:rPr>
        <w:fldChar w:fldCharType="end"/>
      </w:r>
    </w:p>
    <w:p w14:paraId="2B8F2AD1"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br w:type="page"/>
      </w:r>
    </w:p>
    <w:p w14:paraId="2E6A52A4" w14:textId="77777777" w:rsidR="00B122B4" w:rsidRPr="009C52C4" w:rsidRDefault="00F54CC3">
      <w:pPr>
        <w:rPr>
          <w:rFonts w:ascii="Times New Roman" w:hAnsi="Times New Roman" w:cs="Times New Roman"/>
          <w:b/>
          <w:sz w:val="24"/>
          <w:szCs w:val="24"/>
        </w:rPr>
      </w:pPr>
      <w:r w:rsidRPr="009C52C4">
        <w:rPr>
          <w:rFonts w:ascii="Times New Roman" w:hAnsi="Times New Roman" w:cs="Times New Roman"/>
          <w:b/>
          <w:sz w:val="24"/>
          <w:szCs w:val="24"/>
        </w:rPr>
        <w:lastRenderedPageBreak/>
        <w:t>Popis tablica</w:t>
      </w:r>
    </w:p>
    <w:p w14:paraId="3FF138B1" w14:textId="77777777" w:rsidR="002F1F4B" w:rsidRPr="009C52C4" w:rsidRDefault="002F1F4B">
      <w:pPr>
        <w:rPr>
          <w:rFonts w:ascii="Times New Roman" w:hAnsi="Times New Roman" w:cs="Times New Roman"/>
          <w:sz w:val="24"/>
          <w:szCs w:val="24"/>
        </w:rPr>
      </w:pPr>
    </w:p>
    <w:p w14:paraId="2333E7A8" w14:textId="0A9366AB" w:rsidR="00211D83" w:rsidRPr="009C52C4" w:rsidRDefault="006730B1">
      <w:pPr>
        <w:pStyle w:val="TableofFigures"/>
        <w:tabs>
          <w:tab w:val="right" w:leader="dot" w:pos="9062"/>
        </w:tabs>
        <w:rPr>
          <w:rFonts w:ascii="Times New Roman" w:eastAsiaTheme="minorEastAsia" w:hAnsi="Times New Roman" w:cs="Times New Roman"/>
          <w:noProof/>
          <w:color w:val="auto"/>
          <w:sz w:val="24"/>
          <w:szCs w:val="24"/>
        </w:rPr>
      </w:pP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TOC \h \z \c "Tablica" </w:instrText>
      </w:r>
      <w:r w:rsidRPr="009C52C4">
        <w:rPr>
          <w:rFonts w:ascii="Times New Roman" w:hAnsi="Times New Roman" w:cs="Times New Roman"/>
          <w:sz w:val="24"/>
          <w:szCs w:val="24"/>
        </w:rPr>
        <w:fldChar w:fldCharType="separate"/>
      </w:r>
      <w:hyperlink w:anchor="_Toc2681294" w:history="1">
        <w:r w:rsidR="00211D83" w:rsidRPr="009C52C4">
          <w:rPr>
            <w:rStyle w:val="Hyperlink"/>
            <w:rFonts w:ascii="Times New Roman" w:hAnsi="Times New Roman" w:cs="Times New Roman"/>
            <w:noProof/>
            <w:sz w:val="24"/>
            <w:szCs w:val="24"/>
          </w:rPr>
          <w:t>Tablica 2.1 Stambeni fond Republike Hrvatske prema godini izgradnje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_Toc2681294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19</w:t>
        </w:r>
        <w:r w:rsidR="00211D83" w:rsidRPr="009C52C4">
          <w:rPr>
            <w:rFonts w:ascii="Times New Roman" w:hAnsi="Times New Roman" w:cs="Times New Roman"/>
            <w:noProof/>
            <w:webHidden/>
            <w:sz w:val="24"/>
            <w:szCs w:val="24"/>
          </w:rPr>
          <w:fldChar w:fldCharType="end"/>
        </w:r>
      </w:hyperlink>
    </w:p>
    <w:p w14:paraId="194ADA0C" w14:textId="647DFA3E"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95" w:history="1">
        <w:r w:rsidR="00211D83" w:rsidRPr="009C52C4">
          <w:rPr>
            <w:rStyle w:val="Hyperlink"/>
            <w:rFonts w:ascii="Times New Roman" w:hAnsi="Times New Roman" w:cs="Times New Roman"/>
            <w:noProof/>
            <w:sz w:val="24"/>
            <w:szCs w:val="24"/>
          </w:rPr>
          <w:t>Tablica 2.2 Nestambeni fond Republike Hrvatske prema godini izgradnje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_Toc2681295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19</w:t>
        </w:r>
        <w:r w:rsidR="00211D83" w:rsidRPr="009C52C4">
          <w:rPr>
            <w:rFonts w:ascii="Times New Roman" w:hAnsi="Times New Roman" w:cs="Times New Roman"/>
            <w:noProof/>
            <w:webHidden/>
            <w:sz w:val="24"/>
            <w:szCs w:val="24"/>
          </w:rPr>
          <w:fldChar w:fldCharType="end"/>
        </w:r>
      </w:hyperlink>
    </w:p>
    <w:p w14:paraId="679BB2CF" w14:textId="476BF405"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96" w:history="1">
        <w:r w:rsidR="00211D83" w:rsidRPr="009C52C4">
          <w:rPr>
            <w:rStyle w:val="Hyperlink"/>
            <w:rFonts w:ascii="Times New Roman" w:hAnsi="Times New Roman" w:cs="Times New Roman"/>
            <w:noProof/>
            <w:sz w:val="24"/>
            <w:szCs w:val="24"/>
          </w:rPr>
          <w:t>Tablica 2.3 Ostvarene kumulativne uštede i procjena površine obnovljenog fonda zgrada u</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_Toc2681296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20</w:t>
        </w:r>
        <w:r w:rsidR="00211D83" w:rsidRPr="009C52C4">
          <w:rPr>
            <w:rFonts w:ascii="Times New Roman" w:hAnsi="Times New Roman" w:cs="Times New Roman"/>
            <w:noProof/>
            <w:webHidden/>
            <w:sz w:val="24"/>
            <w:szCs w:val="24"/>
          </w:rPr>
          <w:fldChar w:fldCharType="end"/>
        </w:r>
      </w:hyperlink>
    </w:p>
    <w:p w14:paraId="5B278EBB" w14:textId="58656C5A"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97" w:history="1">
        <w:r w:rsidR="00211D83" w:rsidRPr="009C52C4">
          <w:rPr>
            <w:rStyle w:val="Hyperlink"/>
            <w:rFonts w:ascii="Times New Roman" w:hAnsi="Times New Roman" w:cs="Times New Roman"/>
            <w:noProof/>
            <w:sz w:val="24"/>
            <w:szCs w:val="24"/>
          </w:rPr>
          <w:t>Tablica 2.4 Pregled nacionalnog stambenog fonda zgrada prema klimatskim zonama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_Toc2681297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21</w:t>
        </w:r>
        <w:r w:rsidR="00211D83" w:rsidRPr="009C52C4">
          <w:rPr>
            <w:rFonts w:ascii="Times New Roman" w:hAnsi="Times New Roman" w:cs="Times New Roman"/>
            <w:noProof/>
            <w:webHidden/>
            <w:sz w:val="24"/>
            <w:szCs w:val="24"/>
          </w:rPr>
          <w:fldChar w:fldCharType="end"/>
        </w:r>
      </w:hyperlink>
    </w:p>
    <w:p w14:paraId="179B8C7B" w14:textId="6BD55B4B"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98" w:history="1">
        <w:r w:rsidR="00211D83" w:rsidRPr="009C52C4">
          <w:rPr>
            <w:rStyle w:val="Hyperlink"/>
            <w:rFonts w:ascii="Times New Roman" w:hAnsi="Times New Roman" w:cs="Times New Roman"/>
            <w:noProof/>
            <w:sz w:val="24"/>
            <w:szCs w:val="24"/>
          </w:rPr>
          <w:t>Tablica 2.5 Pregled nacionalnog nestambenog fonda zgrada prema klimatskim zonama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_Toc2681298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21</w:t>
        </w:r>
        <w:r w:rsidR="00211D83" w:rsidRPr="009C52C4">
          <w:rPr>
            <w:rFonts w:ascii="Times New Roman" w:hAnsi="Times New Roman" w:cs="Times New Roman"/>
            <w:noProof/>
            <w:webHidden/>
            <w:sz w:val="24"/>
            <w:szCs w:val="24"/>
          </w:rPr>
          <w:fldChar w:fldCharType="end"/>
        </w:r>
      </w:hyperlink>
    </w:p>
    <w:p w14:paraId="4568F76A" w14:textId="3186D02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299" w:history="1">
        <w:r w:rsidR="00211D83" w:rsidRPr="009C52C4">
          <w:rPr>
            <w:rStyle w:val="Hyperlink"/>
            <w:rFonts w:ascii="Times New Roman" w:hAnsi="Times New Roman" w:cs="Times New Roman"/>
            <w:noProof/>
            <w:sz w:val="24"/>
            <w:szCs w:val="24"/>
          </w:rPr>
          <w:t>Tablica 2.6 Pregled nacionalnog stambenog fonda zgrada prema vlasništvu</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_Toc2681299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22</w:t>
        </w:r>
        <w:r w:rsidR="00211D83" w:rsidRPr="009C52C4">
          <w:rPr>
            <w:rFonts w:ascii="Times New Roman" w:hAnsi="Times New Roman" w:cs="Times New Roman"/>
            <w:noProof/>
            <w:webHidden/>
            <w:sz w:val="24"/>
            <w:szCs w:val="24"/>
          </w:rPr>
          <w:fldChar w:fldCharType="end"/>
        </w:r>
      </w:hyperlink>
    </w:p>
    <w:p w14:paraId="66E88834" w14:textId="70236C1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0" w:history="1">
        <w:r w:rsidR="00211D83" w:rsidRPr="009C52C4">
          <w:rPr>
            <w:rStyle w:val="Hyperlink"/>
            <w:rFonts w:ascii="Times New Roman" w:hAnsi="Times New Roman" w:cs="Times New Roman"/>
            <w:noProof/>
            <w:sz w:val="24"/>
            <w:szCs w:val="24"/>
          </w:rPr>
          <w:t>Tablica 2.7 Pregled nacionalnog nestambenog fonda zgrada prema vlasništvu</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_Toc2681300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22</w:t>
        </w:r>
        <w:r w:rsidR="00211D83" w:rsidRPr="009C52C4">
          <w:rPr>
            <w:rFonts w:ascii="Times New Roman" w:hAnsi="Times New Roman" w:cs="Times New Roman"/>
            <w:noProof/>
            <w:webHidden/>
            <w:sz w:val="24"/>
            <w:szCs w:val="24"/>
          </w:rPr>
          <w:fldChar w:fldCharType="end"/>
        </w:r>
      </w:hyperlink>
    </w:p>
    <w:p w14:paraId="01BE25E9" w14:textId="3D57794D"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1" w:history="1">
        <w:r w:rsidR="00211D83" w:rsidRPr="009C52C4">
          <w:rPr>
            <w:rStyle w:val="Hyperlink"/>
            <w:rFonts w:ascii="Times New Roman" w:hAnsi="Times New Roman" w:cs="Times New Roman"/>
            <w:noProof/>
            <w:sz w:val="24"/>
            <w:szCs w:val="24"/>
          </w:rPr>
          <w:t>Tablica 2.8 Pregled nacionalnog stambenog fonda zgrada prema području</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_Toc2681301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23</w:t>
        </w:r>
        <w:r w:rsidR="00211D83" w:rsidRPr="009C52C4">
          <w:rPr>
            <w:rFonts w:ascii="Times New Roman" w:hAnsi="Times New Roman" w:cs="Times New Roman"/>
            <w:noProof/>
            <w:webHidden/>
            <w:sz w:val="24"/>
            <w:szCs w:val="24"/>
          </w:rPr>
          <w:fldChar w:fldCharType="end"/>
        </w:r>
      </w:hyperlink>
    </w:p>
    <w:p w14:paraId="76C10826" w14:textId="3F0A1BB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2" w:history="1">
        <w:r w:rsidR="00211D83" w:rsidRPr="009C52C4">
          <w:rPr>
            <w:rStyle w:val="Hyperlink"/>
            <w:rFonts w:ascii="Times New Roman" w:hAnsi="Times New Roman" w:cs="Times New Roman"/>
            <w:noProof/>
            <w:sz w:val="24"/>
            <w:szCs w:val="24"/>
          </w:rPr>
          <w:t>Tablica 2.9 Pregled nacionalnog nestambenog fonda zgrada prema području</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_Toc2681302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23</w:t>
        </w:r>
        <w:r w:rsidR="00211D83" w:rsidRPr="009C52C4">
          <w:rPr>
            <w:rFonts w:ascii="Times New Roman" w:hAnsi="Times New Roman" w:cs="Times New Roman"/>
            <w:noProof/>
            <w:webHidden/>
            <w:sz w:val="24"/>
            <w:szCs w:val="24"/>
          </w:rPr>
          <w:fldChar w:fldCharType="end"/>
        </w:r>
      </w:hyperlink>
    </w:p>
    <w:p w14:paraId="666295F6" w14:textId="47BED0DB"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3" w:history="1">
        <w:r w:rsidR="00211D83" w:rsidRPr="009C52C4">
          <w:rPr>
            <w:rStyle w:val="Hyperlink"/>
            <w:rFonts w:ascii="Times New Roman" w:hAnsi="Times New Roman" w:cs="Times New Roman"/>
            <w:noProof/>
            <w:sz w:val="24"/>
            <w:szCs w:val="24"/>
          </w:rPr>
          <w:t>Tablica 2.10 Godišnja potrebna toplinska energija za grijanje i godišnja isporučena energija za kontinentalnu i primorsku Hrvatsku [kWh/m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a]</w:t>
        </w:r>
        <w:r w:rsidR="00211D83" w:rsidRPr="009C52C4">
          <w:rPr>
            <w:rStyle w:val="Hyperlink"/>
            <w:rFonts w:ascii="Times New Roman" w:hAnsi="Times New Roman" w:cs="Times New Roman"/>
            <w:noProof/>
            <w:sz w:val="24"/>
            <w:szCs w:val="24"/>
            <w:vertAlign w:val="superscript"/>
          </w:rPr>
          <w:t>12,13,14</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_Toc2681303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25</w:t>
        </w:r>
        <w:r w:rsidR="00211D83" w:rsidRPr="009C52C4">
          <w:rPr>
            <w:rFonts w:ascii="Times New Roman" w:hAnsi="Times New Roman" w:cs="Times New Roman"/>
            <w:noProof/>
            <w:webHidden/>
            <w:sz w:val="24"/>
            <w:szCs w:val="24"/>
          </w:rPr>
          <w:fldChar w:fldCharType="end"/>
        </w:r>
      </w:hyperlink>
    </w:p>
    <w:p w14:paraId="6F1FEE62" w14:textId="7396C343"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4" w:history="1">
        <w:r w:rsidR="00211D83" w:rsidRPr="009C52C4">
          <w:rPr>
            <w:rStyle w:val="Hyperlink"/>
            <w:rFonts w:ascii="Times New Roman" w:hAnsi="Times New Roman" w:cs="Times New Roman"/>
            <w:noProof/>
            <w:sz w:val="24"/>
            <w:szCs w:val="24"/>
          </w:rPr>
          <w:t>Tablica 2.11 Koeficijenti prolaska topline za karakteristične građevne dijelove</w:t>
        </w:r>
        <w:r w:rsidR="00211D83" w:rsidRPr="009C52C4">
          <w:rPr>
            <w:rStyle w:val="Hyperlink"/>
            <w:rFonts w:ascii="Times New Roman" w:hAnsi="Times New Roman" w:cs="Times New Roman"/>
            <w:noProof/>
            <w:sz w:val="24"/>
            <w:szCs w:val="24"/>
            <w:vertAlign w:val="superscript"/>
          </w:rPr>
          <w:t>22</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_Toc2681304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26</w:t>
        </w:r>
        <w:r w:rsidR="00211D83" w:rsidRPr="009C52C4">
          <w:rPr>
            <w:rFonts w:ascii="Times New Roman" w:hAnsi="Times New Roman" w:cs="Times New Roman"/>
            <w:noProof/>
            <w:webHidden/>
            <w:sz w:val="24"/>
            <w:szCs w:val="24"/>
          </w:rPr>
          <w:fldChar w:fldCharType="end"/>
        </w:r>
      </w:hyperlink>
    </w:p>
    <w:p w14:paraId="370914A5" w14:textId="0179F1CB"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5" w:history="1">
        <w:r w:rsidR="00211D83" w:rsidRPr="009C52C4">
          <w:rPr>
            <w:rStyle w:val="Hyperlink"/>
            <w:rFonts w:ascii="Times New Roman" w:hAnsi="Times New Roman" w:cs="Times New Roman"/>
            <w:noProof/>
            <w:sz w:val="24"/>
            <w:szCs w:val="24"/>
          </w:rPr>
          <w:t>Tablica 2.12 Najveći dopušteni koeficijenti prolaza topline k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prema Pravilniku o tehničkim mjerama i uvjetima za toplinsku zaštitu zgrada – Službeni list SFRJ 35/70</w:t>
        </w:r>
        <w:r w:rsidR="00211D83" w:rsidRPr="009C52C4">
          <w:rPr>
            <w:rStyle w:val="Hyperlink"/>
            <w:rFonts w:ascii="Times New Roman" w:hAnsi="Times New Roman" w:cs="Times New Roman"/>
            <w:noProof/>
            <w:sz w:val="24"/>
            <w:szCs w:val="24"/>
            <w:vertAlign w:val="superscript"/>
          </w:rPr>
          <w:t>12,13</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_Toc2681305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28</w:t>
        </w:r>
        <w:r w:rsidR="00211D83" w:rsidRPr="009C52C4">
          <w:rPr>
            <w:rFonts w:ascii="Times New Roman" w:hAnsi="Times New Roman" w:cs="Times New Roman"/>
            <w:noProof/>
            <w:webHidden/>
            <w:sz w:val="24"/>
            <w:szCs w:val="24"/>
          </w:rPr>
          <w:fldChar w:fldCharType="end"/>
        </w:r>
      </w:hyperlink>
    </w:p>
    <w:p w14:paraId="7269DF45" w14:textId="5DC1AF64"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6" w:history="1">
        <w:r w:rsidR="00211D83" w:rsidRPr="009C52C4">
          <w:rPr>
            <w:rStyle w:val="Hyperlink"/>
            <w:rFonts w:ascii="Times New Roman" w:hAnsi="Times New Roman" w:cs="Times New Roman"/>
            <w:noProof/>
            <w:sz w:val="24"/>
            <w:szCs w:val="24"/>
          </w:rPr>
          <w:t>Tablica 2.13 Najveći dopušteni koeficijenti prolaza topline k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prema JUS U.J5.600: Toplinska tehnika u građevinarstvu i tehnički uvjeti za projektiranje i građenje zgrada, 1980. g.</w:t>
        </w:r>
        <w:r w:rsidR="00211D83" w:rsidRPr="009C52C4">
          <w:rPr>
            <w:rStyle w:val="Hyperlink"/>
            <w:rFonts w:ascii="Times New Roman" w:hAnsi="Times New Roman" w:cs="Times New Roman"/>
            <w:noProof/>
            <w:sz w:val="24"/>
            <w:szCs w:val="24"/>
            <w:vertAlign w:val="superscript"/>
          </w:rPr>
          <w:t>12,13</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_Toc2681306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29</w:t>
        </w:r>
        <w:r w:rsidR="00211D83" w:rsidRPr="009C52C4">
          <w:rPr>
            <w:rFonts w:ascii="Times New Roman" w:hAnsi="Times New Roman" w:cs="Times New Roman"/>
            <w:noProof/>
            <w:webHidden/>
            <w:sz w:val="24"/>
            <w:szCs w:val="24"/>
          </w:rPr>
          <w:fldChar w:fldCharType="end"/>
        </w:r>
      </w:hyperlink>
    </w:p>
    <w:p w14:paraId="62A75865" w14:textId="70756DC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7" w:history="1">
        <w:r w:rsidR="00211D83" w:rsidRPr="009C52C4">
          <w:rPr>
            <w:rStyle w:val="Hyperlink"/>
            <w:rFonts w:ascii="Times New Roman" w:hAnsi="Times New Roman" w:cs="Times New Roman"/>
            <w:noProof/>
            <w:sz w:val="24"/>
            <w:szCs w:val="24"/>
          </w:rPr>
          <w:t>Tablica 2.14 Koeficijenti prolaza topline k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za prozore i balkonska vrata u ovisnosti o ostakljenju i materijalu okvira prema JUS U.J5.600: Toplinska tehnika u građevinarstvu i tehnički uvjeti za projektiranje i građenje zgrada, 1980. g.</w:t>
        </w:r>
        <w:r w:rsidR="00211D83" w:rsidRPr="009C52C4">
          <w:rPr>
            <w:rStyle w:val="Hyperlink"/>
            <w:rFonts w:ascii="Times New Roman" w:hAnsi="Times New Roman" w:cs="Times New Roman"/>
            <w:noProof/>
            <w:sz w:val="24"/>
            <w:szCs w:val="24"/>
            <w:vertAlign w:val="superscript"/>
          </w:rPr>
          <w:t>12,13</w:t>
        </w:r>
        <w:r w:rsidR="00211D83" w:rsidRPr="009C52C4">
          <w:rPr>
            <w:rStyle w:val="Hyperlink"/>
            <w:rFonts w:ascii="Times New Roman" w:hAnsi="Times New Roman" w:cs="Times New Roman"/>
            <w:noProof/>
            <w:sz w:val="24"/>
            <w:szCs w:val="24"/>
          </w:rPr>
          <w:t>.</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_Toc2681307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29</w:t>
        </w:r>
        <w:r w:rsidR="00211D83" w:rsidRPr="009C52C4">
          <w:rPr>
            <w:rFonts w:ascii="Times New Roman" w:hAnsi="Times New Roman" w:cs="Times New Roman"/>
            <w:noProof/>
            <w:webHidden/>
            <w:sz w:val="24"/>
            <w:szCs w:val="24"/>
          </w:rPr>
          <w:fldChar w:fldCharType="end"/>
        </w:r>
      </w:hyperlink>
    </w:p>
    <w:p w14:paraId="48F6FE1F" w14:textId="09F97D1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8" w:history="1">
        <w:r w:rsidR="00211D83" w:rsidRPr="009C52C4">
          <w:rPr>
            <w:rStyle w:val="Hyperlink"/>
            <w:rFonts w:ascii="Times New Roman" w:hAnsi="Times New Roman" w:cs="Times New Roman"/>
            <w:noProof/>
            <w:sz w:val="24"/>
            <w:szCs w:val="24"/>
          </w:rPr>
          <w:t>Tablica 2.15 Najveći dopušteni koeficijenti prolaza topline k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prema JUS U.J5.600: Toplinska tehnika u građevinarstvu i tehnički uvjeti za projektiranje i građenje zgrada, 1987. g.</w:t>
        </w:r>
        <w:r w:rsidR="00211D83" w:rsidRPr="009C52C4">
          <w:rPr>
            <w:rStyle w:val="Hyperlink"/>
            <w:rFonts w:ascii="Times New Roman" w:hAnsi="Times New Roman" w:cs="Times New Roman"/>
            <w:noProof/>
            <w:sz w:val="24"/>
            <w:szCs w:val="24"/>
            <w:vertAlign w:val="superscript"/>
          </w:rPr>
          <w:t>12,13</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_Toc2681308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30</w:t>
        </w:r>
        <w:r w:rsidR="00211D83" w:rsidRPr="009C52C4">
          <w:rPr>
            <w:rFonts w:ascii="Times New Roman" w:hAnsi="Times New Roman" w:cs="Times New Roman"/>
            <w:noProof/>
            <w:webHidden/>
            <w:sz w:val="24"/>
            <w:szCs w:val="24"/>
          </w:rPr>
          <w:fldChar w:fldCharType="end"/>
        </w:r>
      </w:hyperlink>
    </w:p>
    <w:p w14:paraId="467FC686" w14:textId="3B40D75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09" w:history="1">
        <w:r w:rsidR="00211D83" w:rsidRPr="009C52C4">
          <w:rPr>
            <w:rStyle w:val="Hyperlink"/>
            <w:rFonts w:ascii="Times New Roman" w:hAnsi="Times New Roman" w:cs="Times New Roman"/>
            <w:noProof/>
            <w:sz w:val="24"/>
            <w:szCs w:val="24"/>
          </w:rPr>
          <w:t>Tablica 2.16 Koeficijenti prolaza topline k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za prozore i balkonska vrata u ovisnosti o ostakljenju i materijalu okvira prema JUS U.J5.600: Toplinska tehnika u građevinarstvu i tehnički uvjeti za projektiranje i građenje zgrada, 1987. g.</w:t>
        </w:r>
        <w:r w:rsidR="00211D83" w:rsidRPr="009C52C4">
          <w:rPr>
            <w:rStyle w:val="Hyperlink"/>
            <w:rFonts w:ascii="Times New Roman" w:hAnsi="Times New Roman" w:cs="Times New Roman"/>
            <w:noProof/>
            <w:sz w:val="24"/>
            <w:szCs w:val="24"/>
            <w:vertAlign w:val="superscript"/>
          </w:rPr>
          <w:t>12,13</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_Toc2681309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30</w:t>
        </w:r>
        <w:r w:rsidR="00211D83" w:rsidRPr="009C52C4">
          <w:rPr>
            <w:rFonts w:ascii="Times New Roman" w:hAnsi="Times New Roman" w:cs="Times New Roman"/>
            <w:noProof/>
            <w:webHidden/>
            <w:sz w:val="24"/>
            <w:szCs w:val="24"/>
          </w:rPr>
          <w:fldChar w:fldCharType="end"/>
        </w:r>
      </w:hyperlink>
    </w:p>
    <w:p w14:paraId="2EEFE5A9" w14:textId="39878694"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0" w:history="1">
        <w:r w:rsidR="00211D83" w:rsidRPr="009C52C4">
          <w:rPr>
            <w:rStyle w:val="Hyperlink"/>
            <w:rFonts w:ascii="Times New Roman" w:hAnsi="Times New Roman" w:cs="Times New Roman"/>
            <w:noProof/>
            <w:sz w:val="24"/>
            <w:szCs w:val="24"/>
          </w:rPr>
          <w:t>Tablica 2.17 Najveće dopuštene vrijednosti koeficijenta prolaska topline, U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građevnih dijelova s plošnom masom većom od 100 kg/m (prema srednjoj mjesečnoj temperaturi vanjskog zraka najhladnijeg mjeseca na lokaciji zgrade)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_Toc2681310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31</w:t>
        </w:r>
        <w:r w:rsidR="00211D83" w:rsidRPr="009C52C4">
          <w:rPr>
            <w:rFonts w:ascii="Times New Roman" w:hAnsi="Times New Roman" w:cs="Times New Roman"/>
            <w:noProof/>
            <w:webHidden/>
            <w:sz w:val="24"/>
            <w:szCs w:val="24"/>
          </w:rPr>
          <w:fldChar w:fldCharType="end"/>
        </w:r>
      </w:hyperlink>
    </w:p>
    <w:p w14:paraId="444A5C36" w14:textId="42C52E89"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1" w:history="1">
        <w:r w:rsidR="00211D83" w:rsidRPr="009C52C4">
          <w:rPr>
            <w:rStyle w:val="Hyperlink"/>
            <w:rFonts w:ascii="Times New Roman" w:hAnsi="Times New Roman" w:cs="Times New Roman"/>
            <w:noProof/>
            <w:sz w:val="24"/>
            <w:szCs w:val="24"/>
          </w:rPr>
          <w:t>Tablica 2.18 Najveće dopuštene vrijednosti koeficijenta prolaska topline, U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za prozore i vrata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_Toc2681311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31</w:t>
        </w:r>
        <w:r w:rsidR="00211D83" w:rsidRPr="009C52C4">
          <w:rPr>
            <w:rFonts w:ascii="Times New Roman" w:hAnsi="Times New Roman" w:cs="Times New Roman"/>
            <w:noProof/>
            <w:webHidden/>
            <w:sz w:val="24"/>
            <w:szCs w:val="24"/>
          </w:rPr>
          <w:fldChar w:fldCharType="end"/>
        </w:r>
      </w:hyperlink>
    </w:p>
    <w:p w14:paraId="73C058F5" w14:textId="4B83C129"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2" w:history="1">
        <w:r w:rsidR="00211D83" w:rsidRPr="009C52C4">
          <w:rPr>
            <w:rStyle w:val="Hyperlink"/>
            <w:rFonts w:ascii="Times New Roman" w:hAnsi="Times New Roman" w:cs="Times New Roman"/>
            <w:noProof/>
            <w:sz w:val="24"/>
            <w:szCs w:val="24"/>
          </w:rPr>
          <w:t>Tablica 2.19 Najveće dopuštene vrijednosti koeficijenta prolaska topline, U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građevnih dijelova s plošnom masom većom od 100 kg/m (prema srednjoj mjesečnoj temperaturi vanjskog zraka najhladnijeg mjeseca na lokaciji zgrade)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_Toc2681312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32</w:t>
        </w:r>
        <w:r w:rsidR="00211D83" w:rsidRPr="009C52C4">
          <w:rPr>
            <w:rFonts w:ascii="Times New Roman" w:hAnsi="Times New Roman" w:cs="Times New Roman"/>
            <w:noProof/>
            <w:webHidden/>
            <w:sz w:val="24"/>
            <w:szCs w:val="24"/>
          </w:rPr>
          <w:fldChar w:fldCharType="end"/>
        </w:r>
      </w:hyperlink>
    </w:p>
    <w:p w14:paraId="3521AAF0" w14:textId="6321B46C"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3" w:history="1">
        <w:r w:rsidR="00211D83" w:rsidRPr="009C52C4">
          <w:rPr>
            <w:rStyle w:val="Hyperlink"/>
            <w:rFonts w:ascii="Times New Roman" w:hAnsi="Times New Roman" w:cs="Times New Roman"/>
            <w:noProof/>
            <w:sz w:val="24"/>
            <w:szCs w:val="24"/>
          </w:rPr>
          <w:t>Tablica 2.20 Najveće dopuštene vrijednosti koeficijenta prolaska topline, U [W/(m</w:t>
        </w:r>
        <w:r w:rsidR="00211D83" w:rsidRPr="009C52C4">
          <w:rPr>
            <w:rStyle w:val="Hyperlink"/>
            <w:rFonts w:ascii="Times New Roman" w:hAnsi="Times New Roman" w:cs="Times New Roman"/>
            <w:noProof/>
            <w:sz w:val="24"/>
            <w:szCs w:val="24"/>
            <w:vertAlign w:val="superscript"/>
          </w:rPr>
          <w:t>2</w:t>
        </w:r>
        <w:r w:rsidR="00211D83" w:rsidRPr="009C52C4">
          <w:rPr>
            <w:rStyle w:val="Hyperlink"/>
            <w:rFonts w:ascii="Times New Roman" w:hAnsi="Times New Roman" w:cs="Times New Roman"/>
            <w:noProof/>
            <w:sz w:val="24"/>
            <w:szCs w:val="24"/>
          </w:rPr>
          <w:t>K)] za prozore i vrata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_Toc2681313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32</w:t>
        </w:r>
        <w:r w:rsidR="00211D83" w:rsidRPr="009C52C4">
          <w:rPr>
            <w:rFonts w:ascii="Times New Roman" w:hAnsi="Times New Roman" w:cs="Times New Roman"/>
            <w:noProof/>
            <w:webHidden/>
            <w:sz w:val="24"/>
            <w:szCs w:val="24"/>
          </w:rPr>
          <w:fldChar w:fldCharType="end"/>
        </w:r>
      </w:hyperlink>
    </w:p>
    <w:p w14:paraId="67A77D72" w14:textId="5DA9036E"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4" w:history="1">
        <w:r w:rsidR="00211D83" w:rsidRPr="009C52C4">
          <w:rPr>
            <w:rStyle w:val="Hyperlink"/>
            <w:rFonts w:ascii="Times New Roman" w:hAnsi="Times New Roman" w:cs="Times New Roman"/>
            <w:noProof/>
            <w:sz w:val="24"/>
            <w:szCs w:val="24"/>
          </w:rPr>
          <w:t>Tablica 2.21 Pregled korištenih sustava grijanja za različita razdoblja izgradnje u kontinentalnoj i primorskoj Hrvatskoj</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_Toc2681314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35</w:t>
        </w:r>
        <w:r w:rsidR="00211D83" w:rsidRPr="009C52C4">
          <w:rPr>
            <w:rFonts w:ascii="Times New Roman" w:hAnsi="Times New Roman" w:cs="Times New Roman"/>
            <w:noProof/>
            <w:webHidden/>
            <w:sz w:val="24"/>
            <w:szCs w:val="24"/>
          </w:rPr>
          <w:fldChar w:fldCharType="end"/>
        </w:r>
      </w:hyperlink>
    </w:p>
    <w:p w14:paraId="1F846A77" w14:textId="1E5DF800"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5" w:history="1">
        <w:r w:rsidR="00211D83" w:rsidRPr="009C52C4">
          <w:rPr>
            <w:rStyle w:val="Hyperlink"/>
            <w:rFonts w:ascii="Times New Roman" w:hAnsi="Times New Roman" w:cs="Times New Roman"/>
            <w:noProof/>
            <w:sz w:val="24"/>
            <w:szCs w:val="24"/>
          </w:rPr>
          <w:t>Tablica 2.22 Pregled učinkovitosti različitih kotlova</w:t>
        </w:r>
        <w:r w:rsidR="00211D83" w:rsidRPr="009C52C4">
          <w:rPr>
            <w:rStyle w:val="Hyperlink"/>
            <w:rFonts w:ascii="Times New Roman" w:hAnsi="Times New Roman" w:cs="Times New Roman"/>
            <w:noProof/>
            <w:sz w:val="24"/>
            <w:szCs w:val="24"/>
            <w:vertAlign w:val="superscript"/>
          </w:rPr>
          <w:t>29</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_Toc2681315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37</w:t>
        </w:r>
        <w:r w:rsidR="00211D83" w:rsidRPr="009C52C4">
          <w:rPr>
            <w:rFonts w:ascii="Times New Roman" w:hAnsi="Times New Roman" w:cs="Times New Roman"/>
            <w:noProof/>
            <w:webHidden/>
            <w:sz w:val="24"/>
            <w:szCs w:val="24"/>
          </w:rPr>
          <w:fldChar w:fldCharType="end"/>
        </w:r>
      </w:hyperlink>
    </w:p>
    <w:p w14:paraId="35F507DC" w14:textId="2873EE68"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6" w:history="1">
        <w:r w:rsidR="00211D83" w:rsidRPr="009C52C4">
          <w:rPr>
            <w:rStyle w:val="Hyperlink"/>
            <w:rFonts w:ascii="Times New Roman" w:hAnsi="Times New Roman" w:cs="Times New Roman"/>
            <w:noProof/>
            <w:sz w:val="24"/>
            <w:szCs w:val="24"/>
          </w:rPr>
          <w:t>Tablica 3.1 Ciljana površina zgrada gotovo nulte energije prema namjeni godišnje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_Toc2681316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40</w:t>
        </w:r>
        <w:r w:rsidR="00211D83" w:rsidRPr="009C52C4">
          <w:rPr>
            <w:rFonts w:ascii="Times New Roman" w:hAnsi="Times New Roman" w:cs="Times New Roman"/>
            <w:noProof/>
            <w:webHidden/>
            <w:sz w:val="24"/>
            <w:szCs w:val="24"/>
          </w:rPr>
          <w:fldChar w:fldCharType="end"/>
        </w:r>
      </w:hyperlink>
    </w:p>
    <w:p w14:paraId="143B5858" w14:textId="2FCB4C5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7" w:history="1">
        <w:r w:rsidR="00211D83" w:rsidRPr="009C52C4">
          <w:rPr>
            <w:rStyle w:val="Hyperlink"/>
            <w:rFonts w:ascii="Times New Roman" w:hAnsi="Times New Roman" w:cs="Times New Roman"/>
            <w:noProof/>
            <w:sz w:val="24"/>
            <w:szCs w:val="24"/>
          </w:rPr>
          <w:t>Tablica 3.2 Prikaz ciljnih koeficijenata prolaska topline građevnih dijelova zgrade za moguće modele održive obnove zgrada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_Toc2681317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49</w:t>
        </w:r>
        <w:r w:rsidR="00211D83" w:rsidRPr="009C52C4">
          <w:rPr>
            <w:rFonts w:ascii="Times New Roman" w:hAnsi="Times New Roman" w:cs="Times New Roman"/>
            <w:noProof/>
            <w:webHidden/>
            <w:sz w:val="24"/>
            <w:szCs w:val="24"/>
          </w:rPr>
          <w:fldChar w:fldCharType="end"/>
        </w:r>
      </w:hyperlink>
    </w:p>
    <w:p w14:paraId="43B8DE24" w14:textId="554703E2"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8" w:history="1">
        <w:r w:rsidR="00211D83" w:rsidRPr="009C52C4">
          <w:rPr>
            <w:rStyle w:val="Hyperlink"/>
            <w:rFonts w:ascii="Times New Roman" w:hAnsi="Times New Roman" w:cs="Times New Roman"/>
            <w:noProof/>
            <w:sz w:val="24"/>
            <w:szCs w:val="24"/>
          </w:rPr>
          <w:t>Tablica 3.3 Mjere EnU i OIE za različite kategorije zgrada koje će se razmatrati za moguće modele obnove zgrada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_Toc2681318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50</w:t>
        </w:r>
        <w:r w:rsidR="00211D83" w:rsidRPr="009C52C4">
          <w:rPr>
            <w:rFonts w:ascii="Times New Roman" w:hAnsi="Times New Roman" w:cs="Times New Roman"/>
            <w:noProof/>
            <w:webHidden/>
            <w:sz w:val="24"/>
            <w:szCs w:val="24"/>
          </w:rPr>
          <w:fldChar w:fldCharType="end"/>
        </w:r>
      </w:hyperlink>
    </w:p>
    <w:p w14:paraId="262EF16F" w14:textId="623A068C"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19" w:history="1">
        <w:r w:rsidR="00211D83" w:rsidRPr="009C52C4">
          <w:rPr>
            <w:rStyle w:val="Hyperlink"/>
            <w:rFonts w:ascii="Times New Roman" w:hAnsi="Times New Roman" w:cs="Times New Roman"/>
            <w:noProof/>
            <w:sz w:val="24"/>
            <w:szCs w:val="24"/>
          </w:rPr>
          <w:t>Tablica 3.4 Prikaz parametara mjera EnU i OIE mogućih modela obnove zgrada kontinentalne Hrvatske u ovisnosti o kategoriji zgrade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_Toc2681319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53</w:t>
        </w:r>
        <w:r w:rsidR="00211D83" w:rsidRPr="009C52C4">
          <w:rPr>
            <w:rFonts w:ascii="Times New Roman" w:hAnsi="Times New Roman" w:cs="Times New Roman"/>
            <w:noProof/>
            <w:webHidden/>
            <w:sz w:val="24"/>
            <w:szCs w:val="24"/>
          </w:rPr>
          <w:fldChar w:fldCharType="end"/>
        </w:r>
      </w:hyperlink>
    </w:p>
    <w:p w14:paraId="71F0E771" w14:textId="0CDDD4A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0" w:history="1">
        <w:r w:rsidR="00211D83" w:rsidRPr="009C52C4">
          <w:rPr>
            <w:rStyle w:val="Hyperlink"/>
            <w:rFonts w:ascii="Times New Roman" w:hAnsi="Times New Roman" w:cs="Times New Roman"/>
            <w:noProof/>
            <w:sz w:val="24"/>
            <w:szCs w:val="24"/>
          </w:rPr>
          <w:t>Tablica 3.5 Prikaz parametara mjera EnU i OIE mogućih modela obnove zgrada primorske Hrvatske u ovisnosti o kategoriji zgrade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_Toc2681320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55</w:t>
        </w:r>
        <w:r w:rsidR="00211D83" w:rsidRPr="009C52C4">
          <w:rPr>
            <w:rFonts w:ascii="Times New Roman" w:hAnsi="Times New Roman" w:cs="Times New Roman"/>
            <w:noProof/>
            <w:webHidden/>
            <w:sz w:val="24"/>
            <w:szCs w:val="24"/>
          </w:rPr>
          <w:fldChar w:fldCharType="end"/>
        </w:r>
      </w:hyperlink>
    </w:p>
    <w:p w14:paraId="41EBDC20" w14:textId="29F428DF"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1" w:history="1">
        <w:r w:rsidR="00211D83" w:rsidRPr="009C52C4">
          <w:rPr>
            <w:rStyle w:val="Hyperlink"/>
            <w:rFonts w:ascii="Times New Roman" w:hAnsi="Times New Roman" w:cs="Times New Roman"/>
            <w:noProof/>
            <w:sz w:val="24"/>
            <w:szCs w:val="24"/>
          </w:rPr>
          <w:t>Tablica 3.6 Prikaz ukupnih troškova mogućih modela obnove zgrada kontinentalne Hrvatske u ovisnosti o kategoriji zgrade i razdoblju kalkulacije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_Toc2681321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59</w:t>
        </w:r>
        <w:r w:rsidR="00211D83" w:rsidRPr="009C52C4">
          <w:rPr>
            <w:rFonts w:ascii="Times New Roman" w:hAnsi="Times New Roman" w:cs="Times New Roman"/>
            <w:noProof/>
            <w:webHidden/>
            <w:sz w:val="24"/>
            <w:szCs w:val="24"/>
          </w:rPr>
          <w:fldChar w:fldCharType="end"/>
        </w:r>
      </w:hyperlink>
    </w:p>
    <w:p w14:paraId="10689E0E" w14:textId="77EDA8AC"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2" w:history="1">
        <w:r w:rsidR="00211D83" w:rsidRPr="009C52C4">
          <w:rPr>
            <w:rStyle w:val="Hyperlink"/>
            <w:rFonts w:ascii="Times New Roman" w:hAnsi="Times New Roman" w:cs="Times New Roman"/>
            <w:noProof/>
            <w:sz w:val="24"/>
            <w:szCs w:val="24"/>
          </w:rPr>
          <w:t>Tablica 3.7 Prikaz ukupnih troškova mogućih modela obnove zgrada primorske Hrvatske u ovisnosti o kategoriji zgrade i razdoblju kalkulacije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_Toc2681322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60</w:t>
        </w:r>
        <w:r w:rsidR="00211D83" w:rsidRPr="009C52C4">
          <w:rPr>
            <w:rFonts w:ascii="Times New Roman" w:hAnsi="Times New Roman" w:cs="Times New Roman"/>
            <w:noProof/>
            <w:webHidden/>
            <w:sz w:val="24"/>
            <w:szCs w:val="24"/>
          </w:rPr>
          <w:fldChar w:fldCharType="end"/>
        </w:r>
      </w:hyperlink>
    </w:p>
    <w:p w14:paraId="18843E2E" w14:textId="11B9ED2A"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3" w:history="1">
        <w:r w:rsidR="00211D83" w:rsidRPr="009C52C4">
          <w:rPr>
            <w:rStyle w:val="Hyperlink"/>
            <w:rFonts w:ascii="Times New Roman" w:hAnsi="Times New Roman" w:cs="Times New Roman"/>
            <w:noProof/>
            <w:sz w:val="24"/>
            <w:szCs w:val="24"/>
          </w:rPr>
          <w:t>Tablica 4.1</w:t>
        </w:r>
        <w:r w:rsidR="00211D83" w:rsidRPr="009C52C4">
          <w:rPr>
            <w:rStyle w:val="Hyperlink"/>
            <w:rFonts w:ascii="Times New Roman" w:hAnsi="Times New Roman" w:cs="Times New Roman"/>
            <w:b/>
            <w:noProof/>
            <w:sz w:val="24"/>
            <w:szCs w:val="24"/>
          </w:rPr>
          <w:t xml:space="preserve"> </w:t>
        </w:r>
        <w:r w:rsidR="00211D83" w:rsidRPr="009C52C4">
          <w:rPr>
            <w:rStyle w:val="Hyperlink"/>
            <w:rFonts w:ascii="Times New Roman" w:hAnsi="Times New Roman" w:cs="Times New Roman"/>
            <w:noProof/>
            <w:sz w:val="24"/>
            <w:szCs w:val="24"/>
          </w:rPr>
          <w:t>Kumulativne uštede alternativne mjere politike ostvarene u razdoblju od 2014. do 2016.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_Toc2681323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67</w:t>
        </w:r>
        <w:r w:rsidR="00211D83" w:rsidRPr="009C52C4">
          <w:rPr>
            <w:rFonts w:ascii="Times New Roman" w:hAnsi="Times New Roman" w:cs="Times New Roman"/>
            <w:noProof/>
            <w:webHidden/>
            <w:sz w:val="24"/>
            <w:szCs w:val="24"/>
          </w:rPr>
          <w:fldChar w:fldCharType="end"/>
        </w:r>
      </w:hyperlink>
    </w:p>
    <w:p w14:paraId="24521BF1" w14:textId="173FC712"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4" w:history="1">
        <w:r w:rsidR="00211D83" w:rsidRPr="009C52C4">
          <w:rPr>
            <w:rStyle w:val="Hyperlink"/>
            <w:rFonts w:ascii="Times New Roman" w:hAnsi="Times New Roman" w:cs="Times New Roman"/>
            <w:noProof/>
            <w:sz w:val="24"/>
            <w:szCs w:val="24"/>
          </w:rPr>
          <w:t>Tablica 4.2 Energetska obnova višestambenih zgrada, Međunarodne energetske agencije – IEA/AIE,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_Toc2681324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70</w:t>
        </w:r>
        <w:r w:rsidR="00211D83" w:rsidRPr="009C52C4">
          <w:rPr>
            <w:rFonts w:ascii="Times New Roman" w:hAnsi="Times New Roman" w:cs="Times New Roman"/>
            <w:noProof/>
            <w:webHidden/>
            <w:sz w:val="24"/>
            <w:szCs w:val="24"/>
          </w:rPr>
          <w:fldChar w:fldCharType="end"/>
        </w:r>
      </w:hyperlink>
    </w:p>
    <w:p w14:paraId="7D06ACFC" w14:textId="276791E0"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5" w:history="1">
        <w:r w:rsidR="00211D83" w:rsidRPr="009C52C4">
          <w:rPr>
            <w:rStyle w:val="Hyperlink"/>
            <w:rFonts w:ascii="Times New Roman" w:hAnsi="Times New Roman" w:cs="Times New Roman"/>
            <w:noProof/>
            <w:sz w:val="24"/>
            <w:szCs w:val="24"/>
          </w:rPr>
          <w:t>Tablica 4.3 Dugoročni plan integralne obnove nacionalnog fonda zgrada do 2050. godine(Energy Roadmap 2050)</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_Toc2681325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78</w:t>
        </w:r>
        <w:r w:rsidR="00211D83" w:rsidRPr="009C52C4">
          <w:rPr>
            <w:rFonts w:ascii="Times New Roman" w:hAnsi="Times New Roman" w:cs="Times New Roman"/>
            <w:noProof/>
            <w:webHidden/>
            <w:sz w:val="24"/>
            <w:szCs w:val="24"/>
          </w:rPr>
          <w:fldChar w:fldCharType="end"/>
        </w:r>
      </w:hyperlink>
    </w:p>
    <w:p w14:paraId="042747D8" w14:textId="4D2C5637"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6" w:history="1">
        <w:r w:rsidR="00211D83" w:rsidRPr="009C52C4">
          <w:rPr>
            <w:rStyle w:val="Hyperlink"/>
            <w:rFonts w:ascii="Times New Roman" w:hAnsi="Times New Roman" w:cs="Times New Roman"/>
            <w:noProof/>
            <w:sz w:val="24"/>
            <w:szCs w:val="24"/>
          </w:rPr>
          <w:t>Tablica 5.1 Pregled postojećih programa i financijskih instrumenata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_Toc2681326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88</w:t>
        </w:r>
        <w:r w:rsidR="00211D83" w:rsidRPr="009C52C4">
          <w:rPr>
            <w:rFonts w:ascii="Times New Roman" w:hAnsi="Times New Roman" w:cs="Times New Roman"/>
            <w:noProof/>
            <w:webHidden/>
            <w:sz w:val="24"/>
            <w:szCs w:val="24"/>
          </w:rPr>
          <w:fldChar w:fldCharType="end"/>
        </w:r>
      </w:hyperlink>
    </w:p>
    <w:p w14:paraId="71FBEC87" w14:textId="7B66D38F"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7" w:history="1">
        <w:r w:rsidR="00211D83" w:rsidRPr="009C52C4">
          <w:rPr>
            <w:rStyle w:val="Hyperlink"/>
            <w:rFonts w:ascii="Times New Roman" w:hAnsi="Times New Roman" w:cs="Times New Roman"/>
            <w:noProof/>
            <w:sz w:val="24"/>
            <w:szCs w:val="24"/>
          </w:rPr>
          <w:t>Tablica 5.2 Dugoročne financijsko-fiskalne mjere za poticanje energetske obnove zgrada</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_Toc2681327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91</w:t>
        </w:r>
        <w:r w:rsidR="00211D83" w:rsidRPr="009C52C4">
          <w:rPr>
            <w:rFonts w:ascii="Times New Roman" w:hAnsi="Times New Roman" w:cs="Times New Roman"/>
            <w:noProof/>
            <w:webHidden/>
            <w:sz w:val="24"/>
            <w:szCs w:val="24"/>
          </w:rPr>
          <w:fldChar w:fldCharType="end"/>
        </w:r>
      </w:hyperlink>
    </w:p>
    <w:p w14:paraId="68ADE6AF" w14:textId="089CAC84"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8" w:history="1">
        <w:r w:rsidR="00211D83" w:rsidRPr="009C52C4">
          <w:rPr>
            <w:rStyle w:val="Hyperlink"/>
            <w:rFonts w:ascii="Times New Roman" w:hAnsi="Times New Roman" w:cs="Times New Roman"/>
            <w:noProof/>
            <w:sz w:val="24"/>
            <w:szCs w:val="24"/>
          </w:rPr>
          <w:t>Tablica 6.1</w:t>
        </w:r>
        <w:r w:rsidR="00211D83" w:rsidRPr="009C52C4">
          <w:rPr>
            <w:rStyle w:val="Hyperlink"/>
            <w:rFonts w:ascii="Times New Roman" w:hAnsi="Times New Roman" w:cs="Times New Roman"/>
            <w:noProof/>
            <w:sz w:val="24"/>
            <w:szCs w:val="24"/>
            <w:lang w:eastAsia="en-US"/>
          </w:rPr>
          <w:t>. Makroekonomski scenarij do 2050.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_Toc2681328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97</w:t>
        </w:r>
        <w:r w:rsidR="00211D83" w:rsidRPr="009C52C4">
          <w:rPr>
            <w:rFonts w:ascii="Times New Roman" w:hAnsi="Times New Roman" w:cs="Times New Roman"/>
            <w:noProof/>
            <w:webHidden/>
            <w:sz w:val="24"/>
            <w:szCs w:val="24"/>
          </w:rPr>
          <w:fldChar w:fldCharType="end"/>
        </w:r>
      </w:hyperlink>
    </w:p>
    <w:p w14:paraId="7277BA49" w14:textId="4DB58844"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29" w:history="1">
        <w:r w:rsidR="00211D83" w:rsidRPr="009C52C4">
          <w:rPr>
            <w:rStyle w:val="Hyperlink"/>
            <w:rFonts w:ascii="Times New Roman" w:hAnsi="Times New Roman" w:cs="Times New Roman"/>
            <w:noProof/>
            <w:sz w:val="24"/>
            <w:szCs w:val="24"/>
          </w:rPr>
          <w:t>Tablica 6.2</w:t>
        </w:r>
        <w:r w:rsidR="00211D83" w:rsidRPr="009C52C4">
          <w:rPr>
            <w:rStyle w:val="Hyperlink"/>
            <w:rFonts w:ascii="Times New Roman" w:hAnsi="Times New Roman" w:cs="Times New Roman"/>
            <w:noProof/>
            <w:sz w:val="24"/>
            <w:szCs w:val="24"/>
            <w:lang w:eastAsia="en-US"/>
          </w:rPr>
          <w:t>. Utjecaj predviđenog tempa obnove na investicijske izdatke i zapošljavanje u građevinarstvu do 2050.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_Toc2681329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99</w:t>
        </w:r>
        <w:r w:rsidR="00211D83" w:rsidRPr="009C52C4">
          <w:rPr>
            <w:rFonts w:ascii="Times New Roman" w:hAnsi="Times New Roman" w:cs="Times New Roman"/>
            <w:noProof/>
            <w:webHidden/>
            <w:sz w:val="24"/>
            <w:szCs w:val="24"/>
          </w:rPr>
          <w:fldChar w:fldCharType="end"/>
        </w:r>
      </w:hyperlink>
    </w:p>
    <w:p w14:paraId="7632863E" w14:textId="0AF30E23"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0" w:history="1">
        <w:r w:rsidR="00211D83" w:rsidRPr="009C52C4">
          <w:rPr>
            <w:rStyle w:val="Hyperlink"/>
            <w:rFonts w:ascii="Times New Roman" w:hAnsi="Times New Roman" w:cs="Times New Roman"/>
            <w:noProof/>
            <w:sz w:val="24"/>
            <w:szCs w:val="24"/>
          </w:rPr>
          <w:t>Tablica 6.3</w:t>
        </w:r>
        <w:r w:rsidR="00211D83" w:rsidRPr="009C52C4">
          <w:rPr>
            <w:rStyle w:val="Hyperlink"/>
            <w:rFonts w:ascii="Times New Roman" w:hAnsi="Times New Roman" w:cs="Times New Roman"/>
            <w:noProof/>
            <w:sz w:val="24"/>
            <w:szCs w:val="24"/>
            <w:lang w:eastAsia="en-US"/>
          </w:rPr>
          <w:t xml:space="preserve"> Multiplikativni učinci na zapošljavanje do 2050.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_Toc2681330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102</w:t>
        </w:r>
        <w:r w:rsidR="00211D83" w:rsidRPr="009C52C4">
          <w:rPr>
            <w:rFonts w:ascii="Times New Roman" w:hAnsi="Times New Roman" w:cs="Times New Roman"/>
            <w:noProof/>
            <w:webHidden/>
            <w:sz w:val="24"/>
            <w:szCs w:val="24"/>
          </w:rPr>
          <w:fldChar w:fldCharType="end"/>
        </w:r>
      </w:hyperlink>
    </w:p>
    <w:p w14:paraId="0B54DEF4" w14:textId="479072D8"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1" w:history="1">
        <w:r w:rsidR="00211D83" w:rsidRPr="009C52C4">
          <w:rPr>
            <w:rStyle w:val="Hyperlink"/>
            <w:rFonts w:ascii="Times New Roman" w:hAnsi="Times New Roman" w:cs="Times New Roman"/>
            <w:noProof/>
            <w:sz w:val="24"/>
            <w:szCs w:val="24"/>
          </w:rPr>
          <w:t>Tablica 6.4</w:t>
        </w:r>
        <w:r w:rsidR="00211D83" w:rsidRPr="009C52C4">
          <w:rPr>
            <w:rStyle w:val="Hyperlink"/>
            <w:rFonts w:ascii="Times New Roman" w:hAnsi="Times New Roman" w:cs="Times New Roman"/>
            <w:noProof/>
            <w:sz w:val="24"/>
            <w:szCs w:val="24"/>
            <w:lang w:eastAsia="en-US"/>
          </w:rPr>
          <w:t xml:space="preserve"> Ukupni učinci na BDP i prihode proračuna opće države s uključenim multiplikativnim efektom do 2050.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_Toc2681331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103</w:t>
        </w:r>
        <w:r w:rsidR="00211D83" w:rsidRPr="009C52C4">
          <w:rPr>
            <w:rFonts w:ascii="Times New Roman" w:hAnsi="Times New Roman" w:cs="Times New Roman"/>
            <w:noProof/>
            <w:webHidden/>
            <w:sz w:val="24"/>
            <w:szCs w:val="24"/>
          </w:rPr>
          <w:fldChar w:fldCharType="end"/>
        </w:r>
      </w:hyperlink>
    </w:p>
    <w:p w14:paraId="51F9F5CE" w14:textId="55E66F59"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2" w:history="1">
        <w:r w:rsidR="00211D83" w:rsidRPr="009C52C4">
          <w:rPr>
            <w:rStyle w:val="Hyperlink"/>
            <w:rFonts w:ascii="Times New Roman" w:hAnsi="Times New Roman" w:cs="Times New Roman"/>
            <w:noProof/>
            <w:sz w:val="24"/>
            <w:szCs w:val="24"/>
          </w:rPr>
          <w:t>Tablica 6.5</w:t>
        </w:r>
        <w:r w:rsidR="00211D83" w:rsidRPr="009C52C4">
          <w:rPr>
            <w:rStyle w:val="Hyperlink"/>
            <w:rFonts w:ascii="Times New Roman" w:hAnsi="Times New Roman" w:cs="Times New Roman"/>
            <w:noProof/>
            <w:sz w:val="24"/>
            <w:szCs w:val="24"/>
            <w:lang w:eastAsia="en-US"/>
          </w:rPr>
          <w:t xml:space="preserve"> Utjecaj predviđenog tempa obnove na investicijske izdatke i zapošljavanje u građevinarstvu do 2030.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_Toc2681332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104</w:t>
        </w:r>
        <w:r w:rsidR="00211D83" w:rsidRPr="009C52C4">
          <w:rPr>
            <w:rFonts w:ascii="Times New Roman" w:hAnsi="Times New Roman" w:cs="Times New Roman"/>
            <w:noProof/>
            <w:webHidden/>
            <w:sz w:val="24"/>
            <w:szCs w:val="24"/>
          </w:rPr>
          <w:fldChar w:fldCharType="end"/>
        </w:r>
      </w:hyperlink>
    </w:p>
    <w:p w14:paraId="7D57BE64" w14:textId="5ADE16A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3" w:history="1">
        <w:r w:rsidR="00211D83" w:rsidRPr="009C52C4">
          <w:rPr>
            <w:rStyle w:val="Hyperlink"/>
            <w:rFonts w:ascii="Times New Roman" w:hAnsi="Times New Roman" w:cs="Times New Roman"/>
            <w:noProof/>
            <w:sz w:val="24"/>
            <w:szCs w:val="24"/>
          </w:rPr>
          <w:t>Tablica 6.6</w:t>
        </w:r>
        <w:r w:rsidR="00211D83" w:rsidRPr="009C52C4">
          <w:rPr>
            <w:rStyle w:val="Hyperlink"/>
            <w:rFonts w:ascii="Times New Roman" w:hAnsi="Times New Roman" w:cs="Times New Roman"/>
            <w:noProof/>
            <w:sz w:val="24"/>
            <w:szCs w:val="24"/>
            <w:lang w:eastAsia="en-US"/>
          </w:rPr>
          <w:t xml:space="preserve"> Multiplikativni učinci na zapošljavanje do 2030.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_Toc2681333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105</w:t>
        </w:r>
        <w:r w:rsidR="00211D83" w:rsidRPr="009C52C4">
          <w:rPr>
            <w:rFonts w:ascii="Times New Roman" w:hAnsi="Times New Roman" w:cs="Times New Roman"/>
            <w:noProof/>
            <w:webHidden/>
            <w:sz w:val="24"/>
            <w:szCs w:val="24"/>
          </w:rPr>
          <w:fldChar w:fldCharType="end"/>
        </w:r>
      </w:hyperlink>
    </w:p>
    <w:p w14:paraId="2A300B60" w14:textId="380A16FA"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4" w:history="1">
        <w:r w:rsidR="00211D83" w:rsidRPr="009C52C4">
          <w:rPr>
            <w:rStyle w:val="Hyperlink"/>
            <w:rFonts w:ascii="Times New Roman" w:hAnsi="Times New Roman" w:cs="Times New Roman"/>
            <w:noProof/>
            <w:sz w:val="24"/>
            <w:szCs w:val="24"/>
          </w:rPr>
          <w:t>Tablica 6.7</w:t>
        </w:r>
        <w:r w:rsidR="00211D83" w:rsidRPr="009C52C4">
          <w:rPr>
            <w:rStyle w:val="Hyperlink"/>
            <w:rFonts w:ascii="Times New Roman" w:hAnsi="Times New Roman" w:cs="Times New Roman"/>
            <w:noProof/>
            <w:sz w:val="24"/>
            <w:szCs w:val="24"/>
            <w:lang w:eastAsia="en-US"/>
          </w:rPr>
          <w:t xml:space="preserve"> Ukupni učinci na BDP i prihode proračuna opće države s uključenim multiplikativnim efektom do 2030. godine</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_Toc2681334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105</w:t>
        </w:r>
        <w:r w:rsidR="00211D83" w:rsidRPr="009C52C4">
          <w:rPr>
            <w:rFonts w:ascii="Times New Roman" w:hAnsi="Times New Roman" w:cs="Times New Roman"/>
            <w:noProof/>
            <w:webHidden/>
            <w:sz w:val="24"/>
            <w:szCs w:val="24"/>
          </w:rPr>
          <w:fldChar w:fldCharType="end"/>
        </w:r>
      </w:hyperlink>
    </w:p>
    <w:p w14:paraId="10311DE5" w14:textId="1A0C63E6"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5" w:history="1">
        <w:r w:rsidR="00211D83" w:rsidRPr="009C52C4">
          <w:rPr>
            <w:rStyle w:val="Hyperlink"/>
            <w:rFonts w:ascii="Times New Roman" w:hAnsi="Times New Roman" w:cs="Times New Roman"/>
            <w:noProof/>
            <w:sz w:val="24"/>
            <w:szCs w:val="24"/>
          </w:rPr>
          <w:t>Tablica 6.8</w:t>
        </w:r>
        <w:r w:rsidR="00211D83" w:rsidRPr="009C52C4">
          <w:rPr>
            <w:rStyle w:val="Hyperlink"/>
            <w:rFonts w:ascii="Times New Roman" w:hAnsi="Times New Roman" w:cs="Times New Roman"/>
            <w:noProof/>
            <w:sz w:val="24"/>
            <w:szCs w:val="24"/>
            <w:lang w:eastAsia="en-US"/>
          </w:rPr>
          <w:t xml:space="preserve"> Vrijednost i struktura građevinskih radova u RH 2010.-2015.</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_Toc2681335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107</w:t>
        </w:r>
        <w:r w:rsidR="00211D83" w:rsidRPr="009C52C4">
          <w:rPr>
            <w:rFonts w:ascii="Times New Roman" w:hAnsi="Times New Roman" w:cs="Times New Roman"/>
            <w:noProof/>
            <w:webHidden/>
            <w:sz w:val="24"/>
            <w:szCs w:val="24"/>
          </w:rPr>
          <w:fldChar w:fldCharType="end"/>
        </w:r>
      </w:hyperlink>
    </w:p>
    <w:p w14:paraId="4754A0A0" w14:textId="64D01BB3" w:rsidR="00211D83" w:rsidRPr="009C52C4" w:rsidRDefault="00A209E4">
      <w:pPr>
        <w:pStyle w:val="TableofFigures"/>
        <w:tabs>
          <w:tab w:val="right" w:leader="dot" w:pos="9062"/>
        </w:tabs>
        <w:rPr>
          <w:rFonts w:ascii="Times New Roman" w:eastAsiaTheme="minorEastAsia" w:hAnsi="Times New Roman" w:cs="Times New Roman"/>
          <w:noProof/>
          <w:color w:val="auto"/>
          <w:sz w:val="24"/>
          <w:szCs w:val="24"/>
        </w:rPr>
      </w:pPr>
      <w:hyperlink w:anchor="_Toc2681336" w:history="1">
        <w:r w:rsidR="00211D83" w:rsidRPr="009C52C4">
          <w:rPr>
            <w:rStyle w:val="Hyperlink"/>
            <w:rFonts w:ascii="Times New Roman" w:hAnsi="Times New Roman" w:cs="Times New Roman"/>
            <w:noProof/>
            <w:sz w:val="24"/>
            <w:szCs w:val="24"/>
          </w:rPr>
          <w:t>Tablica 6.9</w:t>
        </w:r>
        <w:r w:rsidR="00211D83" w:rsidRPr="009C52C4">
          <w:rPr>
            <w:rStyle w:val="Hyperlink"/>
            <w:rFonts w:ascii="Times New Roman" w:hAnsi="Times New Roman" w:cs="Times New Roman"/>
            <w:noProof/>
            <w:sz w:val="24"/>
            <w:szCs w:val="24"/>
            <w:lang w:eastAsia="en-US"/>
          </w:rPr>
          <w:t xml:space="preserve"> Vrijednost izvršenih građevinskih radova na zgradama 2013.-2015., pravne osobe s više od pet zaposlenih</w:t>
        </w:r>
        <w:r w:rsidR="00211D83" w:rsidRPr="009C52C4">
          <w:rPr>
            <w:rFonts w:ascii="Times New Roman" w:hAnsi="Times New Roman" w:cs="Times New Roman"/>
            <w:noProof/>
            <w:webHidden/>
            <w:sz w:val="24"/>
            <w:szCs w:val="24"/>
          </w:rPr>
          <w:tab/>
        </w:r>
        <w:r w:rsidR="00211D83" w:rsidRPr="009C52C4">
          <w:rPr>
            <w:rFonts w:ascii="Times New Roman" w:hAnsi="Times New Roman" w:cs="Times New Roman"/>
            <w:noProof/>
            <w:webHidden/>
            <w:sz w:val="24"/>
            <w:szCs w:val="24"/>
          </w:rPr>
          <w:fldChar w:fldCharType="begin"/>
        </w:r>
        <w:r w:rsidR="00211D83" w:rsidRPr="009C52C4">
          <w:rPr>
            <w:rFonts w:ascii="Times New Roman" w:hAnsi="Times New Roman" w:cs="Times New Roman"/>
            <w:noProof/>
            <w:webHidden/>
            <w:sz w:val="24"/>
            <w:szCs w:val="24"/>
          </w:rPr>
          <w:instrText xml:space="preserve"> PAGEREF _Toc2681336 \h </w:instrText>
        </w:r>
        <w:r w:rsidR="00211D83" w:rsidRPr="009C52C4">
          <w:rPr>
            <w:rFonts w:ascii="Times New Roman" w:hAnsi="Times New Roman" w:cs="Times New Roman"/>
            <w:noProof/>
            <w:webHidden/>
            <w:sz w:val="24"/>
            <w:szCs w:val="24"/>
          </w:rPr>
        </w:r>
        <w:r w:rsidR="00211D83" w:rsidRPr="009C52C4">
          <w:rPr>
            <w:rFonts w:ascii="Times New Roman" w:hAnsi="Times New Roman" w:cs="Times New Roman"/>
            <w:noProof/>
            <w:webHidden/>
            <w:sz w:val="24"/>
            <w:szCs w:val="24"/>
          </w:rPr>
          <w:fldChar w:fldCharType="separate"/>
        </w:r>
        <w:r w:rsidR="00A62920" w:rsidRPr="009C52C4">
          <w:rPr>
            <w:rFonts w:ascii="Times New Roman" w:hAnsi="Times New Roman" w:cs="Times New Roman"/>
            <w:noProof/>
            <w:webHidden/>
            <w:sz w:val="24"/>
            <w:szCs w:val="24"/>
          </w:rPr>
          <w:t>108</w:t>
        </w:r>
        <w:r w:rsidR="00211D83" w:rsidRPr="009C52C4">
          <w:rPr>
            <w:rFonts w:ascii="Times New Roman" w:hAnsi="Times New Roman" w:cs="Times New Roman"/>
            <w:noProof/>
            <w:webHidden/>
            <w:sz w:val="24"/>
            <w:szCs w:val="24"/>
          </w:rPr>
          <w:fldChar w:fldCharType="end"/>
        </w:r>
      </w:hyperlink>
    </w:p>
    <w:p w14:paraId="5A6F02C1" w14:textId="36C0F2EB" w:rsidR="00B122B4" w:rsidRPr="009C52C4" w:rsidRDefault="006730B1" w:rsidP="006730B1">
      <w:pPr>
        <w:tabs>
          <w:tab w:val="right" w:pos="9062"/>
        </w:tabs>
        <w:rPr>
          <w:rFonts w:ascii="Times New Roman" w:hAnsi="Times New Roman" w:cs="Times New Roman"/>
          <w:sz w:val="24"/>
          <w:szCs w:val="24"/>
        </w:rPr>
      </w:pPr>
      <w:r w:rsidRPr="009C52C4">
        <w:rPr>
          <w:rFonts w:ascii="Times New Roman" w:hAnsi="Times New Roman" w:cs="Times New Roman"/>
          <w:sz w:val="24"/>
          <w:szCs w:val="24"/>
        </w:rPr>
        <w:fldChar w:fldCharType="end"/>
      </w:r>
      <w:r w:rsidR="00F54CC3" w:rsidRPr="009C52C4">
        <w:rPr>
          <w:rFonts w:ascii="Times New Roman" w:hAnsi="Times New Roman" w:cs="Times New Roman"/>
          <w:sz w:val="24"/>
          <w:szCs w:val="24"/>
        </w:rPr>
        <w:br w:type="page"/>
      </w:r>
    </w:p>
    <w:p w14:paraId="6FC98711" w14:textId="77777777" w:rsidR="00B122B4" w:rsidRPr="009C52C4" w:rsidRDefault="00F54CC3">
      <w:pPr>
        <w:pStyle w:val="Heading1"/>
        <w:rPr>
          <w:rFonts w:ascii="Times New Roman" w:hAnsi="Times New Roman" w:cs="Times New Roman"/>
          <w:sz w:val="24"/>
          <w:szCs w:val="24"/>
        </w:rPr>
      </w:pPr>
      <w:bookmarkStart w:id="1" w:name="h.gjdgxs" w:colFirst="0" w:colLast="0"/>
      <w:bookmarkStart w:id="2" w:name="_Toc3277894"/>
      <w:bookmarkEnd w:id="1"/>
      <w:r w:rsidRPr="009C52C4">
        <w:rPr>
          <w:rFonts w:ascii="Times New Roman" w:hAnsi="Times New Roman" w:cs="Times New Roman"/>
          <w:sz w:val="24"/>
          <w:szCs w:val="24"/>
        </w:rPr>
        <w:lastRenderedPageBreak/>
        <w:t>Sažetak</w:t>
      </w:r>
      <w:bookmarkEnd w:id="2"/>
    </w:p>
    <w:p w14:paraId="214F9907" w14:textId="77777777" w:rsidR="00B122B4" w:rsidRPr="009C52C4" w:rsidRDefault="00B122B4">
      <w:pPr>
        <w:ind w:right="708"/>
        <w:rPr>
          <w:rFonts w:ascii="Times New Roman" w:hAnsi="Times New Roman" w:cs="Times New Roman"/>
          <w:sz w:val="24"/>
          <w:szCs w:val="24"/>
        </w:rPr>
      </w:pPr>
    </w:p>
    <w:p w14:paraId="05AE7325" w14:textId="5A63D144" w:rsidR="001804D4" w:rsidRPr="009C52C4" w:rsidRDefault="001804D4" w:rsidP="001804D4">
      <w:pPr>
        <w:rPr>
          <w:rFonts w:ascii="Times New Roman" w:hAnsi="Times New Roman" w:cs="Times New Roman"/>
          <w:sz w:val="24"/>
          <w:szCs w:val="24"/>
        </w:rPr>
      </w:pPr>
      <w:bookmarkStart w:id="3" w:name="h.1fob9te" w:colFirst="0" w:colLast="0"/>
      <w:bookmarkEnd w:id="3"/>
      <w:r w:rsidRPr="009C52C4">
        <w:rPr>
          <w:rFonts w:ascii="Times New Roman" w:hAnsi="Times New Roman" w:cs="Times New Roman"/>
          <w:sz w:val="24"/>
          <w:szCs w:val="24"/>
        </w:rPr>
        <w:t xml:space="preserve">Sve države članice Europske unije bile su obvezne prema članku 4. </w:t>
      </w:r>
      <w:r w:rsidR="00B47BA9" w:rsidRPr="009C52C4">
        <w:rPr>
          <w:rFonts w:ascii="Times New Roman" w:hAnsi="Times New Roman" w:cs="Times New Roman"/>
          <w:sz w:val="24"/>
          <w:szCs w:val="24"/>
        </w:rPr>
        <w:t>Direktive 2012/27/EU Europskog parlamenta i Vijeća od 25. listopada 2012. o energetskoj učinkovitosti, izmjeni direktiva 2009/125/EZ i 2010/30/EU i stavljanju izvan snage direktiva 2004/8/EZ i 2006/32/EZ (Tekst značajan za EGP)</w:t>
      </w:r>
      <w:r w:rsidR="00A32240" w:rsidRPr="009C52C4">
        <w:rPr>
          <w:rStyle w:val="FootnoteReference"/>
          <w:rFonts w:ascii="Times New Roman" w:hAnsi="Times New Roman" w:cs="Times New Roman"/>
          <w:sz w:val="24"/>
          <w:szCs w:val="24"/>
        </w:rPr>
        <w:footnoteReference w:id="1"/>
      </w:r>
      <w:r w:rsidR="00987079" w:rsidRPr="009C52C4">
        <w:rPr>
          <w:rFonts w:ascii="Times New Roman" w:hAnsi="Times New Roman" w:cs="Times New Roman"/>
          <w:sz w:val="24"/>
          <w:szCs w:val="24"/>
        </w:rPr>
        <w:t xml:space="preserve"> (u daljnjem tekstu Direktiva 2012/27/EU)</w:t>
      </w:r>
      <w:r w:rsidR="00B47BA9"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izraditi </w:t>
      </w:r>
      <w:r w:rsidR="00987079" w:rsidRPr="009C52C4">
        <w:rPr>
          <w:rFonts w:ascii="Times New Roman" w:hAnsi="Times New Roman" w:cs="Times New Roman"/>
          <w:sz w:val="24"/>
          <w:szCs w:val="24"/>
        </w:rPr>
        <w:t>d</w:t>
      </w:r>
      <w:r w:rsidRPr="009C52C4">
        <w:rPr>
          <w:rFonts w:ascii="Times New Roman" w:hAnsi="Times New Roman" w:cs="Times New Roman"/>
          <w:sz w:val="24"/>
          <w:szCs w:val="24"/>
        </w:rPr>
        <w:t xml:space="preserve">ugoročnu strategiju za poticanje ulaganja u obnovu nacionalnog fonda zgrada i dostaviti je Europskoj komisiji do 30. travnja 2014. godine. Vlada Republike Hrvatske donijela je </w:t>
      </w:r>
      <w:r w:rsidR="00AA3D81" w:rsidRPr="009C52C4">
        <w:rPr>
          <w:rFonts w:ascii="Times New Roman" w:hAnsi="Times New Roman" w:cs="Times New Roman"/>
          <w:sz w:val="24"/>
          <w:szCs w:val="24"/>
        </w:rPr>
        <w:t>1</w:t>
      </w:r>
      <w:r w:rsidR="00312F3E" w:rsidRPr="009C52C4">
        <w:rPr>
          <w:rFonts w:ascii="Times New Roman" w:hAnsi="Times New Roman" w:cs="Times New Roman"/>
          <w:sz w:val="24"/>
          <w:szCs w:val="24"/>
        </w:rPr>
        <w:t>1</w:t>
      </w:r>
      <w:r w:rsidR="00AA3D81" w:rsidRPr="009C52C4">
        <w:rPr>
          <w:rFonts w:ascii="Times New Roman" w:hAnsi="Times New Roman" w:cs="Times New Roman"/>
          <w:sz w:val="24"/>
          <w:szCs w:val="24"/>
        </w:rPr>
        <w:t>. lipnja 2014.</w:t>
      </w:r>
      <w:r w:rsidR="00987079" w:rsidRPr="009C52C4">
        <w:rPr>
          <w:rFonts w:ascii="Times New Roman" w:hAnsi="Times New Roman" w:cs="Times New Roman"/>
          <w:sz w:val="24"/>
          <w:szCs w:val="24"/>
        </w:rPr>
        <w:t xml:space="preserve"> godine</w:t>
      </w:r>
      <w:r w:rsidR="00AA3D81" w:rsidRPr="009C52C4">
        <w:rPr>
          <w:rFonts w:ascii="Times New Roman" w:hAnsi="Times New Roman" w:cs="Times New Roman"/>
          <w:sz w:val="24"/>
          <w:szCs w:val="24"/>
        </w:rPr>
        <w:t xml:space="preserve"> </w:t>
      </w:r>
      <w:r w:rsidRPr="009C52C4">
        <w:rPr>
          <w:rFonts w:ascii="Times New Roman" w:hAnsi="Times New Roman" w:cs="Times New Roman"/>
          <w:sz w:val="24"/>
          <w:szCs w:val="24"/>
        </w:rPr>
        <w:t>Odluku o donošenju Dugoročne strategije za poticanje ulaganja u obnovu nacionalnog fonda zgrada Republike Hrvatske</w:t>
      </w:r>
      <w:r w:rsidR="00987079" w:rsidRPr="009C52C4">
        <w:rPr>
          <w:rFonts w:ascii="Times New Roman" w:hAnsi="Times New Roman" w:cs="Times New Roman"/>
          <w:sz w:val="24"/>
          <w:szCs w:val="24"/>
        </w:rPr>
        <w:t xml:space="preserve"> (NN 74/14)</w:t>
      </w:r>
      <w:r w:rsidR="00AA3D81" w:rsidRPr="009C52C4">
        <w:rPr>
          <w:rFonts w:ascii="Times New Roman" w:hAnsi="Times New Roman" w:cs="Times New Roman"/>
          <w:sz w:val="24"/>
          <w:szCs w:val="24"/>
        </w:rPr>
        <w:t>, a u</w:t>
      </w:r>
      <w:r w:rsidRPr="009C52C4">
        <w:rPr>
          <w:rFonts w:ascii="Times New Roman" w:hAnsi="Times New Roman" w:cs="Times New Roman"/>
          <w:sz w:val="24"/>
          <w:szCs w:val="24"/>
        </w:rPr>
        <w:t xml:space="preserve"> međuvremenu je navedena obveza iz Direktive</w:t>
      </w:r>
      <w:r w:rsidR="00987079" w:rsidRPr="009C52C4">
        <w:rPr>
          <w:rFonts w:ascii="Times New Roman" w:hAnsi="Times New Roman" w:cs="Times New Roman"/>
          <w:sz w:val="24"/>
          <w:szCs w:val="24"/>
        </w:rPr>
        <w:t xml:space="preserve"> 2012/27/EU</w:t>
      </w:r>
      <w:r w:rsidRPr="009C52C4">
        <w:rPr>
          <w:rFonts w:ascii="Times New Roman" w:hAnsi="Times New Roman" w:cs="Times New Roman"/>
          <w:sz w:val="24"/>
          <w:szCs w:val="24"/>
        </w:rPr>
        <w:t xml:space="preserve"> prenesena u članak 10. Zakona o energetskoj učinkovitosti</w:t>
      </w:r>
      <w:r w:rsidR="0096324F" w:rsidRPr="009C52C4">
        <w:rPr>
          <w:rFonts w:ascii="Times New Roman" w:hAnsi="Times New Roman" w:cs="Times New Roman"/>
          <w:sz w:val="24"/>
          <w:szCs w:val="24"/>
        </w:rPr>
        <w:t xml:space="preserve"> </w:t>
      </w:r>
      <w:r w:rsidR="00CA3846" w:rsidRPr="009C52C4">
        <w:rPr>
          <w:rFonts w:ascii="Times New Roman" w:hAnsi="Times New Roman" w:cs="Times New Roman"/>
          <w:sz w:val="24"/>
          <w:szCs w:val="24"/>
        </w:rPr>
        <w:t>(</w:t>
      </w:r>
      <w:r w:rsidR="0096324F" w:rsidRPr="009C52C4">
        <w:rPr>
          <w:rFonts w:ascii="Times New Roman" w:hAnsi="Times New Roman" w:cs="Times New Roman"/>
          <w:sz w:val="24"/>
          <w:szCs w:val="24"/>
        </w:rPr>
        <w:t>NN 127/14</w:t>
      </w:r>
      <w:r w:rsidR="00CA3846"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footnoteReference w:id="2"/>
      </w:r>
      <w:r w:rsidR="00D11E23" w:rsidRPr="009C52C4">
        <w:rPr>
          <w:rFonts w:ascii="Times New Roman" w:hAnsi="Times New Roman" w:cs="Times New Roman"/>
          <w:sz w:val="24"/>
          <w:szCs w:val="24"/>
        </w:rPr>
        <w:t xml:space="preserve">, gdje je definirano da se </w:t>
      </w:r>
      <w:r w:rsidR="00987079" w:rsidRPr="009C52C4">
        <w:rPr>
          <w:rFonts w:ascii="Times New Roman" w:hAnsi="Times New Roman" w:cs="Times New Roman"/>
          <w:sz w:val="24"/>
          <w:szCs w:val="24"/>
        </w:rPr>
        <w:t>d</w:t>
      </w:r>
      <w:r w:rsidR="00D11E23" w:rsidRPr="009C52C4">
        <w:rPr>
          <w:rFonts w:ascii="Times New Roman" w:hAnsi="Times New Roman" w:cs="Times New Roman"/>
          <w:sz w:val="24"/>
          <w:szCs w:val="24"/>
        </w:rPr>
        <w:t>ugoročna s</w:t>
      </w:r>
      <w:r w:rsidRPr="009C52C4">
        <w:rPr>
          <w:rFonts w:ascii="Times New Roman" w:hAnsi="Times New Roman" w:cs="Times New Roman"/>
          <w:sz w:val="24"/>
          <w:szCs w:val="24"/>
        </w:rPr>
        <w:t xml:space="preserve">trategija </w:t>
      </w:r>
      <w:r w:rsidR="00D11E23" w:rsidRPr="009C52C4">
        <w:rPr>
          <w:rFonts w:ascii="Times New Roman" w:hAnsi="Times New Roman" w:cs="Times New Roman"/>
          <w:sz w:val="24"/>
          <w:szCs w:val="24"/>
        </w:rPr>
        <w:t xml:space="preserve">za poticanje ulaganja u obnovu nacionalnog fonda zgrada Republike Hrvatske </w:t>
      </w:r>
      <w:r w:rsidRPr="009C52C4">
        <w:rPr>
          <w:rFonts w:ascii="Times New Roman" w:hAnsi="Times New Roman" w:cs="Times New Roman"/>
          <w:sz w:val="24"/>
          <w:szCs w:val="24"/>
        </w:rPr>
        <w:t xml:space="preserve">prvi put ažurira </w:t>
      </w:r>
      <w:r w:rsidR="00AA3D81" w:rsidRPr="009C52C4">
        <w:rPr>
          <w:rFonts w:ascii="Times New Roman" w:hAnsi="Times New Roman" w:cs="Times New Roman"/>
          <w:sz w:val="24"/>
          <w:szCs w:val="24"/>
        </w:rPr>
        <w:t xml:space="preserve">do </w:t>
      </w:r>
      <w:r w:rsidRPr="009C52C4">
        <w:rPr>
          <w:rFonts w:ascii="Times New Roman" w:hAnsi="Times New Roman" w:cs="Times New Roman"/>
          <w:sz w:val="24"/>
          <w:szCs w:val="24"/>
        </w:rPr>
        <w:t>30. travnja 2017.</w:t>
      </w:r>
      <w:r w:rsidR="00987079" w:rsidRPr="009C52C4">
        <w:rPr>
          <w:rFonts w:ascii="Times New Roman" w:hAnsi="Times New Roman" w:cs="Times New Roman"/>
          <w:sz w:val="24"/>
          <w:szCs w:val="24"/>
        </w:rPr>
        <w:t xml:space="preserve"> godine,</w:t>
      </w:r>
      <w:r w:rsidRPr="009C52C4">
        <w:rPr>
          <w:rFonts w:ascii="Times New Roman" w:hAnsi="Times New Roman" w:cs="Times New Roman"/>
          <w:sz w:val="24"/>
          <w:szCs w:val="24"/>
        </w:rPr>
        <w:t xml:space="preserve"> te nastavno svake tri godine</w:t>
      </w:r>
      <w:r w:rsidR="00987079" w:rsidRPr="009C52C4">
        <w:rPr>
          <w:rFonts w:ascii="Times New Roman" w:hAnsi="Times New Roman" w:cs="Times New Roman"/>
          <w:sz w:val="24"/>
          <w:szCs w:val="24"/>
        </w:rPr>
        <w:t>,</w:t>
      </w:r>
      <w:r w:rsidRPr="009C52C4">
        <w:rPr>
          <w:rFonts w:ascii="Times New Roman" w:hAnsi="Times New Roman" w:cs="Times New Roman"/>
          <w:sz w:val="24"/>
          <w:szCs w:val="24"/>
        </w:rPr>
        <w:t xml:space="preserve"> te dostavlja Europskoj komisiji zajedno s </w:t>
      </w:r>
      <w:r w:rsidR="00987079" w:rsidRPr="009C52C4">
        <w:rPr>
          <w:rFonts w:ascii="Times New Roman" w:hAnsi="Times New Roman" w:cs="Times New Roman"/>
          <w:sz w:val="24"/>
          <w:szCs w:val="24"/>
        </w:rPr>
        <w:t>n</w:t>
      </w:r>
      <w:r w:rsidRPr="009C52C4">
        <w:rPr>
          <w:rFonts w:ascii="Times New Roman" w:hAnsi="Times New Roman" w:cs="Times New Roman"/>
          <w:sz w:val="24"/>
          <w:szCs w:val="24"/>
        </w:rPr>
        <w:t xml:space="preserve">acionalnim akcijskim planom. </w:t>
      </w:r>
    </w:p>
    <w:p w14:paraId="1083FE81" w14:textId="77777777" w:rsidR="001804D4" w:rsidRPr="009C52C4" w:rsidRDefault="001804D4" w:rsidP="001804D4">
      <w:pPr>
        <w:rPr>
          <w:rFonts w:ascii="Times New Roman" w:hAnsi="Times New Roman" w:cs="Times New Roman"/>
          <w:sz w:val="24"/>
          <w:szCs w:val="24"/>
        </w:rPr>
      </w:pPr>
    </w:p>
    <w:p w14:paraId="32C746D9"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Glavni cilj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je na osnovu utvrđenog ekonomsko-energetski optimalnog modela obnove zgrada identificirati djelotvorne mjere za dugoročno poticanje troškovno učinkovite integralne obnove fonda zgrada Republike Hrvatske </w:t>
      </w:r>
      <w:r w:rsidR="00AA3D81" w:rsidRPr="009C52C4">
        <w:rPr>
          <w:rFonts w:ascii="Times New Roman" w:hAnsi="Times New Roman" w:cs="Times New Roman"/>
          <w:sz w:val="24"/>
          <w:szCs w:val="24"/>
        </w:rPr>
        <w:t xml:space="preserve">(sve zgrade stambenog i nestambenog sektora) </w:t>
      </w:r>
      <w:r w:rsidR="00A2724A" w:rsidRPr="009C52C4">
        <w:rPr>
          <w:rFonts w:ascii="Times New Roman" w:hAnsi="Times New Roman" w:cs="Times New Roman"/>
          <w:sz w:val="24"/>
          <w:szCs w:val="24"/>
        </w:rPr>
        <w:t>do 2050. godine</w:t>
      </w:r>
      <w:r w:rsidRPr="009C52C4">
        <w:rPr>
          <w:rFonts w:ascii="Times New Roman" w:hAnsi="Times New Roman" w:cs="Times New Roman"/>
          <w:sz w:val="24"/>
          <w:szCs w:val="24"/>
        </w:rPr>
        <w:t xml:space="preserve">. </w:t>
      </w:r>
    </w:p>
    <w:p w14:paraId="21F5BE36" w14:textId="77777777" w:rsidR="001804D4" w:rsidRPr="009C52C4" w:rsidRDefault="001804D4" w:rsidP="001804D4">
      <w:pPr>
        <w:rPr>
          <w:rFonts w:ascii="Times New Roman" w:hAnsi="Times New Roman" w:cs="Times New Roman"/>
          <w:sz w:val="24"/>
          <w:szCs w:val="24"/>
        </w:rPr>
      </w:pPr>
    </w:p>
    <w:p w14:paraId="6B8EED1D" w14:textId="42DAF5AE"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U skladu s </w:t>
      </w:r>
      <w:r w:rsidR="00AA3D81" w:rsidRPr="009C52C4">
        <w:rPr>
          <w:rFonts w:ascii="Times New Roman" w:hAnsi="Times New Roman" w:cs="Times New Roman"/>
          <w:sz w:val="24"/>
          <w:szCs w:val="24"/>
        </w:rPr>
        <w:t xml:space="preserve">odredbama </w:t>
      </w:r>
      <w:r w:rsidR="009D531D" w:rsidRPr="009C52C4">
        <w:rPr>
          <w:rFonts w:ascii="Times New Roman" w:hAnsi="Times New Roman" w:cs="Times New Roman"/>
          <w:sz w:val="24"/>
          <w:szCs w:val="24"/>
        </w:rPr>
        <w:t>Direktive 2012/27/EU</w:t>
      </w:r>
      <w:r w:rsidR="00B03FC7"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u sklopu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su obrađene </w:t>
      </w:r>
      <w:r w:rsidR="00AA3D81" w:rsidRPr="009C52C4">
        <w:rPr>
          <w:rFonts w:ascii="Times New Roman" w:hAnsi="Times New Roman" w:cs="Times New Roman"/>
          <w:sz w:val="24"/>
          <w:szCs w:val="24"/>
        </w:rPr>
        <w:t xml:space="preserve">sljedeće </w:t>
      </w:r>
      <w:r w:rsidRPr="009C52C4">
        <w:rPr>
          <w:rFonts w:ascii="Times New Roman" w:hAnsi="Times New Roman" w:cs="Times New Roman"/>
          <w:sz w:val="24"/>
          <w:szCs w:val="24"/>
        </w:rPr>
        <w:t>tematske cjeline</w:t>
      </w:r>
      <w:r w:rsidR="00AA3D81" w:rsidRPr="009C52C4">
        <w:rPr>
          <w:rFonts w:ascii="Times New Roman" w:hAnsi="Times New Roman" w:cs="Times New Roman"/>
          <w:sz w:val="24"/>
          <w:szCs w:val="24"/>
        </w:rPr>
        <w:t>:</w:t>
      </w:r>
    </w:p>
    <w:p w14:paraId="652B6705" w14:textId="77777777" w:rsidR="001804D4" w:rsidRPr="009C52C4" w:rsidRDefault="001804D4" w:rsidP="001804D4">
      <w:pPr>
        <w:rPr>
          <w:rFonts w:ascii="Times New Roman" w:hAnsi="Times New Roman" w:cs="Times New Roman"/>
          <w:sz w:val="24"/>
          <w:szCs w:val="24"/>
        </w:rPr>
      </w:pPr>
    </w:p>
    <w:p w14:paraId="4D1C23D3" w14:textId="77777777" w:rsidR="001804D4" w:rsidRPr="009C52C4" w:rsidRDefault="001804D4" w:rsidP="006107D4">
      <w:pPr>
        <w:pStyle w:val="ListParagraph"/>
        <w:numPr>
          <w:ilvl w:val="0"/>
          <w:numId w:val="60"/>
        </w:numPr>
        <w:rPr>
          <w:rFonts w:ascii="Times New Roman" w:hAnsi="Times New Roman" w:cs="Times New Roman"/>
          <w:sz w:val="24"/>
          <w:szCs w:val="24"/>
        </w:rPr>
      </w:pPr>
      <w:r w:rsidRPr="009C52C4">
        <w:rPr>
          <w:rFonts w:ascii="Times New Roman" w:hAnsi="Times New Roman" w:cs="Times New Roman"/>
          <w:b/>
          <w:sz w:val="24"/>
          <w:szCs w:val="24"/>
        </w:rPr>
        <w:t xml:space="preserve">Pregled nacionalnog fonda zgrada Republike Hrvatske </w:t>
      </w:r>
      <w:r w:rsidRPr="009C52C4">
        <w:rPr>
          <w:rFonts w:ascii="Times New Roman" w:hAnsi="Times New Roman" w:cs="Times New Roman"/>
          <w:sz w:val="24"/>
          <w:szCs w:val="24"/>
        </w:rPr>
        <w:t xml:space="preserve">obuhvaća podatke o broju, površini, te građevinskim i energetskim karakteristikama nacionalnog fonda zgrada podijeljenog prema namjeni u </w:t>
      </w:r>
      <w:r w:rsidR="00A95227" w:rsidRPr="009C52C4">
        <w:rPr>
          <w:rFonts w:ascii="Times New Roman" w:hAnsi="Times New Roman" w:cs="Times New Roman"/>
          <w:sz w:val="24"/>
          <w:szCs w:val="24"/>
        </w:rPr>
        <w:t xml:space="preserve">četiri </w:t>
      </w:r>
      <w:r w:rsidRPr="009C52C4">
        <w:rPr>
          <w:rFonts w:ascii="Times New Roman" w:hAnsi="Times New Roman" w:cs="Times New Roman"/>
          <w:sz w:val="24"/>
          <w:szCs w:val="24"/>
        </w:rPr>
        <w:t>kategorije</w:t>
      </w:r>
      <w:r w:rsidR="00A95227" w:rsidRPr="009C52C4">
        <w:rPr>
          <w:rFonts w:ascii="Times New Roman" w:hAnsi="Times New Roman" w:cs="Times New Roman"/>
          <w:sz w:val="24"/>
          <w:szCs w:val="24"/>
        </w:rPr>
        <w:t xml:space="preserve"> (v</w:t>
      </w:r>
      <w:r w:rsidRPr="009C52C4">
        <w:rPr>
          <w:rFonts w:ascii="Times New Roman" w:hAnsi="Times New Roman" w:cs="Times New Roman"/>
          <w:sz w:val="24"/>
          <w:szCs w:val="24"/>
        </w:rPr>
        <w:t>išestambene zgrade;</w:t>
      </w:r>
      <w:r w:rsidR="00A95227" w:rsidRPr="009C52C4">
        <w:rPr>
          <w:rFonts w:ascii="Times New Roman" w:hAnsi="Times New Roman" w:cs="Times New Roman"/>
          <w:sz w:val="24"/>
          <w:szCs w:val="24"/>
        </w:rPr>
        <w:t xml:space="preserve"> o</w:t>
      </w:r>
      <w:r w:rsidRPr="009C52C4">
        <w:rPr>
          <w:rFonts w:ascii="Times New Roman" w:hAnsi="Times New Roman" w:cs="Times New Roman"/>
          <w:sz w:val="24"/>
          <w:szCs w:val="24"/>
        </w:rPr>
        <w:t>biteljske kuće;</w:t>
      </w:r>
      <w:r w:rsidR="00A95227" w:rsidRPr="009C52C4">
        <w:rPr>
          <w:rFonts w:ascii="Times New Roman" w:hAnsi="Times New Roman" w:cs="Times New Roman"/>
          <w:sz w:val="24"/>
          <w:szCs w:val="24"/>
        </w:rPr>
        <w:t xml:space="preserve"> z</w:t>
      </w:r>
      <w:r w:rsidRPr="009C52C4">
        <w:rPr>
          <w:rFonts w:ascii="Times New Roman" w:hAnsi="Times New Roman" w:cs="Times New Roman"/>
          <w:sz w:val="24"/>
          <w:szCs w:val="24"/>
        </w:rPr>
        <w:t>grade j</w:t>
      </w:r>
      <w:r w:rsidR="00A95227" w:rsidRPr="009C52C4">
        <w:rPr>
          <w:rFonts w:ascii="Times New Roman" w:hAnsi="Times New Roman" w:cs="Times New Roman"/>
          <w:sz w:val="24"/>
          <w:szCs w:val="24"/>
        </w:rPr>
        <w:t>avne namjene i z</w:t>
      </w:r>
      <w:r w:rsidRPr="009C52C4">
        <w:rPr>
          <w:rFonts w:ascii="Times New Roman" w:hAnsi="Times New Roman" w:cs="Times New Roman"/>
          <w:sz w:val="24"/>
          <w:szCs w:val="24"/>
        </w:rPr>
        <w:t>grade komercijalne namjene</w:t>
      </w:r>
      <w:r w:rsidR="00A95227" w:rsidRPr="009C52C4">
        <w:rPr>
          <w:rFonts w:ascii="Times New Roman" w:hAnsi="Times New Roman" w:cs="Times New Roman"/>
          <w:sz w:val="24"/>
          <w:szCs w:val="24"/>
        </w:rPr>
        <w:t>)</w:t>
      </w:r>
      <w:r w:rsidRPr="009C52C4">
        <w:rPr>
          <w:rFonts w:ascii="Times New Roman" w:hAnsi="Times New Roman" w:cs="Times New Roman"/>
          <w:sz w:val="24"/>
          <w:szCs w:val="24"/>
        </w:rPr>
        <w:t>.</w:t>
      </w:r>
    </w:p>
    <w:p w14:paraId="4B973CE7" w14:textId="77777777" w:rsidR="001804D4" w:rsidRPr="009C52C4" w:rsidRDefault="001804D4" w:rsidP="001804D4">
      <w:pPr>
        <w:rPr>
          <w:rFonts w:ascii="Times New Roman" w:hAnsi="Times New Roman" w:cs="Times New Roman"/>
          <w:sz w:val="24"/>
          <w:szCs w:val="24"/>
        </w:rPr>
      </w:pPr>
    </w:p>
    <w:p w14:paraId="04084F4D"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Za navedene kategorije zgrada dan je pregled prema razdoblju izgradnje, klimatskim zonama, vlasništvu i diferencijaciji na urbana i ruralna područja. </w:t>
      </w:r>
      <w:r w:rsidRPr="009C52C4">
        <w:rPr>
          <w:rFonts w:ascii="Times New Roman" w:hAnsi="Times New Roman" w:cs="Times New Roman"/>
          <w:color w:val="auto"/>
          <w:sz w:val="24"/>
          <w:szCs w:val="24"/>
        </w:rPr>
        <w:t xml:space="preserve">U cilju što točnijeg i vjerodostojnijeg pregleda nacionalnog fonda zgrada, autori su sustavno prikupljali, obrađivali i analizirali podatke iz </w:t>
      </w:r>
      <w:r w:rsidRPr="009C52C4">
        <w:rPr>
          <w:rFonts w:ascii="Times New Roman" w:hAnsi="Times New Roman" w:cs="Times New Roman"/>
          <w:sz w:val="24"/>
          <w:szCs w:val="24"/>
        </w:rPr>
        <w:t>godišnjih statističkih ljetopisa Državnog statističkog zavoda u razdoblju od 1952. do 2011. godine. Prema rezultatima sustavnog istraživanja statističkih ljetopisa i stručne procjene nedostajućih podataka, stambeni nacionalni fond zgrada Republike Hrvatske čini 762.397 zgrada, ukupne površine 142.176.678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 čega je 290.689 višestambenih zgrada ukupne površine 55.438.063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a 471.708 obiteljskih kuća ukupne površine 86.738.615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Nestambeni nacionalni fond zgrada Republike Hrvatske čini 124.924 zgrada, ukupne površine 50.342.361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 čega je 44.728 zgrada komercijalne namjene ukupne površine 36.540.459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a 80.196 zgrada javne namjene ukupne površine 13.801.902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Iz provedenih analiza slijedi zaključak da sadašnji </w:t>
      </w:r>
      <w:r w:rsidR="00AA3D81" w:rsidRPr="009C52C4">
        <w:rPr>
          <w:rFonts w:ascii="Times New Roman" w:hAnsi="Times New Roman" w:cs="Times New Roman"/>
          <w:sz w:val="24"/>
          <w:szCs w:val="24"/>
        </w:rPr>
        <w:t xml:space="preserve">ukupni </w:t>
      </w:r>
      <w:r w:rsidRPr="009C52C4">
        <w:rPr>
          <w:rFonts w:ascii="Times New Roman" w:hAnsi="Times New Roman" w:cs="Times New Roman"/>
          <w:sz w:val="24"/>
          <w:szCs w:val="24"/>
        </w:rPr>
        <w:t>nacionalni fond zgrada Republike Hrvatske čini 887.321 zgrada, ukupne površine 192.519.039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w:t>
      </w:r>
    </w:p>
    <w:p w14:paraId="4DD6E73B" w14:textId="77777777" w:rsidR="001804D4" w:rsidRPr="009C52C4" w:rsidRDefault="001804D4" w:rsidP="001804D4">
      <w:pPr>
        <w:rPr>
          <w:rFonts w:ascii="Times New Roman" w:hAnsi="Times New Roman" w:cs="Times New Roman"/>
          <w:sz w:val="24"/>
          <w:szCs w:val="24"/>
        </w:rPr>
      </w:pPr>
    </w:p>
    <w:p w14:paraId="4871AD5B" w14:textId="72CC556D"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lastRenderedPageBreak/>
        <w:t xml:space="preserve">S obzirom da su unutar tri godine od izrade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do danas provođeni programi energetske obnove zgrada, ukupna površina nacionalnog fonda zgrada koju je potrebno obnoviti od 2017. nadalje ažurirana je sukladno Godišnjem izvješću o napretku postignutom u ostvarenju nacionalnih ciljeva energetske učinkovitosti na temelju članka 24. stavka 1. u skladu s dijelom 1. Priloga XIV. Direktive 2012/27/EU (</w:t>
      </w:r>
      <w:r w:rsidR="00124387" w:rsidRPr="009C52C4">
        <w:rPr>
          <w:rFonts w:ascii="Times New Roman" w:hAnsi="Times New Roman" w:cs="Times New Roman"/>
          <w:sz w:val="24"/>
          <w:szCs w:val="24"/>
        </w:rPr>
        <w:t xml:space="preserve">u </w:t>
      </w:r>
      <w:r w:rsidR="00E06A1F" w:rsidRPr="009C52C4">
        <w:rPr>
          <w:rFonts w:ascii="Times New Roman" w:hAnsi="Times New Roman" w:cs="Times New Roman"/>
          <w:sz w:val="24"/>
          <w:szCs w:val="24"/>
        </w:rPr>
        <w:t>nastavku teksta: Izvješće</w:t>
      </w:r>
      <w:r w:rsidRPr="009C52C4">
        <w:rPr>
          <w:rFonts w:ascii="Times New Roman" w:hAnsi="Times New Roman" w:cs="Times New Roman"/>
          <w:sz w:val="24"/>
          <w:szCs w:val="24"/>
        </w:rPr>
        <w:t xml:space="preserve">). Sukladno Izvješću u kojem je dan pregled ostvarenih kumulativnih ušteda u </w:t>
      </w:r>
      <w:r w:rsidR="00E06A1F" w:rsidRPr="009C52C4">
        <w:rPr>
          <w:rFonts w:ascii="Times New Roman" w:hAnsi="Times New Roman" w:cs="Times New Roman"/>
          <w:sz w:val="24"/>
          <w:szCs w:val="24"/>
        </w:rPr>
        <w:t>razdoblju</w:t>
      </w:r>
      <w:r w:rsidRPr="009C52C4">
        <w:rPr>
          <w:rFonts w:ascii="Times New Roman" w:hAnsi="Times New Roman" w:cs="Times New Roman"/>
          <w:sz w:val="24"/>
          <w:szCs w:val="24"/>
        </w:rPr>
        <w:t xml:space="preserve"> od 2014. do 2016. godine (</w:t>
      </w:r>
      <w:r w:rsidRPr="009C52C4">
        <w:rPr>
          <w:rFonts w:ascii="Times New Roman" w:hAnsi="Times New Roman" w:cs="Times New Roman"/>
          <w:iCs/>
          <w:sz w:val="24"/>
          <w:szCs w:val="24"/>
        </w:rPr>
        <w:t>1</w:t>
      </w:r>
      <w:r w:rsidRPr="009C52C4">
        <w:rPr>
          <w:rFonts w:ascii="Times New Roman" w:hAnsi="Times New Roman" w:cs="Times New Roman"/>
          <w:bCs/>
          <w:sz w:val="24"/>
          <w:szCs w:val="24"/>
        </w:rPr>
        <w:t>,72767 PJ</w:t>
      </w:r>
      <w:r w:rsidRPr="009C52C4">
        <w:rPr>
          <w:rFonts w:ascii="Times New Roman" w:hAnsi="Times New Roman" w:cs="Times New Roman"/>
          <w:sz w:val="24"/>
          <w:szCs w:val="24"/>
        </w:rPr>
        <w:t>), procijenjena je ukupna površina obnovljenog fonda zgrada programim</w:t>
      </w:r>
      <w:r w:rsidR="005200E7" w:rsidRPr="009C52C4">
        <w:rPr>
          <w:rFonts w:ascii="Times New Roman" w:hAnsi="Times New Roman" w:cs="Times New Roman"/>
          <w:sz w:val="24"/>
          <w:szCs w:val="24"/>
        </w:rPr>
        <w:t>a energetske obnove u iznosu od</w:t>
      </w:r>
      <w:r w:rsidRPr="009C52C4">
        <w:rPr>
          <w:rFonts w:ascii="Times New Roman" w:hAnsi="Times New Roman" w:cs="Times New Roman"/>
          <w:sz w:val="24"/>
          <w:szCs w:val="24"/>
        </w:rPr>
        <w:t> </w:t>
      </w:r>
      <w:r w:rsidR="00887E64" w:rsidRPr="009C52C4">
        <w:rPr>
          <w:rFonts w:ascii="Times New Roman" w:hAnsi="Times New Roman" w:cs="Times New Roman"/>
          <w:sz w:val="24"/>
          <w:szCs w:val="24"/>
        </w:rPr>
        <w:t>2</w:t>
      </w:r>
      <w:r w:rsidRPr="009C52C4">
        <w:rPr>
          <w:rFonts w:ascii="Times New Roman" w:hAnsi="Times New Roman" w:cs="Times New Roman"/>
          <w:sz w:val="24"/>
          <w:szCs w:val="24"/>
        </w:rPr>
        <w:t>.</w:t>
      </w:r>
      <w:r w:rsidR="00887E64" w:rsidRPr="009C52C4">
        <w:rPr>
          <w:rFonts w:ascii="Times New Roman" w:hAnsi="Times New Roman" w:cs="Times New Roman"/>
          <w:sz w:val="24"/>
          <w:szCs w:val="24"/>
        </w:rPr>
        <w:t>172</w:t>
      </w:r>
      <w:r w:rsidRPr="009C52C4">
        <w:rPr>
          <w:rFonts w:ascii="Times New Roman" w:hAnsi="Times New Roman" w:cs="Times New Roman"/>
          <w:sz w:val="24"/>
          <w:szCs w:val="24"/>
        </w:rPr>
        <w:t>.4</w:t>
      </w:r>
      <w:r w:rsidR="00887E64" w:rsidRPr="009C52C4">
        <w:rPr>
          <w:rFonts w:ascii="Times New Roman" w:hAnsi="Times New Roman" w:cs="Times New Roman"/>
          <w:sz w:val="24"/>
          <w:szCs w:val="24"/>
        </w:rPr>
        <w:t>40</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Oduzimanjem površine obnovljenog fonda zgrada od ukupnog nacionalnog fonda zgrada (192.519.0</w:t>
      </w:r>
      <w:r w:rsidR="00987079" w:rsidRPr="009C52C4">
        <w:rPr>
          <w:rFonts w:ascii="Times New Roman" w:hAnsi="Times New Roman" w:cs="Times New Roman"/>
          <w:sz w:val="24"/>
          <w:szCs w:val="24"/>
        </w:rPr>
        <w:t>39</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ažurirana površina nacionalnog fonda zgrada koja podliježe obnovi iznosi 1</w:t>
      </w:r>
      <w:r w:rsidR="00887E64" w:rsidRPr="009C52C4">
        <w:rPr>
          <w:rFonts w:ascii="Times New Roman" w:hAnsi="Times New Roman" w:cs="Times New Roman"/>
          <w:sz w:val="24"/>
          <w:szCs w:val="24"/>
        </w:rPr>
        <w:t>9</w:t>
      </w:r>
      <w:r w:rsidRPr="009C52C4">
        <w:rPr>
          <w:rFonts w:ascii="Times New Roman" w:hAnsi="Times New Roman" w:cs="Times New Roman"/>
          <w:sz w:val="24"/>
          <w:szCs w:val="24"/>
        </w:rPr>
        <w:t>0.</w:t>
      </w:r>
      <w:r w:rsidR="00887E64" w:rsidRPr="009C52C4">
        <w:rPr>
          <w:rFonts w:ascii="Times New Roman" w:hAnsi="Times New Roman" w:cs="Times New Roman"/>
          <w:sz w:val="24"/>
          <w:szCs w:val="24"/>
        </w:rPr>
        <w:t>346</w:t>
      </w:r>
      <w:r w:rsidRPr="009C52C4">
        <w:rPr>
          <w:rFonts w:ascii="Times New Roman" w:hAnsi="Times New Roman" w:cs="Times New Roman"/>
          <w:sz w:val="24"/>
          <w:szCs w:val="24"/>
        </w:rPr>
        <w:t>.5</w:t>
      </w:r>
      <w:r w:rsidR="00887E64" w:rsidRPr="009C52C4">
        <w:rPr>
          <w:rFonts w:ascii="Times New Roman" w:hAnsi="Times New Roman" w:cs="Times New Roman"/>
          <w:sz w:val="24"/>
          <w:szCs w:val="24"/>
        </w:rPr>
        <w:t>60</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r w:rsidR="00380BFF" w:rsidRPr="009C52C4">
        <w:rPr>
          <w:rFonts w:ascii="Times New Roman" w:hAnsi="Times New Roman" w:cs="Times New Roman"/>
          <w:sz w:val="24"/>
          <w:szCs w:val="24"/>
        </w:rPr>
        <w:t xml:space="preserve"> Potrebno je napomenuti da se zgrade koje trenutno ne podliježu obvezi energetskog certificiranja ili su pod nekom vrstom zaštite ne isključuju iz promatranog fonda zgrada zbog dugog razdoblja promatranog unutar </w:t>
      </w:r>
      <w:r w:rsidR="00D11E23" w:rsidRPr="009C52C4">
        <w:rPr>
          <w:rFonts w:ascii="Times New Roman" w:hAnsi="Times New Roman" w:cs="Times New Roman"/>
          <w:sz w:val="24"/>
          <w:szCs w:val="24"/>
        </w:rPr>
        <w:t>Dugoročne strategije za poticanje ulaganja u obnovu nacionalnog fonda zgrada Republike Hrvatske</w:t>
      </w:r>
      <w:r w:rsidR="00380BFF" w:rsidRPr="009C52C4">
        <w:rPr>
          <w:rFonts w:ascii="Times New Roman" w:hAnsi="Times New Roman" w:cs="Times New Roman"/>
          <w:sz w:val="24"/>
          <w:szCs w:val="24"/>
        </w:rPr>
        <w:t xml:space="preserve"> (razdoblje do 2050. godine) što podrazumijeva mogućnost promjene europske, a time i nacionalne legislative.</w:t>
      </w:r>
    </w:p>
    <w:p w14:paraId="4C145D9D" w14:textId="77777777" w:rsidR="001804D4" w:rsidRPr="009C52C4" w:rsidRDefault="001804D4" w:rsidP="001804D4">
      <w:pPr>
        <w:rPr>
          <w:rFonts w:ascii="Times New Roman" w:hAnsi="Times New Roman" w:cs="Times New Roman"/>
          <w:sz w:val="24"/>
          <w:szCs w:val="24"/>
        </w:rPr>
      </w:pPr>
    </w:p>
    <w:p w14:paraId="44583CE8"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U dijelu koji se odnosi na građevinske i energetske karakteristike zgrada procijenjena je godišnja potrebna toplinska energija za grijanje za primorsku i kontinentalnu Hrvatsku te dan prikaz osnovnih konstruktivnih obilježja građevine s koeficijentima prolaska topline građevinskih dijelova i elemenata ovisno o vremenskom razdoblju i pregled sustava grijanja koji se koriste u Republici Hrvatskoj. Prema provedenoj analizi, zgrade građene prije 1987. godine imaju najveće vrijednosti potrebne godišnje toplinske energije za grijanje i potrebne godišnje isporučene energije za grijanje, hlađenje, pripremu potrošne tople vode i rasvjetu. </w:t>
      </w:r>
    </w:p>
    <w:p w14:paraId="08256734" w14:textId="77777777" w:rsidR="001804D4" w:rsidRPr="009C52C4" w:rsidRDefault="001804D4" w:rsidP="001804D4">
      <w:pPr>
        <w:rPr>
          <w:rFonts w:ascii="Times New Roman" w:hAnsi="Times New Roman" w:cs="Times New Roman"/>
          <w:sz w:val="24"/>
          <w:szCs w:val="24"/>
        </w:rPr>
      </w:pPr>
    </w:p>
    <w:p w14:paraId="1DF4DDFB" w14:textId="77777777" w:rsidR="001804D4" w:rsidRPr="009C52C4" w:rsidRDefault="001804D4" w:rsidP="00887E64">
      <w:pPr>
        <w:pStyle w:val="ListParagraph"/>
        <w:numPr>
          <w:ilvl w:val="0"/>
          <w:numId w:val="60"/>
        </w:numPr>
        <w:rPr>
          <w:rFonts w:ascii="Times New Roman" w:hAnsi="Times New Roman" w:cs="Times New Roman"/>
          <w:sz w:val="24"/>
          <w:szCs w:val="24"/>
        </w:rPr>
      </w:pPr>
      <w:r w:rsidRPr="009C52C4">
        <w:rPr>
          <w:rFonts w:ascii="Times New Roman" w:hAnsi="Times New Roman" w:cs="Times New Roman"/>
          <w:b/>
          <w:sz w:val="24"/>
          <w:szCs w:val="24"/>
        </w:rPr>
        <w:t xml:space="preserve">Analiza ključnih elemenata programa obnove zgrada </w:t>
      </w:r>
      <w:r w:rsidRPr="009C52C4">
        <w:rPr>
          <w:rFonts w:ascii="Times New Roman" w:hAnsi="Times New Roman" w:cs="Times New Roman"/>
          <w:sz w:val="24"/>
          <w:szCs w:val="24"/>
        </w:rPr>
        <w:t>obuhvaća analizu tehničkih mogućnosti za energetsku obnovu (retrofit) primjenom mjera energetske učinkovitosti i obnovljivih izvora energije, analizu tehničkih mogućnosti sustava grijanja te određivanje mogućih modela održive obnove zgrada i procj</w:t>
      </w:r>
      <w:r w:rsidR="006107D4" w:rsidRPr="009C52C4">
        <w:rPr>
          <w:rFonts w:ascii="Times New Roman" w:hAnsi="Times New Roman" w:cs="Times New Roman"/>
          <w:sz w:val="24"/>
          <w:szCs w:val="24"/>
        </w:rPr>
        <w:t>ene očekivanih ušteda energije.</w:t>
      </w:r>
    </w:p>
    <w:p w14:paraId="55F4A07A" w14:textId="77777777" w:rsidR="001804D4" w:rsidRPr="009C52C4" w:rsidRDefault="001804D4" w:rsidP="001804D4">
      <w:pPr>
        <w:ind w:left="720"/>
        <w:rPr>
          <w:rFonts w:ascii="Times New Roman" w:hAnsi="Times New Roman" w:cs="Times New Roman"/>
          <w:sz w:val="24"/>
          <w:szCs w:val="24"/>
        </w:rPr>
      </w:pPr>
    </w:p>
    <w:p w14:paraId="24BD4E4D" w14:textId="417510FC"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U cilju odabira optimalne metode obnove svake od kategorija zgrada, a s obzirom na trenutno važeće tehničke i financijske parametre, razmatran</w:t>
      </w:r>
      <w:r w:rsidR="00056D1D" w:rsidRPr="009C52C4">
        <w:rPr>
          <w:rFonts w:ascii="Times New Roman" w:hAnsi="Times New Roman" w:cs="Times New Roman"/>
          <w:sz w:val="24"/>
          <w:szCs w:val="24"/>
        </w:rPr>
        <w:t>o</w:t>
      </w:r>
      <w:r w:rsidRPr="009C52C4">
        <w:rPr>
          <w:rFonts w:ascii="Times New Roman" w:hAnsi="Times New Roman" w:cs="Times New Roman"/>
          <w:sz w:val="24"/>
          <w:szCs w:val="24"/>
        </w:rPr>
        <w:t xml:space="preserve"> </w:t>
      </w:r>
      <w:r w:rsidR="00056D1D" w:rsidRPr="009C52C4">
        <w:rPr>
          <w:rFonts w:ascii="Times New Roman" w:hAnsi="Times New Roman" w:cs="Times New Roman"/>
          <w:sz w:val="24"/>
          <w:szCs w:val="24"/>
        </w:rPr>
        <w:t>je</w:t>
      </w:r>
      <w:r w:rsidRPr="009C52C4">
        <w:rPr>
          <w:rFonts w:ascii="Times New Roman" w:hAnsi="Times New Roman" w:cs="Times New Roman"/>
          <w:sz w:val="24"/>
          <w:szCs w:val="24"/>
        </w:rPr>
        <w:t xml:space="preserve"> </w:t>
      </w:r>
      <w:r w:rsidR="00056D1D" w:rsidRPr="009C52C4">
        <w:rPr>
          <w:rFonts w:ascii="Times New Roman" w:hAnsi="Times New Roman" w:cs="Times New Roman"/>
          <w:sz w:val="24"/>
          <w:szCs w:val="24"/>
        </w:rPr>
        <w:t>pet</w:t>
      </w:r>
      <w:r w:rsidRPr="009C52C4">
        <w:rPr>
          <w:rFonts w:ascii="Times New Roman" w:hAnsi="Times New Roman" w:cs="Times New Roman"/>
          <w:sz w:val="24"/>
          <w:szCs w:val="24"/>
        </w:rPr>
        <w:t xml:space="preserve"> moguć</w:t>
      </w:r>
      <w:r w:rsidR="00056D1D" w:rsidRPr="009C52C4">
        <w:rPr>
          <w:rFonts w:ascii="Times New Roman" w:hAnsi="Times New Roman" w:cs="Times New Roman"/>
          <w:sz w:val="24"/>
          <w:szCs w:val="24"/>
        </w:rPr>
        <w:t>ih</w:t>
      </w:r>
      <w:r w:rsidRPr="009C52C4">
        <w:rPr>
          <w:rFonts w:ascii="Times New Roman" w:hAnsi="Times New Roman" w:cs="Times New Roman"/>
          <w:sz w:val="24"/>
          <w:szCs w:val="24"/>
        </w:rPr>
        <w:t xml:space="preserve"> modela održive obnove zgrada. Obzirom na tehničke mogućnosti provedbe različitih mjera energetske učinkovitosti (EnU) i korištenja obnovljivih izvora energije (OIE) za pojedinu kategoriju zgrada, kao i obuhvata paketa mjera za </w:t>
      </w:r>
      <w:r w:rsidR="00056D1D" w:rsidRPr="009C52C4">
        <w:rPr>
          <w:rFonts w:ascii="Times New Roman" w:hAnsi="Times New Roman" w:cs="Times New Roman"/>
          <w:sz w:val="24"/>
          <w:szCs w:val="24"/>
        </w:rPr>
        <w:t>pet</w:t>
      </w:r>
      <w:r w:rsidRPr="009C52C4">
        <w:rPr>
          <w:rFonts w:ascii="Times New Roman" w:hAnsi="Times New Roman" w:cs="Times New Roman"/>
          <w:sz w:val="24"/>
          <w:szCs w:val="24"/>
        </w:rPr>
        <w:t xml:space="preserve"> </w:t>
      </w:r>
      <w:r w:rsidR="00056D1D" w:rsidRPr="009C52C4">
        <w:rPr>
          <w:rFonts w:ascii="Times New Roman" w:hAnsi="Times New Roman" w:cs="Times New Roman"/>
          <w:sz w:val="24"/>
          <w:szCs w:val="24"/>
        </w:rPr>
        <w:t>analiziranih</w:t>
      </w:r>
      <w:r w:rsidRPr="009C52C4">
        <w:rPr>
          <w:rFonts w:ascii="Times New Roman" w:hAnsi="Times New Roman" w:cs="Times New Roman"/>
          <w:sz w:val="24"/>
          <w:szCs w:val="24"/>
        </w:rPr>
        <w:t xml:space="preserve"> modela održive obnove za svaku od četiri kategorije zgrada, kao troškovno optimalan odabran je model obnove zgrada </w:t>
      </w:r>
      <w:r w:rsidR="00056D1D" w:rsidRPr="009C52C4">
        <w:rPr>
          <w:rFonts w:ascii="Times New Roman" w:hAnsi="Times New Roman" w:cs="Times New Roman"/>
          <w:sz w:val="24"/>
          <w:szCs w:val="24"/>
        </w:rPr>
        <w:t xml:space="preserve">prema zahtjevima </w:t>
      </w:r>
      <w:r w:rsidR="00056D1D" w:rsidRPr="009C52C4">
        <w:rPr>
          <w:rFonts w:ascii="Times New Roman" w:hAnsi="Times New Roman" w:cs="Times New Roman"/>
          <w:i/>
          <w:sz w:val="24"/>
          <w:szCs w:val="24"/>
        </w:rPr>
        <w:t>Tehničkog propisa</w:t>
      </w:r>
      <w:r w:rsidR="00DA7668" w:rsidRPr="009C52C4">
        <w:rPr>
          <w:rFonts w:ascii="Times New Roman" w:hAnsi="Times New Roman" w:cs="Times New Roman"/>
          <w:i/>
          <w:sz w:val="24"/>
          <w:szCs w:val="24"/>
        </w:rPr>
        <w:t xml:space="preserve"> o racionalnoj uporabi energije i toplinskoj zaštiti u zgradama (Narodne novine broj 128/15</w:t>
      </w:r>
      <w:r w:rsidR="00962D46" w:rsidRPr="009C52C4">
        <w:rPr>
          <w:rFonts w:ascii="Times New Roman" w:hAnsi="Times New Roman" w:cs="Times New Roman"/>
          <w:i/>
          <w:sz w:val="24"/>
          <w:szCs w:val="24"/>
        </w:rPr>
        <w:t>, 70/18, 73/18, 86/18</w:t>
      </w:r>
      <w:r w:rsidR="00DA7668" w:rsidRPr="009C52C4">
        <w:rPr>
          <w:rFonts w:ascii="Times New Roman" w:hAnsi="Times New Roman" w:cs="Times New Roman"/>
          <w:i/>
          <w:sz w:val="24"/>
          <w:szCs w:val="24"/>
        </w:rPr>
        <w:t>) (u daljnjem tekstu: Tehnički propis)</w:t>
      </w:r>
      <w:r w:rsidR="00056D1D" w:rsidRPr="009C52C4">
        <w:rPr>
          <w:rFonts w:ascii="Times New Roman" w:hAnsi="Times New Roman" w:cs="Times New Roman"/>
          <w:sz w:val="24"/>
          <w:szCs w:val="24"/>
        </w:rPr>
        <w:t xml:space="preserve"> za veliku rekonstrukciju</w:t>
      </w:r>
      <w:r w:rsidRPr="009C52C4">
        <w:rPr>
          <w:rFonts w:ascii="Times New Roman" w:hAnsi="Times New Roman" w:cs="Times New Roman"/>
          <w:sz w:val="24"/>
          <w:szCs w:val="24"/>
        </w:rPr>
        <w:t>. Pritom je kao temeljni parametar usporedbe modela obnove zgrada razmatran specifični iznos ukupnih troškova (Prilog 2, Prilog 4, Prilog 6, Prilog 8, Prilog 10, Prilog 12, Prilog 14 i Prilog 16) na temelju kojeg je za svaku kategoriju zgrada izrađen grafikon ovisnosti ukupnih troškova o razini primarne energije nakon rekonstrukcije po pojedinom modelu obnove (Prilog 3, Prilog 5, Prilog 7, Prilog 9, Prilog 11, Prilog 13, Prilog 15 i Prilog 17). Iako se na temelju prikazanih grafikona</w:t>
      </w:r>
      <w:r w:rsidR="006B1E94" w:rsidRPr="009C52C4">
        <w:rPr>
          <w:rFonts w:ascii="Times New Roman" w:hAnsi="Times New Roman" w:cs="Times New Roman"/>
          <w:sz w:val="24"/>
          <w:szCs w:val="24"/>
        </w:rPr>
        <w:t>,</w:t>
      </w:r>
      <w:r w:rsidRPr="009C52C4">
        <w:rPr>
          <w:rFonts w:ascii="Times New Roman" w:hAnsi="Times New Roman" w:cs="Times New Roman"/>
          <w:sz w:val="24"/>
          <w:szCs w:val="24"/>
        </w:rPr>
        <w:t xml:space="preserve"> </w:t>
      </w:r>
      <w:r w:rsidR="00056D1D" w:rsidRPr="009C52C4">
        <w:rPr>
          <w:rFonts w:ascii="Times New Roman" w:hAnsi="Times New Roman" w:cs="Times New Roman"/>
          <w:sz w:val="24"/>
          <w:szCs w:val="24"/>
        </w:rPr>
        <w:t>te tablično prikazanih parametara (</w:t>
      </w:r>
      <w:r w:rsidR="00056D1D" w:rsidRPr="009C52C4">
        <w:rPr>
          <w:rFonts w:ascii="Times New Roman" w:hAnsi="Times New Roman" w:cs="Times New Roman"/>
          <w:sz w:val="24"/>
          <w:szCs w:val="24"/>
        </w:rPr>
        <w:fldChar w:fldCharType="begin"/>
      </w:r>
      <w:r w:rsidR="00056D1D" w:rsidRPr="009C52C4">
        <w:rPr>
          <w:rFonts w:ascii="Times New Roman" w:hAnsi="Times New Roman" w:cs="Times New Roman"/>
          <w:sz w:val="24"/>
          <w:szCs w:val="24"/>
        </w:rPr>
        <w:instrText xml:space="preserve"> REF _Ref484780294 \h </w:instrText>
      </w:r>
      <w:r w:rsidR="00873572" w:rsidRPr="009C52C4">
        <w:rPr>
          <w:rFonts w:ascii="Times New Roman" w:hAnsi="Times New Roman" w:cs="Times New Roman"/>
          <w:sz w:val="24"/>
          <w:szCs w:val="24"/>
        </w:rPr>
        <w:instrText xml:space="preserve"> \* MERGEFORMAT </w:instrText>
      </w:r>
      <w:r w:rsidR="00056D1D" w:rsidRPr="009C52C4">
        <w:rPr>
          <w:rFonts w:ascii="Times New Roman" w:hAnsi="Times New Roman" w:cs="Times New Roman"/>
          <w:sz w:val="24"/>
          <w:szCs w:val="24"/>
        </w:rPr>
      </w:r>
      <w:r w:rsidR="00056D1D"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056D1D" w:rsidRPr="009C52C4">
        <w:rPr>
          <w:rFonts w:ascii="Times New Roman" w:hAnsi="Times New Roman" w:cs="Times New Roman"/>
          <w:sz w:val="24"/>
          <w:szCs w:val="24"/>
        </w:rPr>
        <w:fldChar w:fldCharType="end"/>
      </w:r>
      <w:r w:rsidR="00056D1D" w:rsidRPr="009C52C4">
        <w:rPr>
          <w:rFonts w:ascii="Times New Roman" w:hAnsi="Times New Roman" w:cs="Times New Roman"/>
          <w:sz w:val="24"/>
          <w:szCs w:val="24"/>
        </w:rPr>
        <w:t xml:space="preserve"> i </w:t>
      </w:r>
      <w:r w:rsidR="00056D1D" w:rsidRPr="009C52C4">
        <w:rPr>
          <w:rFonts w:ascii="Times New Roman" w:hAnsi="Times New Roman" w:cs="Times New Roman"/>
          <w:sz w:val="24"/>
          <w:szCs w:val="24"/>
        </w:rPr>
        <w:fldChar w:fldCharType="begin"/>
      </w:r>
      <w:r w:rsidR="00056D1D" w:rsidRPr="009C52C4">
        <w:rPr>
          <w:rFonts w:ascii="Times New Roman" w:hAnsi="Times New Roman" w:cs="Times New Roman"/>
          <w:sz w:val="24"/>
          <w:szCs w:val="24"/>
        </w:rPr>
        <w:instrText xml:space="preserve"> REF _Ref484780302 \h </w:instrText>
      </w:r>
      <w:r w:rsidR="00873572" w:rsidRPr="009C52C4">
        <w:rPr>
          <w:rFonts w:ascii="Times New Roman" w:hAnsi="Times New Roman" w:cs="Times New Roman"/>
          <w:sz w:val="24"/>
          <w:szCs w:val="24"/>
        </w:rPr>
        <w:instrText xml:space="preserve"> \* MERGEFORMAT </w:instrText>
      </w:r>
      <w:r w:rsidR="00056D1D" w:rsidRPr="009C52C4">
        <w:rPr>
          <w:rFonts w:ascii="Times New Roman" w:hAnsi="Times New Roman" w:cs="Times New Roman"/>
          <w:sz w:val="24"/>
          <w:szCs w:val="24"/>
        </w:rPr>
      </w:r>
      <w:r w:rsidR="00056D1D"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056D1D" w:rsidRPr="009C52C4">
        <w:rPr>
          <w:rFonts w:ascii="Times New Roman" w:hAnsi="Times New Roman" w:cs="Times New Roman"/>
          <w:sz w:val="24"/>
          <w:szCs w:val="24"/>
        </w:rPr>
        <w:fldChar w:fldCharType="end"/>
      </w:r>
      <w:r w:rsidR="00056D1D"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može zaključiti da je najisplativiji model aktivne gradnje, važno je spomenuti da isplativost navedenog modela ovisi o stjecanju statusa povlaštenog proizvođača iz obnovljivih izvora energije i kogeneracije koji stoga uključuje manji postotak nacionalnog fonda zgrada </w:t>
      </w:r>
      <w:r w:rsidRPr="009C52C4">
        <w:rPr>
          <w:rFonts w:ascii="Times New Roman" w:hAnsi="Times New Roman" w:cs="Times New Roman"/>
          <w:color w:val="auto"/>
          <w:sz w:val="24"/>
          <w:szCs w:val="24"/>
        </w:rPr>
        <w:t xml:space="preserve">(zbog obveznog upravnog postupka koji je potrebno proći te zbog obveze redovitog izvještavanja i zadovoljavanja tehničkih uvjeta učinkovitosti postrojenja) </w:t>
      </w:r>
      <w:r w:rsidRPr="009C52C4">
        <w:rPr>
          <w:rFonts w:ascii="Times New Roman" w:hAnsi="Times New Roman" w:cs="Times New Roman"/>
          <w:sz w:val="24"/>
          <w:szCs w:val="24"/>
        </w:rPr>
        <w:t xml:space="preserve">te je kao troškovno </w:t>
      </w:r>
      <w:r w:rsidRPr="009C52C4">
        <w:rPr>
          <w:rFonts w:ascii="Times New Roman" w:hAnsi="Times New Roman" w:cs="Times New Roman"/>
          <w:sz w:val="24"/>
          <w:szCs w:val="24"/>
        </w:rPr>
        <w:lastRenderedPageBreak/>
        <w:t xml:space="preserve">optimalan odabran model obnove zgrada prema </w:t>
      </w:r>
      <w:r w:rsidR="00056D1D" w:rsidRPr="009C52C4">
        <w:rPr>
          <w:rFonts w:ascii="Times New Roman" w:hAnsi="Times New Roman" w:cs="Times New Roman"/>
          <w:sz w:val="24"/>
          <w:szCs w:val="24"/>
        </w:rPr>
        <w:t xml:space="preserve">zahtjevima </w:t>
      </w:r>
      <w:r w:rsidR="00056D1D" w:rsidRPr="009C52C4">
        <w:rPr>
          <w:rFonts w:ascii="Times New Roman" w:hAnsi="Times New Roman" w:cs="Times New Roman"/>
          <w:i/>
          <w:sz w:val="24"/>
          <w:szCs w:val="24"/>
        </w:rPr>
        <w:t>Tehničkog propisa</w:t>
      </w:r>
      <w:r w:rsidR="00056D1D" w:rsidRPr="009C52C4">
        <w:rPr>
          <w:rFonts w:ascii="Times New Roman" w:hAnsi="Times New Roman" w:cs="Times New Roman"/>
          <w:sz w:val="24"/>
          <w:szCs w:val="24"/>
        </w:rPr>
        <w:t xml:space="preserve"> za veliku rekonstrukciju.</w:t>
      </w:r>
    </w:p>
    <w:p w14:paraId="0D719B9E" w14:textId="77777777" w:rsidR="001804D4" w:rsidRPr="009C52C4" w:rsidRDefault="001804D4" w:rsidP="001804D4">
      <w:pPr>
        <w:rPr>
          <w:rFonts w:ascii="Times New Roman" w:hAnsi="Times New Roman" w:cs="Times New Roman"/>
          <w:sz w:val="24"/>
          <w:szCs w:val="24"/>
        </w:rPr>
      </w:pPr>
    </w:p>
    <w:p w14:paraId="5A6BC65A" w14:textId="656EC530"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Kao ciljna skupina zgrada s obzirom na ukupnu površinu, stanje ovojnice grijanog prostora i energetske potrebe odabrana je skupina zgrada izgrađenih do 1987. godine. Navedeni fond zgrada izabran je zbog najvećeg potencijala ušteda i značajnog udjela u ukupnoj površini svih zgrada. Također, s obzirom na navedene ulazne parametre u vidu potencijala energetskih ušteda, može se zaključiti da je unutar fonda zgrada izgrađenih do 1987. godine najveći prioritet pri integralnoj obnovi potrebno dati obiteljskim kućama (potencijal specifične energetske uštede po korisnoj površini zgrade do 29</w:t>
      </w:r>
      <w:r w:rsidR="00056D1D" w:rsidRPr="009C52C4">
        <w:rPr>
          <w:rFonts w:ascii="Times New Roman" w:hAnsi="Times New Roman" w:cs="Times New Roman"/>
          <w:sz w:val="24"/>
          <w:szCs w:val="24"/>
        </w:rPr>
        <w:t>3</w:t>
      </w:r>
      <w:r w:rsidRPr="009C52C4">
        <w:rPr>
          <w:rFonts w:ascii="Times New Roman" w:hAnsi="Times New Roman" w:cs="Times New Roman"/>
          <w:sz w:val="24"/>
          <w:szCs w:val="24"/>
        </w:rPr>
        <w:t>,</w:t>
      </w:r>
      <w:r w:rsidR="00056D1D" w:rsidRPr="009C52C4">
        <w:rPr>
          <w:rFonts w:ascii="Times New Roman" w:hAnsi="Times New Roman" w:cs="Times New Roman"/>
          <w:sz w:val="24"/>
          <w:szCs w:val="24"/>
        </w:rPr>
        <w:t>48</w:t>
      </w:r>
      <w:r w:rsidRPr="009C52C4">
        <w:rPr>
          <w:rFonts w:ascii="Times New Roman" w:hAnsi="Times New Roman" w:cs="Times New Roman"/>
          <w:sz w:val="24"/>
          <w:szCs w:val="24"/>
        </w:rPr>
        <w:t xml:space="preserve"> kWh/m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god) i zgradama komercijalne namjene (potencijal specifične energetske uštede p</w:t>
      </w:r>
      <w:r w:rsidR="00056D1D" w:rsidRPr="009C52C4">
        <w:rPr>
          <w:rFonts w:ascii="Times New Roman" w:hAnsi="Times New Roman" w:cs="Times New Roman"/>
          <w:sz w:val="24"/>
          <w:szCs w:val="24"/>
        </w:rPr>
        <w:t>o korisnoj površini zgrade do 27</w:t>
      </w:r>
      <w:r w:rsidRPr="009C52C4">
        <w:rPr>
          <w:rFonts w:ascii="Times New Roman" w:hAnsi="Times New Roman" w:cs="Times New Roman"/>
          <w:sz w:val="24"/>
          <w:szCs w:val="24"/>
        </w:rPr>
        <w:t>4,</w:t>
      </w:r>
      <w:r w:rsidR="00056D1D" w:rsidRPr="009C52C4">
        <w:rPr>
          <w:rFonts w:ascii="Times New Roman" w:hAnsi="Times New Roman" w:cs="Times New Roman"/>
          <w:sz w:val="24"/>
          <w:szCs w:val="24"/>
        </w:rPr>
        <w:t>78</w:t>
      </w:r>
      <w:r w:rsidRPr="009C52C4">
        <w:rPr>
          <w:rFonts w:ascii="Times New Roman" w:hAnsi="Times New Roman" w:cs="Times New Roman"/>
          <w:sz w:val="24"/>
          <w:szCs w:val="24"/>
        </w:rPr>
        <w:t xml:space="preserve"> kWh/m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god). Osim velikog potencijala energetskih ušteda, obiteljske kuće također su prioritetna kategorija zgrada za obnovu u cilju suzbijanja energetskog siromaštva, što je među ciljevima Četvrtog nacionalnog akcijskog plana energetske učinkovitosti za razdoblje </w:t>
      </w:r>
      <w:r w:rsidR="004870E2" w:rsidRPr="009C52C4">
        <w:rPr>
          <w:rFonts w:ascii="Times New Roman" w:hAnsi="Times New Roman" w:cs="Times New Roman"/>
          <w:sz w:val="24"/>
          <w:szCs w:val="24"/>
        </w:rPr>
        <w:t xml:space="preserve">do kraja </w:t>
      </w:r>
      <w:r w:rsidRPr="009C52C4">
        <w:rPr>
          <w:rFonts w:ascii="Times New Roman" w:hAnsi="Times New Roman" w:cs="Times New Roman"/>
          <w:sz w:val="24"/>
          <w:szCs w:val="24"/>
        </w:rPr>
        <w:t>2019.</w:t>
      </w:r>
      <w:r w:rsidR="001D275B" w:rsidRPr="009C52C4">
        <w:rPr>
          <w:rFonts w:ascii="Times New Roman" w:hAnsi="Times New Roman" w:cs="Times New Roman"/>
          <w:sz w:val="24"/>
          <w:szCs w:val="24"/>
        </w:rPr>
        <w:t xml:space="preserve"> Međutim, u kategoriji obiteljskih kuća moguće je odstupanje od dobivenih podataka s obzirom na visok stupanj korištenja ogrjevnog drva te manju grijanu površinu zgrade od predviđene, što </w:t>
      </w:r>
      <w:r w:rsidR="00022C10" w:rsidRPr="009C52C4">
        <w:rPr>
          <w:rFonts w:ascii="Times New Roman" w:hAnsi="Times New Roman" w:cs="Times New Roman"/>
          <w:sz w:val="24"/>
          <w:szCs w:val="24"/>
        </w:rPr>
        <w:t xml:space="preserve">za udio obiteljskih kuća s navedenim karakteristikama </w:t>
      </w:r>
      <w:r w:rsidR="001D275B" w:rsidRPr="009C52C4">
        <w:rPr>
          <w:rFonts w:ascii="Times New Roman" w:hAnsi="Times New Roman" w:cs="Times New Roman"/>
          <w:sz w:val="24"/>
          <w:szCs w:val="24"/>
        </w:rPr>
        <w:t xml:space="preserve">dovodi </w:t>
      </w:r>
      <w:r w:rsidR="00022C10" w:rsidRPr="009C52C4">
        <w:rPr>
          <w:rFonts w:ascii="Times New Roman" w:hAnsi="Times New Roman" w:cs="Times New Roman"/>
          <w:sz w:val="24"/>
          <w:szCs w:val="24"/>
        </w:rPr>
        <w:t xml:space="preserve">u pitanje </w:t>
      </w:r>
      <w:r w:rsidR="001D275B" w:rsidRPr="009C52C4">
        <w:rPr>
          <w:rFonts w:ascii="Times New Roman" w:hAnsi="Times New Roman" w:cs="Times New Roman"/>
          <w:sz w:val="24"/>
          <w:szCs w:val="24"/>
        </w:rPr>
        <w:t>financijsku isplativost obnove te realizacija uvelike ovisi o poticajnim mjerama (ne samo financijskim).</w:t>
      </w:r>
    </w:p>
    <w:p w14:paraId="73A54F3F" w14:textId="77777777" w:rsidR="001804D4" w:rsidRPr="009C52C4" w:rsidRDefault="001804D4" w:rsidP="001804D4">
      <w:pPr>
        <w:rPr>
          <w:rFonts w:ascii="Times New Roman" w:hAnsi="Times New Roman" w:cs="Times New Roman"/>
          <w:sz w:val="24"/>
          <w:szCs w:val="24"/>
        </w:rPr>
      </w:pPr>
    </w:p>
    <w:p w14:paraId="27DE1AF3" w14:textId="77777777" w:rsidR="001804D4" w:rsidRPr="009C52C4" w:rsidRDefault="001804D4" w:rsidP="00887E64">
      <w:pPr>
        <w:pStyle w:val="ListParagraph"/>
        <w:numPr>
          <w:ilvl w:val="0"/>
          <w:numId w:val="60"/>
        </w:numPr>
        <w:rPr>
          <w:rFonts w:ascii="Times New Roman" w:hAnsi="Times New Roman" w:cs="Times New Roman"/>
          <w:sz w:val="24"/>
          <w:szCs w:val="24"/>
        </w:rPr>
      </w:pPr>
      <w:r w:rsidRPr="009C52C4">
        <w:rPr>
          <w:rFonts w:ascii="Times New Roman" w:hAnsi="Times New Roman" w:cs="Times New Roman"/>
          <w:b/>
          <w:sz w:val="24"/>
          <w:szCs w:val="24"/>
        </w:rPr>
        <w:t xml:space="preserve">Politike i mjere za poticanje troškovno učinkovite integralne obnove zgrada </w:t>
      </w:r>
      <w:r w:rsidRPr="009C52C4">
        <w:rPr>
          <w:rFonts w:ascii="Times New Roman" w:hAnsi="Times New Roman" w:cs="Times New Roman"/>
          <w:sz w:val="24"/>
          <w:szCs w:val="24"/>
        </w:rPr>
        <w:t xml:space="preserve">obuhvaćaju pregled postojećih mjera i prepreka za integralnu energetsku obnovu zgrada u Republici Hrvatskoj te prijedlog rješenja i mjera baziranih na situaciji u Hrvatskoj i analizi uspješnih mjera i politika država članica Europske unije. </w:t>
      </w:r>
    </w:p>
    <w:p w14:paraId="0EBCA7E2" w14:textId="77777777" w:rsidR="001804D4" w:rsidRPr="009C52C4" w:rsidRDefault="001804D4" w:rsidP="001804D4">
      <w:pPr>
        <w:rPr>
          <w:rFonts w:ascii="Times New Roman" w:hAnsi="Times New Roman" w:cs="Times New Roman"/>
          <w:color w:val="auto"/>
          <w:sz w:val="24"/>
          <w:szCs w:val="24"/>
        </w:rPr>
      </w:pPr>
    </w:p>
    <w:p w14:paraId="76814724" w14:textId="77777777" w:rsidR="001804D4" w:rsidRPr="009C52C4" w:rsidRDefault="001804D4" w:rsidP="001804D4">
      <w:pPr>
        <w:rPr>
          <w:rFonts w:ascii="Times New Roman" w:hAnsi="Times New Roman" w:cs="Times New Roman"/>
          <w:color w:val="auto"/>
          <w:sz w:val="24"/>
          <w:szCs w:val="24"/>
        </w:rPr>
      </w:pPr>
      <w:r w:rsidRPr="009C52C4">
        <w:rPr>
          <w:rFonts w:ascii="Times New Roman" w:hAnsi="Times New Roman" w:cs="Times New Roman"/>
          <w:color w:val="auto"/>
          <w:sz w:val="24"/>
          <w:szCs w:val="24"/>
        </w:rPr>
        <w:t>Generalno se može zaključiti da su glavne prepreke obnovi nacionalnog fonda zgrada Republike Hrvatske legislativne i financijske prirode, ali i da integralnu energetsku obnovu zgrada u velikoj mjeri koči neupućenost i nedovoljna motiviranost investitora, javnosti i interesnih grupa.</w:t>
      </w:r>
    </w:p>
    <w:p w14:paraId="58931934" w14:textId="77777777" w:rsidR="001804D4" w:rsidRPr="009C52C4" w:rsidRDefault="001804D4" w:rsidP="001804D4">
      <w:pPr>
        <w:rPr>
          <w:rFonts w:ascii="Times New Roman" w:hAnsi="Times New Roman" w:cs="Times New Roman"/>
          <w:color w:val="auto"/>
          <w:sz w:val="24"/>
          <w:szCs w:val="24"/>
        </w:rPr>
      </w:pPr>
    </w:p>
    <w:p w14:paraId="1E3AB3BD" w14:textId="77777777" w:rsidR="001804D4" w:rsidRPr="009C52C4" w:rsidRDefault="001804D4" w:rsidP="00887E64">
      <w:pPr>
        <w:rPr>
          <w:rFonts w:ascii="Times New Roman" w:hAnsi="Times New Roman" w:cs="Times New Roman"/>
          <w:color w:val="auto"/>
          <w:sz w:val="24"/>
          <w:szCs w:val="24"/>
        </w:rPr>
      </w:pPr>
      <w:r w:rsidRPr="009C52C4">
        <w:rPr>
          <w:rFonts w:ascii="Times New Roman" w:hAnsi="Times New Roman" w:cs="Times New Roman"/>
          <w:color w:val="auto"/>
          <w:sz w:val="24"/>
          <w:szCs w:val="24"/>
        </w:rPr>
        <w:t>U poglavlju je dan pregled uspješnih politika i mjera za poticanje ulaganja u energetsku obnovu raznih tipologija zgrada država članica EU</w:t>
      </w:r>
      <w:r w:rsidR="006B1E94" w:rsidRPr="009C52C4">
        <w:rPr>
          <w:rFonts w:ascii="Times New Roman" w:hAnsi="Times New Roman" w:cs="Times New Roman"/>
          <w:color w:val="auto"/>
          <w:sz w:val="24"/>
          <w:szCs w:val="24"/>
        </w:rPr>
        <w:t>,</w:t>
      </w:r>
      <w:r w:rsidRPr="009C52C4">
        <w:rPr>
          <w:rFonts w:ascii="Times New Roman" w:hAnsi="Times New Roman" w:cs="Times New Roman"/>
          <w:color w:val="auto"/>
          <w:sz w:val="24"/>
          <w:szCs w:val="24"/>
        </w:rPr>
        <w:t xml:space="preserve"> te opisani primjeri financijskih i legislativnih politika. Hrvatska nacionalna politika integralne obnove nacionalnog fonda zgrada za ostvarenje postavljenih ciljeva </w:t>
      </w:r>
      <w:r w:rsidR="006107D4" w:rsidRPr="009C52C4">
        <w:rPr>
          <w:rFonts w:ascii="Times New Roman" w:hAnsi="Times New Roman" w:cs="Times New Roman"/>
          <w:color w:val="auto"/>
          <w:sz w:val="24"/>
          <w:szCs w:val="24"/>
        </w:rPr>
        <w:t>obuhvaća</w:t>
      </w:r>
      <w:r w:rsidRPr="009C52C4">
        <w:rPr>
          <w:rFonts w:ascii="Times New Roman" w:hAnsi="Times New Roman" w:cs="Times New Roman"/>
          <w:color w:val="auto"/>
          <w:sz w:val="24"/>
          <w:szCs w:val="24"/>
        </w:rPr>
        <w:t xml:space="preserve"> šest kategorija mjera koje su detaljno opisane u tekstu</w:t>
      </w:r>
      <w:r w:rsidR="0003127D" w:rsidRPr="009C52C4">
        <w:rPr>
          <w:rFonts w:ascii="Times New Roman" w:hAnsi="Times New Roman" w:cs="Times New Roman"/>
          <w:color w:val="auto"/>
          <w:sz w:val="24"/>
          <w:szCs w:val="24"/>
        </w:rPr>
        <w:t>.</w:t>
      </w:r>
    </w:p>
    <w:p w14:paraId="4D0E16F3" w14:textId="77777777" w:rsidR="001804D4" w:rsidRPr="009C52C4" w:rsidRDefault="001804D4" w:rsidP="001804D4">
      <w:pPr>
        <w:contextualSpacing/>
        <w:rPr>
          <w:rFonts w:ascii="Times New Roman" w:hAnsi="Times New Roman" w:cs="Times New Roman"/>
          <w:color w:val="auto"/>
          <w:sz w:val="24"/>
          <w:szCs w:val="24"/>
        </w:rPr>
      </w:pPr>
    </w:p>
    <w:p w14:paraId="30935872" w14:textId="77777777" w:rsidR="001804D4" w:rsidRPr="009C52C4" w:rsidRDefault="001804D4" w:rsidP="00887E64">
      <w:pPr>
        <w:pStyle w:val="ListParagraph"/>
        <w:numPr>
          <w:ilvl w:val="0"/>
          <w:numId w:val="60"/>
        </w:numPr>
        <w:rPr>
          <w:rFonts w:ascii="Times New Roman" w:hAnsi="Times New Roman" w:cs="Times New Roman"/>
          <w:sz w:val="24"/>
          <w:szCs w:val="24"/>
        </w:rPr>
      </w:pPr>
      <w:r w:rsidRPr="009C52C4">
        <w:rPr>
          <w:rFonts w:ascii="Times New Roman" w:hAnsi="Times New Roman" w:cs="Times New Roman"/>
          <w:b/>
          <w:sz w:val="24"/>
          <w:szCs w:val="24"/>
        </w:rPr>
        <w:t xml:space="preserve">Dugoročna perspektiva za usmjeravanje odluka pojedinca, građevinske industrije i financijskih ulaganja do 2050. godine </w:t>
      </w:r>
      <w:r w:rsidRPr="009C52C4">
        <w:rPr>
          <w:rFonts w:ascii="Times New Roman" w:hAnsi="Times New Roman" w:cs="Times New Roman"/>
          <w:sz w:val="24"/>
          <w:szCs w:val="24"/>
        </w:rPr>
        <w:t xml:space="preserve">obuhvaća procjenu potrebnih ulaganja u obnovu nacionalnog fonda zgrada do 2050. godine te identifikaciju raspoloživih izvora financiranja i uspješnih načina za motiviranje investitora. </w:t>
      </w:r>
    </w:p>
    <w:p w14:paraId="1FB4E409" w14:textId="77777777" w:rsidR="001804D4" w:rsidRPr="009C52C4" w:rsidRDefault="001804D4" w:rsidP="001804D4">
      <w:pPr>
        <w:rPr>
          <w:rFonts w:ascii="Times New Roman" w:hAnsi="Times New Roman" w:cs="Times New Roman"/>
          <w:sz w:val="24"/>
          <w:szCs w:val="24"/>
        </w:rPr>
      </w:pPr>
    </w:p>
    <w:p w14:paraId="799CDFD8"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Postizanje zadanih ciljeva energetske obnove prema </w:t>
      </w:r>
      <w:r w:rsidR="00056D1D" w:rsidRPr="009C52C4">
        <w:rPr>
          <w:rFonts w:ascii="Times New Roman" w:hAnsi="Times New Roman" w:cs="Times New Roman"/>
          <w:sz w:val="24"/>
          <w:szCs w:val="24"/>
        </w:rPr>
        <w:t xml:space="preserve">zahtjevima </w:t>
      </w:r>
      <w:r w:rsidR="00056D1D" w:rsidRPr="009C52C4">
        <w:rPr>
          <w:rFonts w:ascii="Times New Roman" w:hAnsi="Times New Roman" w:cs="Times New Roman"/>
          <w:i/>
          <w:sz w:val="24"/>
          <w:szCs w:val="24"/>
        </w:rPr>
        <w:t>Tehničkog propisa</w:t>
      </w:r>
      <w:r w:rsidR="00056D1D" w:rsidRPr="009C52C4">
        <w:rPr>
          <w:rFonts w:ascii="Times New Roman" w:hAnsi="Times New Roman" w:cs="Times New Roman"/>
          <w:sz w:val="24"/>
          <w:szCs w:val="24"/>
        </w:rPr>
        <w:t xml:space="preserve"> za veliku rekonstrukciju</w:t>
      </w:r>
      <w:r w:rsidRPr="009C52C4">
        <w:rPr>
          <w:rFonts w:ascii="Times New Roman" w:hAnsi="Times New Roman" w:cs="Times New Roman"/>
          <w:sz w:val="24"/>
          <w:szCs w:val="24"/>
        </w:rPr>
        <w:t xml:space="preserve"> zahtijeva mobilizaciju značajnih sredstava za investicijske troškove</w:t>
      </w:r>
      <w:r w:rsidR="006B1E94" w:rsidRPr="009C52C4">
        <w:rPr>
          <w:rFonts w:ascii="Times New Roman" w:hAnsi="Times New Roman" w:cs="Times New Roman"/>
          <w:sz w:val="24"/>
          <w:szCs w:val="24"/>
        </w:rPr>
        <w:t>,</w:t>
      </w:r>
      <w:r w:rsidRPr="009C52C4">
        <w:rPr>
          <w:rFonts w:ascii="Times New Roman" w:hAnsi="Times New Roman" w:cs="Times New Roman"/>
          <w:sz w:val="24"/>
          <w:szCs w:val="24"/>
        </w:rPr>
        <w:t xml:space="preserve"> te troškove održavanja i zamjene koji se do 2050. godine procjenjuju na gotovo </w:t>
      </w:r>
      <w:r w:rsidR="0024247B" w:rsidRPr="009C52C4">
        <w:rPr>
          <w:rFonts w:ascii="Times New Roman" w:hAnsi="Times New Roman" w:cs="Times New Roman"/>
          <w:sz w:val="24"/>
          <w:szCs w:val="24"/>
        </w:rPr>
        <w:t>790</w:t>
      </w:r>
      <w:r w:rsidRPr="009C52C4">
        <w:rPr>
          <w:rFonts w:ascii="Times New Roman" w:hAnsi="Times New Roman" w:cs="Times New Roman"/>
          <w:sz w:val="24"/>
          <w:szCs w:val="24"/>
        </w:rPr>
        <w:t xml:space="preserve"> milijardi kuna. Predloženom dinamikom obnove ostvarit će se ukupno smanjenje emisija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w:t>
      </w:r>
      <w:r w:rsidR="00056D1D" w:rsidRPr="009C52C4">
        <w:rPr>
          <w:rFonts w:ascii="Times New Roman" w:hAnsi="Times New Roman" w:cs="Times New Roman"/>
          <w:color w:val="auto"/>
          <w:sz w:val="24"/>
          <w:szCs w:val="24"/>
        </w:rPr>
        <w:t>za 81</w:t>
      </w:r>
      <w:r w:rsidRPr="009C52C4">
        <w:rPr>
          <w:rFonts w:ascii="Times New Roman" w:hAnsi="Times New Roman" w:cs="Times New Roman"/>
          <w:color w:val="auto"/>
          <w:sz w:val="24"/>
          <w:szCs w:val="24"/>
        </w:rPr>
        <w:t>,</w:t>
      </w:r>
      <w:r w:rsidR="00056D1D" w:rsidRPr="009C52C4">
        <w:rPr>
          <w:rFonts w:ascii="Times New Roman" w:hAnsi="Times New Roman" w:cs="Times New Roman"/>
          <w:color w:val="auto"/>
          <w:sz w:val="24"/>
          <w:szCs w:val="24"/>
        </w:rPr>
        <w:t>1</w:t>
      </w:r>
      <w:r w:rsidRPr="009C52C4">
        <w:rPr>
          <w:rFonts w:ascii="Times New Roman" w:hAnsi="Times New Roman" w:cs="Times New Roman"/>
          <w:color w:val="auto"/>
          <w:sz w:val="24"/>
          <w:szCs w:val="24"/>
        </w:rPr>
        <w:t xml:space="preserve">% </w:t>
      </w:r>
      <w:r w:rsidRPr="009C52C4">
        <w:rPr>
          <w:rFonts w:ascii="Times New Roman" w:hAnsi="Times New Roman" w:cs="Times New Roman"/>
          <w:sz w:val="24"/>
          <w:szCs w:val="24"/>
        </w:rPr>
        <w:t>i postići ciljevi zadani Energetskim putokazom Europske unije</w:t>
      </w:r>
      <w:r w:rsidRPr="009C52C4">
        <w:rPr>
          <w:rFonts w:ascii="Times New Roman" w:hAnsi="Times New Roman" w:cs="Times New Roman"/>
          <w:sz w:val="24"/>
          <w:szCs w:val="24"/>
          <w:vertAlign w:val="superscript"/>
        </w:rPr>
        <w:footnoteReference w:id="3"/>
      </w:r>
      <w:r w:rsidRPr="009C52C4">
        <w:rPr>
          <w:rFonts w:ascii="Times New Roman" w:hAnsi="Times New Roman" w:cs="Times New Roman"/>
          <w:sz w:val="24"/>
          <w:szCs w:val="24"/>
        </w:rPr>
        <w:t xml:space="preserve">. Kako trenutačno raspoloživim izvorima financiranja nije moguće realizirati postavljene ciljeve, predlaže se uvođenje novih, inovativnih mehanizama financiranja koji kombiniraju javne i tržišne </w:t>
      </w:r>
      <w:r w:rsidRPr="009C52C4">
        <w:rPr>
          <w:rFonts w:ascii="Times New Roman" w:hAnsi="Times New Roman" w:cs="Times New Roman"/>
          <w:sz w:val="24"/>
          <w:szCs w:val="24"/>
        </w:rPr>
        <w:lastRenderedPageBreak/>
        <w:t>instrumente prilagođene širokom rasponu investitora. Strukturni i investicijski fondovi Europske unije predstavljat će primarni izvor sredstava za uklanjanje</w:t>
      </w:r>
      <w:r w:rsidRPr="009C52C4">
        <w:rPr>
          <w:rFonts w:ascii="Times New Roman" w:hAnsi="Times New Roman" w:cs="Times New Roman"/>
          <w:b/>
          <w:sz w:val="24"/>
          <w:szCs w:val="24"/>
        </w:rPr>
        <w:t xml:space="preserve"> </w:t>
      </w:r>
      <w:r w:rsidRPr="009C52C4">
        <w:rPr>
          <w:rFonts w:ascii="Times New Roman" w:hAnsi="Times New Roman" w:cs="Times New Roman"/>
          <w:sz w:val="24"/>
          <w:szCs w:val="24"/>
        </w:rPr>
        <w:t xml:space="preserve">barijera u financijskom sektoru te postepeno omogućiti intenzivnije uključivanje financijskih institucija i privatnih investitora na tržištu energetskih usluga. </w:t>
      </w:r>
    </w:p>
    <w:p w14:paraId="1244529D" w14:textId="77777777" w:rsidR="001804D4" w:rsidRPr="009C52C4" w:rsidRDefault="001804D4" w:rsidP="001804D4">
      <w:pPr>
        <w:rPr>
          <w:rFonts w:ascii="Times New Roman" w:hAnsi="Times New Roman" w:cs="Times New Roman"/>
          <w:sz w:val="24"/>
          <w:szCs w:val="24"/>
        </w:rPr>
      </w:pPr>
    </w:p>
    <w:p w14:paraId="62220F4C" w14:textId="77777777" w:rsidR="001804D4" w:rsidRPr="009C52C4" w:rsidRDefault="001804D4" w:rsidP="00887E64">
      <w:pPr>
        <w:pStyle w:val="ListParagraph"/>
        <w:numPr>
          <w:ilvl w:val="0"/>
          <w:numId w:val="60"/>
        </w:numPr>
        <w:rPr>
          <w:rFonts w:ascii="Times New Roman" w:hAnsi="Times New Roman" w:cs="Times New Roman"/>
          <w:sz w:val="24"/>
          <w:szCs w:val="24"/>
        </w:rPr>
      </w:pPr>
      <w:bookmarkStart w:id="4" w:name="h.30j0zll" w:colFirst="0" w:colLast="0"/>
      <w:bookmarkEnd w:id="4"/>
      <w:r w:rsidRPr="009C52C4">
        <w:rPr>
          <w:rFonts w:ascii="Times New Roman" w:hAnsi="Times New Roman" w:cs="Times New Roman"/>
          <w:b/>
          <w:sz w:val="24"/>
          <w:szCs w:val="24"/>
        </w:rPr>
        <w:t xml:space="preserve">Procjena očekivane uštede energije i širih koristi </w:t>
      </w:r>
      <w:r w:rsidR="00C00DD0" w:rsidRPr="009C52C4">
        <w:rPr>
          <w:rFonts w:ascii="Times New Roman" w:hAnsi="Times New Roman" w:cs="Times New Roman"/>
          <w:b/>
          <w:sz w:val="24"/>
          <w:szCs w:val="24"/>
        </w:rPr>
        <w:t xml:space="preserve">integralne obnove nacionalnog fonda </w:t>
      </w:r>
      <w:r w:rsidR="00887E64" w:rsidRPr="009C52C4">
        <w:rPr>
          <w:rFonts w:ascii="Times New Roman" w:hAnsi="Times New Roman" w:cs="Times New Roman"/>
          <w:b/>
          <w:sz w:val="24"/>
          <w:szCs w:val="24"/>
        </w:rPr>
        <w:t xml:space="preserve">zgrada </w:t>
      </w:r>
      <w:r w:rsidRPr="009C52C4">
        <w:rPr>
          <w:rFonts w:ascii="Times New Roman" w:hAnsi="Times New Roman" w:cs="Times New Roman"/>
          <w:sz w:val="24"/>
          <w:szCs w:val="24"/>
        </w:rPr>
        <w:t>utemeljena na računskim i modelskim podacima bazira se na činjenici da ulaganja u integralnu obnovu zgrada stvaraju daleko šire ekonomske koristi od samih energetskih ušteda i poboljšanja kvalitete stanovanja i rada.</w:t>
      </w:r>
    </w:p>
    <w:p w14:paraId="4FB1D4A3" w14:textId="77777777" w:rsidR="001804D4" w:rsidRPr="009C52C4" w:rsidRDefault="001804D4" w:rsidP="001804D4">
      <w:pPr>
        <w:rPr>
          <w:rFonts w:ascii="Times New Roman" w:hAnsi="Times New Roman" w:cs="Times New Roman"/>
          <w:sz w:val="24"/>
          <w:szCs w:val="24"/>
        </w:rPr>
      </w:pPr>
    </w:p>
    <w:p w14:paraId="74375EFB" w14:textId="49898CBF" w:rsidR="001804D4" w:rsidRPr="009C52C4" w:rsidRDefault="001804D4" w:rsidP="001804D4">
      <w:pPr>
        <w:rPr>
          <w:rFonts w:ascii="Times New Roman" w:hAnsi="Times New Roman" w:cs="Times New Roman"/>
          <w:color w:val="auto"/>
          <w:sz w:val="24"/>
          <w:szCs w:val="24"/>
        </w:rPr>
      </w:pPr>
      <w:r w:rsidRPr="009C52C4">
        <w:rPr>
          <w:rFonts w:ascii="Times New Roman" w:hAnsi="Times New Roman" w:cs="Times New Roman"/>
          <w:color w:val="auto"/>
          <w:sz w:val="24"/>
          <w:szCs w:val="24"/>
        </w:rPr>
        <w:t>Povećana građevinska aktivnost pozitivno utječe na bruto domaći proizvod (BDP), zapošljavanje i prihode proračuna. Ako se zaključno s 2049. godinom realizira integraln</w:t>
      </w:r>
      <w:r w:rsidR="00F16092" w:rsidRPr="009C52C4">
        <w:rPr>
          <w:rFonts w:ascii="Times New Roman" w:hAnsi="Times New Roman" w:cs="Times New Roman"/>
          <w:color w:val="auto"/>
          <w:sz w:val="24"/>
          <w:szCs w:val="24"/>
        </w:rPr>
        <w:t>a</w:t>
      </w:r>
      <w:r w:rsidRPr="009C52C4">
        <w:rPr>
          <w:rFonts w:ascii="Times New Roman" w:hAnsi="Times New Roman" w:cs="Times New Roman"/>
          <w:color w:val="auto"/>
          <w:sz w:val="24"/>
          <w:szCs w:val="24"/>
        </w:rPr>
        <w:t xml:space="preserve"> obnov</w:t>
      </w:r>
      <w:r w:rsidR="00F16092" w:rsidRPr="009C52C4">
        <w:rPr>
          <w:rFonts w:ascii="Times New Roman" w:hAnsi="Times New Roman" w:cs="Times New Roman"/>
          <w:color w:val="auto"/>
          <w:sz w:val="24"/>
          <w:szCs w:val="24"/>
        </w:rPr>
        <w:t>a</w:t>
      </w:r>
      <w:r w:rsidRPr="009C52C4">
        <w:rPr>
          <w:rFonts w:ascii="Times New Roman" w:hAnsi="Times New Roman" w:cs="Times New Roman"/>
          <w:color w:val="auto"/>
          <w:sz w:val="24"/>
          <w:szCs w:val="24"/>
        </w:rPr>
        <w:t xml:space="preserve"> </w:t>
      </w:r>
      <w:r w:rsidR="00A226F6" w:rsidRPr="009C52C4">
        <w:rPr>
          <w:rFonts w:ascii="Times New Roman" w:hAnsi="Times New Roman" w:cs="Times New Roman"/>
          <w:color w:val="auto"/>
          <w:sz w:val="24"/>
          <w:szCs w:val="24"/>
        </w:rPr>
        <w:t>91</w:t>
      </w:r>
      <w:r w:rsidRPr="009C52C4">
        <w:rPr>
          <w:rFonts w:ascii="Times New Roman" w:hAnsi="Times New Roman" w:cs="Times New Roman"/>
          <w:color w:val="auto"/>
          <w:sz w:val="24"/>
          <w:szCs w:val="24"/>
        </w:rPr>
        <w:t>,</w:t>
      </w:r>
      <w:r w:rsidR="00A226F6" w:rsidRPr="009C52C4">
        <w:rPr>
          <w:rFonts w:ascii="Times New Roman" w:hAnsi="Times New Roman" w:cs="Times New Roman"/>
          <w:color w:val="auto"/>
          <w:sz w:val="24"/>
          <w:szCs w:val="24"/>
        </w:rPr>
        <w:t>7</w:t>
      </w:r>
      <w:r w:rsidRPr="009C52C4">
        <w:rPr>
          <w:rFonts w:ascii="Times New Roman" w:hAnsi="Times New Roman" w:cs="Times New Roman"/>
          <w:color w:val="auto"/>
          <w:sz w:val="24"/>
          <w:szCs w:val="24"/>
        </w:rPr>
        <w:t xml:space="preserve">% nacionalnog fonda zgrada, očekivani učinak na zapošljavanje mogao bi iznositi između </w:t>
      </w:r>
      <w:r w:rsidR="00A226F6" w:rsidRPr="009C52C4">
        <w:rPr>
          <w:rFonts w:ascii="Times New Roman" w:hAnsi="Times New Roman" w:cs="Times New Roman"/>
          <w:color w:val="auto"/>
          <w:sz w:val="24"/>
          <w:szCs w:val="24"/>
        </w:rPr>
        <w:t>56 tisuća</w:t>
      </w:r>
      <w:r w:rsidRPr="009C52C4">
        <w:rPr>
          <w:rFonts w:ascii="Times New Roman" w:hAnsi="Times New Roman" w:cs="Times New Roman"/>
          <w:color w:val="auto"/>
          <w:sz w:val="24"/>
          <w:szCs w:val="24"/>
        </w:rPr>
        <w:t xml:space="preserve"> novih radnih mjesta u scenariju konzervativno procijenjenih multiplikativnih učinaka i </w:t>
      </w:r>
      <w:r w:rsidR="00A226F6" w:rsidRPr="009C52C4">
        <w:rPr>
          <w:rFonts w:ascii="Times New Roman" w:hAnsi="Times New Roman" w:cs="Times New Roman"/>
          <w:color w:val="auto"/>
          <w:sz w:val="24"/>
          <w:szCs w:val="24"/>
        </w:rPr>
        <w:t>93</w:t>
      </w:r>
      <w:r w:rsidRPr="009C52C4">
        <w:rPr>
          <w:rFonts w:ascii="Times New Roman" w:hAnsi="Times New Roman" w:cs="Times New Roman"/>
          <w:color w:val="auto"/>
          <w:sz w:val="24"/>
          <w:szCs w:val="24"/>
        </w:rPr>
        <w:t xml:space="preserve"> tisuće u scenariju jake multiplikacije. Pritom bi već do 2020. godine očekivani učinak na zapošljavanje bio između </w:t>
      </w:r>
      <w:r w:rsidR="00A226F6" w:rsidRPr="009C52C4">
        <w:rPr>
          <w:rFonts w:ascii="Times New Roman" w:hAnsi="Times New Roman" w:cs="Times New Roman"/>
          <w:color w:val="auto"/>
          <w:sz w:val="24"/>
          <w:szCs w:val="24"/>
        </w:rPr>
        <w:t>25</w:t>
      </w:r>
      <w:r w:rsidRPr="009C52C4">
        <w:rPr>
          <w:rFonts w:ascii="Times New Roman" w:hAnsi="Times New Roman" w:cs="Times New Roman"/>
          <w:color w:val="auto"/>
          <w:sz w:val="24"/>
          <w:szCs w:val="24"/>
        </w:rPr>
        <w:t xml:space="preserve"> i </w:t>
      </w:r>
      <w:r w:rsidR="00A226F6" w:rsidRPr="009C52C4">
        <w:rPr>
          <w:rFonts w:ascii="Times New Roman" w:hAnsi="Times New Roman" w:cs="Times New Roman"/>
          <w:color w:val="auto"/>
          <w:sz w:val="24"/>
          <w:szCs w:val="24"/>
        </w:rPr>
        <w:t>43</w:t>
      </w:r>
      <w:r w:rsidRPr="009C52C4">
        <w:rPr>
          <w:rFonts w:ascii="Times New Roman" w:hAnsi="Times New Roman" w:cs="Times New Roman"/>
          <w:color w:val="auto"/>
          <w:sz w:val="24"/>
          <w:szCs w:val="24"/>
        </w:rPr>
        <w:t xml:space="preserve"> tisuć</w:t>
      </w:r>
      <w:r w:rsidR="00A226F6" w:rsidRPr="009C52C4">
        <w:rPr>
          <w:rFonts w:ascii="Times New Roman" w:hAnsi="Times New Roman" w:cs="Times New Roman"/>
          <w:color w:val="auto"/>
          <w:sz w:val="24"/>
          <w:szCs w:val="24"/>
        </w:rPr>
        <w:t>e</w:t>
      </w:r>
      <w:r w:rsidRPr="009C52C4">
        <w:rPr>
          <w:rFonts w:ascii="Times New Roman" w:hAnsi="Times New Roman" w:cs="Times New Roman"/>
          <w:color w:val="auto"/>
          <w:sz w:val="24"/>
          <w:szCs w:val="24"/>
        </w:rPr>
        <w:t xml:space="preserve"> novih radnih mjesta, zavisno o procjeni multiplikativnih učinaka, dok se do 2030. godine očekuje dodatnih </w:t>
      </w:r>
      <w:r w:rsidR="00A226F6" w:rsidRPr="009C52C4">
        <w:rPr>
          <w:rFonts w:ascii="Times New Roman" w:hAnsi="Times New Roman" w:cs="Times New Roman"/>
          <w:color w:val="auto"/>
          <w:sz w:val="24"/>
          <w:szCs w:val="24"/>
        </w:rPr>
        <w:t>5</w:t>
      </w:r>
      <w:r w:rsidRPr="009C52C4">
        <w:rPr>
          <w:rFonts w:ascii="Times New Roman" w:hAnsi="Times New Roman" w:cs="Times New Roman"/>
          <w:color w:val="auto"/>
          <w:sz w:val="24"/>
          <w:szCs w:val="24"/>
        </w:rPr>
        <w:t xml:space="preserve"> do </w:t>
      </w:r>
      <w:r w:rsidR="00A226F6" w:rsidRPr="009C52C4">
        <w:rPr>
          <w:rFonts w:ascii="Times New Roman" w:hAnsi="Times New Roman" w:cs="Times New Roman"/>
          <w:color w:val="auto"/>
          <w:sz w:val="24"/>
          <w:szCs w:val="24"/>
        </w:rPr>
        <w:t>9</w:t>
      </w:r>
      <w:r w:rsidRPr="009C52C4">
        <w:rPr>
          <w:rFonts w:ascii="Times New Roman" w:hAnsi="Times New Roman" w:cs="Times New Roman"/>
          <w:color w:val="auto"/>
          <w:sz w:val="24"/>
          <w:szCs w:val="24"/>
        </w:rPr>
        <w:t xml:space="preserve"> tisuća. Procijenjeni učinak programa integralne obnove na povećanje BDP-a do 2030. godine kreće se između </w:t>
      </w:r>
      <w:r w:rsidR="00C31B82" w:rsidRPr="009C52C4">
        <w:rPr>
          <w:rFonts w:ascii="Times New Roman" w:hAnsi="Times New Roman" w:cs="Times New Roman"/>
          <w:color w:val="auto"/>
          <w:sz w:val="24"/>
          <w:szCs w:val="24"/>
        </w:rPr>
        <w:t>5,0</w:t>
      </w:r>
      <w:r w:rsidRPr="009C52C4">
        <w:rPr>
          <w:rFonts w:ascii="Times New Roman" w:hAnsi="Times New Roman" w:cs="Times New Roman"/>
          <w:color w:val="auto"/>
          <w:sz w:val="24"/>
          <w:szCs w:val="24"/>
        </w:rPr>
        <w:t xml:space="preserve">% i </w:t>
      </w:r>
      <w:r w:rsidR="00C31B82" w:rsidRPr="009C52C4">
        <w:rPr>
          <w:rFonts w:ascii="Times New Roman" w:hAnsi="Times New Roman" w:cs="Times New Roman"/>
          <w:color w:val="auto"/>
          <w:sz w:val="24"/>
          <w:szCs w:val="24"/>
        </w:rPr>
        <w:t>8,4% odnosno do 2050. između 5,7</w:t>
      </w:r>
      <w:r w:rsidRPr="009C52C4">
        <w:rPr>
          <w:rFonts w:ascii="Times New Roman" w:hAnsi="Times New Roman" w:cs="Times New Roman"/>
          <w:color w:val="auto"/>
          <w:sz w:val="24"/>
          <w:szCs w:val="24"/>
        </w:rPr>
        <w:t>% i 9,</w:t>
      </w:r>
      <w:r w:rsidR="00C31B82" w:rsidRPr="009C52C4">
        <w:rPr>
          <w:rFonts w:ascii="Times New Roman" w:hAnsi="Times New Roman" w:cs="Times New Roman"/>
          <w:color w:val="auto"/>
          <w:sz w:val="24"/>
          <w:szCs w:val="24"/>
        </w:rPr>
        <w:t>5</w:t>
      </w:r>
      <w:r w:rsidRPr="009C52C4">
        <w:rPr>
          <w:rFonts w:ascii="Times New Roman" w:hAnsi="Times New Roman" w:cs="Times New Roman"/>
          <w:color w:val="auto"/>
          <w:sz w:val="24"/>
          <w:szCs w:val="24"/>
        </w:rPr>
        <w:t>% u ovisnosti o procijenjenim multiplikativnim učincima. Procijenjeni učinak programa integralne obnove na ostvarenje energetskih ušteda do 2030. godine kreće se oko 6</w:t>
      </w:r>
      <w:r w:rsidR="00056D1D" w:rsidRPr="009C52C4">
        <w:rPr>
          <w:rFonts w:ascii="Times New Roman" w:hAnsi="Times New Roman" w:cs="Times New Roman"/>
          <w:color w:val="auto"/>
          <w:sz w:val="24"/>
          <w:szCs w:val="24"/>
        </w:rPr>
        <w:t>7</w:t>
      </w:r>
      <w:r w:rsidRPr="009C52C4">
        <w:rPr>
          <w:rFonts w:ascii="Times New Roman" w:hAnsi="Times New Roman" w:cs="Times New Roman"/>
          <w:color w:val="auto"/>
          <w:sz w:val="24"/>
          <w:szCs w:val="24"/>
        </w:rPr>
        <w:t xml:space="preserve">,0 PJ </w:t>
      </w:r>
      <w:r w:rsidR="00F378F5" w:rsidRPr="009C52C4">
        <w:rPr>
          <w:rFonts w:ascii="Times New Roman" w:hAnsi="Times New Roman" w:cs="Times New Roman"/>
          <w:color w:val="auto"/>
          <w:sz w:val="24"/>
          <w:szCs w:val="24"/>
        </w:rPr>
        <w:t>što je u kontekstu postizanja ciljeva u krajnjoj potrošnji otprilike 82%. D</w:t>
      </w:r>
      <w:r w:rsidRPr="009C52C4">
        <w:rPr>
          <w:rFonts w:ascii="Times New Roman" w:hAnsi="Times New Roman" w:cs="Times New Roman"/>
          <w:color w:val="auto"/>
          <w:sz w:val="24"/>
          <w:szCs w:val="24"/>
        </w:rPr>
        <w:t xml:space="preserve">o 2050. </w:t>
      </w:r>
      <w:r w:rsidR="00F378F5" w:rsidRPr="009C52C4">
        <w:rPr>
          <w:rFonts w:ascii="Times New Roman" w:hAnsi="Times New Roman" w:cs="Times New Roman"/>
          <w:color w:val="auto"/>
          <w:sz w:val="24"/>
          <w:szCs w:val="24"/>
        </w:rPr>
        <w:t>godine moguće je ostvarenje energetskih ušteda od otprilike</w:t>
      </w:r>
      <w:r w:rsidRPr="009C52C4">
        <w:rPr>
          <w:rFonts w:ascii="Times New Roman" w:hAnsi="Times New Roman" w:cs="Times New Roman"/>
          <w:color w:val="auto"/>
          <w:sz w:val="24"/>
          <w:szCs w:val="24"/>
        </w:rPr>
        <w:t xml:space="preserve"> 13</w:t>
      </w:r>
      <w:r w:rsidR="00056D1D" w:rsidRPr="009C52C4">
        <w:rPr>
          <w:rFonts w:ascii="Times New Roman" w:hAnsi="Times New Roman" w:cs="Times New Roman"/>
          <w:color w:val="auto"/>
          <w:sz w:val="24"/>
          <w:szCs w:val="24"/>
        </w:rPr>
        <w:t>1</w:t>
      </w:r>
      <w:r w:rsidRPr="009C52C4">
        <w:rPr>
          <w:rFonts w:ascii="Times New Roman" w:hAnsi="Times New Roman" w:cs="Times New Roman"/>
          <w:color w:val="auto"/>
          <w:sz w:val="24"/>
          <w:szCs w:val="24"/>
        </w:rPr>
        <w:t>,5 PJ</w:t>
      </w:r>
      <w:r w:rsidR="00C327EC" w:rsidRPr="009C52C4">
        <w:rPr>
          <w:rFonts w:ascii="Times New Roman" w:hAnsi="Times New Roman" w:cs="Times New Roman"/>
          <w:color w:val="auto"/>
          <w:sz w:val="24"/>
          <w:szCs w:val="24"/>
        </w:rPr>
        <w:t>, što je ostvarenje otprilike 62% cilja ukupne uštede energije</w:t>
      </w:r>
      <w:r w:rsidR="00F378F5" w:rsidRPr="009C52C4">
        <w:rPr>
          <w:rFonts w:ascii="Times New Roman" w:hAnsi="Times New Roman" w:cs="Times New Roman"/>
          <w:color w:val="auto"/>
          <w:sz w:val="24"/>
          <w:szCs w:val="24"/>
        </w:rPr>
        <w:t xml:space="preserve"> u sektoru zgardarstva</w:t>
      </w:r>
      <w:r w:rsidRPr="009C52C4">
        <w:rPr>
          <w:rFonts w:ascii="Times New Roman" w:hAnsi="Times New Roman" w:cs="Times New Roman"/>
          <w:color w:val="auto"/>
          <w:sz w:val="24"/>
          <w:szCs w:val="24"/>
        </w:rPr>
        <w:t>.</w:t>
      </w:r>
      <w:r w:rsidR="00056D1D" w:rsidRPr="009C52C4">
        <w:rPr>
          <w:rFonts w:ascii="Times New Roman" w:hAnsi="Times New Roman" w:cs="Times New Roman"/>
          <w:color w:val="auto"/>
          <w:sz w:val="24"/>
          <w:szCs w:val="24"/>
        </w:rPr>
        <w:t xml:space="preserve"> Učinak na smanjenje emisija CO</w:t>
      </w:r>
      <w:r w:rsidR="00056D1D" w:rsidRPr="009C52C4">
        <w:rPr>
          <w:rFonts w:ascii="Times New Roman" w:hAnsi="Times New Roman" w:cs="Times New Roman"/>
          <w:color w:val="auto"/>
          <w:sz w:val="24"/>
          <w:szCs w:val="24"/>
          <w:vertAlign w:val="subscript"/>
        </w:rPr>
        <w:t>2</w:t>
      </w:r>
      <w:r w:rsidR="00056D1D" w:rsidRPr="009C52C4">
        <w:rPr>
          <w:rFonts w:ascii="Times New Roman" w:hAnsi="Times New Roman" w:cs="Times New Roman"/>
          <w:color w:val="auto"/>
          <w:sz w:val="24"/>
          <w:szCs w:val="24"/>
        </w:rPr>
        <w:t xml:space="preserve"> do 2030. godine kreće se oko </w:t>
      </w:r>
      <w:r w:rsidR="00C327EC" w:rsidRPr="009C52C4">
        <w:rPr>
          <w:rFonts w:ascii="Times New Roman" w:hAnsi="Times New Roman" w:cs="Times New Roman"/>
          <w:color w:val="auto"/>
          <w:sz w:val="24"/>
          <w:szCs w:val="24"/>
        </w:rPr>
        <w:t xml:space="preserve">3.197,0 kt odnosno do 2050. oko 6.277,0 kt. </w:t>
      </w:r>
    </w:p>
    <w:p w14:paraId="0B43C75C" w14:textId="77777777" w:rsidR="001804D4" w:rsidRPr="009C52C4" w:rsidRDefault="001804D4" w:rsidP="001804D4">
      <w:pPr>
        <w:rPr>
          <w:rFonts w:ascii="Times New Roman" w:hAnsi="Times New Roman" w:cs="Times New Roman"/>
          <w:color w:val="auto"/>
          <w:sz w:val="24"/>
          <w:szCs w:val="24"/>
        </w:rPr>
      </w:pPr>
    </w:p>
    <w:p w14:paraId="4243D7C8" w14:textId="64B27C0D"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Šire ekonomske koristi integralne obnove nacionalnog fonda zgrada ne iscrpljuju se na gospodarskim aktivnostima, prihodima proračuna i porastu zapošljavanja. Integralna obnova nacionalnog fonda zgrada sigurno rezultira poboljšanjem zdravlja i posljedično znatnim smanjenjem troškova hrvatskog javno-zdravstvenog sustava, smanjenjem energetskog siromaštva Hrvatske te kontinuiranim rastom vrijednosti nekretnina, a indirektne će se koristi osjetiti u sektoru turizmu, povećanju kvalitete života i jačanju opće financijske stabilnosti države. Iz svih </w:t>
      </w:r>
      <w:r w:rsidR="00AA3D81" w:rsidRPr="009C52C4">
        <w:rPr>
          <w:rFonts w:ascii="Times New Roman" w:hAnsi="Times New Roman" w:cs="Times New Roman"/>
          <w:sz w:val="24"/>
          <w:szCs w:val="24"/>
        </w:rPr>
        <w:t>ovih</w:t>
      </w:r>
      <w:r w:rsidRPr="009C52C4">
        <w:rPr>
          <w:rFonts w:ascii="Times New Roman" w:hAnsi="Times New Roman" w:cs="Times New Roman"/>
          <w:sz w:val="24"/>
          <w:szCs w:val="24"/>
        </w:rPr>
        <w:t xml:space="preserve"> razloga, </w:t>
      </w:r>
      <w:r w:rsidR="00AA3D81" w:rsidRPr="009C52C4">
        <w:rPr>
          <w:rFonts w:ascii="Times New Roman" w:hAnsi="Times New Roman" w:cs="Times New Roman"/>
          <w:sz w:val="24"/>
          <w:szCs w:val="24"/>
        </w:rPr>
        <w:t xml:space="preserve">može se sa </w:t>
      </w:r>
      <w:r w:rsidRPr="009C52C4">
        <w:rPr>
          <w:rFonts w:ascii="Times New Roman" w:hAnsi="Times New Roman" w:cs="Times New Roman"/>
          <w:sz w:val="24"/>
          <w:szCs w:val="24"/>
        </w:rPr>
        <w:t>sigurnošću zaključiti da će realizacija integralne obnove nacionalnog fonda zgrada Republike Hrvatske</w:t>
      </w:r>
      <w:r w:rsidR="00AA3D81" w:rsidRPr="009C52C4">
        <w:rPr>
          <w:rFonts w:ascii="Times New Roman" w:hAnsi="Times New Roman" w:cs="Times New Roman"/>
          <w:sz w:val="24"/>
          <w:szCs w:val="24"/>
        </w:rPr>
        <w:t>, a</w:t>
      </w:r>
      <w:r w:rsidRPr="009C52C4">
        <w:rPr>
          <w:rFonts w:ascii="Times New Roman" w:hAnsi="Times New Roman" w:cs="Times New Roman"/>
          <w:sz w:val="24"/>
          <w:szCs w:val="24"/>
        </w:rPr>
        <w:t xml:space="preserve"> u skladu s odrednicama ove </w:t>
      </w:r>
      <w:r w:rsidR="00D11E23" w:rsidRPr="009C52C4">
        <w:rPr>
          <w:rFonts w:ascii="Times New Roman" w:hAnsi="Times New Roman" w:cs="Times New Roman"/>
          <w:sz w:val="24"/>
          <w:szCs w:val="24"/>
        </w:rPr>
        <w:t>Dugoročne strategije za poticanje ulaganja u obnovu nacionalnog fonda zgrada Republike Hrvatske</w:t>
      </w:r>
      <w:r w:rsidR="00AA3D81" w:rsidRPr="009C52C4">
        <w:rPr>
          <w:rFonts w:ascii="Times New Roman" w:hAnsi="Times New Roman" w:cs="Times New Roman"/>
          <w:sz w:val="24"/>
          <w:szCs w:val="24"/>
        </w:rPr>
        <w:t>,</w:t>
      </w:r>
      <w:r w:rsidRPr="009C52C4">
        <w:rPr>
          <w:rFonts w:ascii="Times New Roman" w:hAnsi="Times New Roman" w:cs="Times New Roman"/>
          <w:sz w:val="24"/>
          <w:szCs w:val="24"/>
        </w:rPr>
        <w:t xml:space="preserve"> rezultirati unaprjeđenjem hrvatskog gospodarstva u gotovo svim njegovim segmentima. </w:t>
      </w:r>
      <w:r w:rsidRPr="009C52C4">
        <w:rPr>
          <w:rFonts w:ascii="Times New Roman" w:hAnsi="Times New Roman" w:cs="Times New Roman"/>
          <w:sz w:val="24"/>
          <w:szCs w:val="24"/>
        </w:rPr>
        <w:br w:type="page"/>
      </w:r>
    </w:p>
    <w:p w14:paraId="3FB9F8CF" w14:textId="77777777" w:rsidR="00B122B4" w:rsidRPr="009C52C4" w:rsidRDefault="00F54CC3" w:rsidP="004F09F1">
      <w:pPr>
        <w:pStyle w:val="Heading1"/>
        <w:numPr>
          <w:ilvl w:val="0"/>
          <w:numId w:val="27"/>
        </w:numPr>
        <w:ind w:hanging="359"/>
        <w:rPr>
          <w:rFonts w:ascii="Times New Roman" w:hAnsi="Times New Roman" w:cs="Times New Roman"/>
          <w:sz w:val="24"/>
          <w:szCs w:val="24"/>
        </w:rPr>
      </w:pPr>
      <w:bookmarkStart w:id="5" w:name="_Toc3277895"/>
      <w:r w:rsidRPr="009C52C4">
        <w:rPr>
          <w:rFonts w:ascii="Times New Roman" w:hAnsi="Times New Roman" w:cs="Times New Roman"/>
          <w:sz w:val="24"/>
          <w:szCs w:val="24"/>
        </w:rPr>
        <w:lastRenderedPageBreak/>
        <w:t>Uvod</w:t>
      </w:r>
      <w:bookmarkEnd w:id="5"/>
    </w:p>
    <w:p w14:paraId="5C8AFF47" w14:textId="77777777" w:rsidR="00B122B4" w:rsidRPr="009C52C4" w:rsidRDefault="00B122B4">
      <w:pPr>
        <w:rPr>
          <w:rFonts w:ascii="Times New Roman" w:hAnsi="Times New Roman" w:cs="Times New Roman"/>
          <w:sz w:val="24"/>
          <w:szCs w:val="24"/>
        </w:rPr>
      </w:pPr>
    </w:p>
    <w:p w14:paraId="5B703E14" w14:textId="6CA982FC" w:rsidR="001804D4" w:rsidRPr="009C52C4" w:rsidRDefault="001804D4" w:rsidP="001804D4">
      <w:pPr>
        <w:rPr>
          <w:rFonts w:ascii="Times New Roman" w:hAnsi="Times New Roman" w:cs="Times New Roman"/>
          <w:sz w:val="24"/>
          <w:szCs w:val="24"/>
        </w:rPr>
      </w:pPr>
      <w:bookmarkStart w:id="6" w:name="h.3znysh7" w:colFirst="0" w:colLast="0"/>
      <w:bookmarkEnd w:id="6"/>
      <w:r w:rsidRPr="009C52C4">
        <w:rPr>
          <w:rFonts w:ascii="Times New Roman" w:hAnsi="Times New Roman" w:cs="Times New Roman"/>
          <w:sz w:val="24"/>
          <w:szCs w:val="24"/>
        </w:rPr>
        <w:t xml:space="preserve">Energetska sigurnost i sprječavanje klimatskih promjena u velikoj mjeri ovise o znatnom poboljšanju energetske učinkovitosti u zgradama. Države Europske unije su kao cilj postavile 20% smanjenja energetske potrošnje do 2020. godine. Sukladno Prijedlogu Direktive Europskog parlamenta i </w:t>
      </w:r>
      <w:r w:rsidR="0004706C" w:rsidRPr="009C52C4">
        <w:rPr>
          <w:rFonts w:ascii="Times New Roman" w:hAnsi="Times New Roman" w:cs="Times New Roman"/>
          <w:sz w:val="24"/>
          <w:szCs w:val="24"/>
        </w:rPr>
        <w:t>V</w:t>
      </w:r>
      <w:r w:rsidRPr="009C52C4">
        <w:rPr>
          <w:rFonts w:ascii="Times New Roman" w:hAnsi="Times New Roman" w:cs="Times New Roman"/>
          <w:sz w:val="24"/>
          <w:szCs w:val="24"/>
        </w:rPr>
        <w:t>ijeća o izmjeni Direktive 2010/31/EU</w:t>
      </w:r>
      <w:r w:rsidR="002F4C8D" w:rsidRPr="009C52C4">
        <w:rPr>
          <w:rFonts w:ascii="Times New Roman" w:hAnsi="Times New Roman" w:cs="Times New Roman"/>
          <w:sz w:val="24"/>
          <w:szCs w:val="24"/>
        </w:rPr>
        <w:t xml:space="preserve"> o energetskim svojstvima zgrada (Tekst značajan za EGP)</w:t>
      </w:r>
      <w:r w:rsidRPr="009C52C4">
        <w:rPr>
          <w:rFonts w:ascii="Times New Roman" w:hAnsi="Times New Roman" w:cs="Times New Roman"/>
          <w:sz w:val="24"/>
          <w:szCs w:val="24"/>
          <w:vertAlign w:val="superscript"/>
        </w:rPr>
        <w:footnoteReference w:id="4"/>
      </w:r>
      <w:r w:rsidRPr="009C52C4">
        <w:rPr>
          <w:rFonts w:ascii="Times New Roman" w:hAnsi="Times New Roman" w:cs="Times New Roman"/>
          <w:sz w:val="24"/>
          <w:szCs w:val="24"/>
        </w:rPr>
        <w:t xml:space="preserve">, u </w:t>
      </w:r>
      <w:r w:rsidR="006107D4" w:rsidRPr="009C52C4">
        <w:rPr>
          <w:rFonts w:ascii="Times New Roman" w:hAnsi="Times New Roman" w:cs="Times New Roman"/>
          <w:sz w:val="24"/>
          <w:szCs w:val="24"/>
        </w:rPr>
        <w:t>okviru</w:t>
      </w:r>
      <w:r w:rsidRPr="009C52C4">
        <w:rPr>
          <w:rFonts w:ascii="Times New Roman" w:hAnsi="Times New Roman" w:cs="Times New Roman"/>
          <w:sz w:val="24"/>
          <w:szCs w:val="24"/>
        </w:rPr>
        <w:t xml:space="preserve"> klimatske i energetske politike do 2030. godine utvrđene su obveze EU za dodatno povećanje ušteda energije od najmanje 27% imajući na umu krovni cilj od 30% ušteda energije na razini EU. Nadalje, Europska je unija postavila dugoročni cilj smanjenja emisija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iz sektora zgradarstva od 80-95% do 2050. godine.</w:t>
      </w:r>
      <w:r w:rsidR="00867D28" w:rsidRPr="009C52C4">
        <w:rPr>
          <w:rFonts w:ascii="Times New Roman" w:hAnsi="Times New Roman" w:cs="Times New Roman"/>
          <w:sz w:val="24"/>
          <w:szCs w:val="24"/>
        </w:rPr>
        <w:t xml:space="preserve"> Također, </w:t>
      </w:r>
      <w:r w:rsidR="002C4B9C" w:rsidRPr="009C52C4">
        <w:rPr>
          <w:rFonts w:ascii="Times New Roman" w:hAnsi="Times New Roman" w:cs="Times New Roman"/>
          <w:sz w:val="24"/>
          <w:szCs w:val="24"/>
        </w:rPr>
        <w:t>Direktiva 2010/31/EU Europskog parlamenta i Vijeća od 19. svibnja 2010. o energetskoj učinkovitosti zgrada (preinaka)</w:t>
      </w:r>
      <w:r w:rsidR="002C4B9C" w:rsidRPr="009C52C4">
        <w:rPr>
          <w:rStyle w:val="FootnoteReference"/>
          <w:rFonts w:ascii="Times New Roman" w:hAnsi="Times New Roman" w:cs="Times New Roman"/>
          <w:sz w:val="24"/>
          <w:szCs w:val="24"/>
        </w:rPr>
        <w:footnoteReference w:id="5"/>
      </w:r>
      <w:r w:rsidR="009207FB" w:rsidRPr="009C52C4">
        <w:rPr>
          <w:rFonts w:ascii="Times New Roman" w:hAnsi="Times New Roman" w:cs="Times New Roman"/>
          <w:sz w:val="24"/>
          <w:szCs w:val="24"/>
        </w:rPr>
        <w:t xml:space="preserve"> </w:t>
      </w:r>
      <w:r w:rsidR="00867D28" w:rsidRPr="009C52C4">
        <w:rPr>
          <w:rFonts w:ascii="Times New Roman" w:hAnsi="Times New Roman" w:cs="Times New Roman"/>
          <w:sz w:val="24"/>
          <w:szCs w:val="24"/>
        </w:rPr>
        <w:t>propisuje poticanje razmatranja ugradnje visokoučinkovitih alternativnih sustava u mjeri u kojoj je to tehnički, funkcionalno i gospodarski iz</w:t>
      </w:r>
      <w:r w:rsidR="0037119E" w:rsidRPr="009C52C4">
        <w:rPr>
          <w:rFonts w:ascii="Times New Roman" w:hAnsi="Times New Roman" w:cs="Times New Roman"/>
          <w:sz w:val="24"/>
          <w:szCs w:val="24"/>
        </w:rPr>
        <w:t xml:space="preserve">vedivo, dok Direktiva 2009/28/EZ Europskog parlamenta i Vijeća od 23. travnja 2009. </w:t>
      </w:r>
      <w:r w:rsidR="00327450" w:rsidRPr="009C52C4">
        <w:rPr>
          <w:rFonts w:ascii="Times New Roman" w:hAnsi="Times New Roman" w:cs="Times New Roman"/>
          <w:sz w:val="24"/>
          <w:szCs w:val="24"/>
        </w:rPr>
        <w:t>o promicanju uporabe energije iz obnovljivih izvora te o izmjeni i kasnijem stavljanju izvan snage direktiva 2001/77/EZ i 2003/30/EZ (Tekst značajan za EGP)</w:t>
      </w:r>
      <w:r w:rsidR="00867D28" w:rsidRPr="009C52C4">
        <w:rPr>
          <w:rStyle w:val="FootnoteReference"/>
          <w:rFonts w:ascii="Times New Roman" w:hAnsi="Times New Roman" w:cs="Times New Roman"/>
          <w:sz w:val="24"/>
          <w:szCs w:val="24"/>
        </w:rPr>
        <w:footnoteReference w:id="6"/>
      </w:r>
      <w:r w:rsidR="00867D28" w:rsidRPr="009C52C4">
        <w:rPr>
          <w:rFonts w:ascii="Times New Roman" w:hAnsi="Times New Roman" w:cs="Times New Roman"/>
          <w:sz w:val="24"/>
          <w:szCs w:val="24"/>
        </w:rPr>
        <w:t xml:space="preserve"> </w:t>
      </w:r>
      <w:r w:rsidR="0037119E" w:rsidRPr="009C52C4">
        <w:rPr>
          <w:rFonts w:ascii="Times New Roman" w:hAnsi="Times New Roman" w:cs="Times New Roman"/>
          <w:sz w:val="24"/>
          <w:szCs w:val="24"/>
        </w:rPr>
        <w:t xml:space="preserve">(u nastavku teksta: Direktiva 2009/28/EU) </w:t>
      </w:r>
      <w:r w:rsidR="00867D28" w:rsidRPr="009C52C4">
        <w:rPr>
          <w:rFonts w:ascii="Times New Roman" w:hAnsi="Times New Roman" w:cs="Times New Roman"/>
          <w:sz w:val="24"/>
          <w:szCs w:val="24"/>
        </w:rPr>
        <w:t>propisuje obvezu uvođenja mjera za povećanje udjela energije iz obnovljivih izvora energije za sve države članice EU.</w:t>
      </w:r>
    </w:p>
    <w:p w14:paraId="7C0A65B2" w14:textId="77777777" w:rsidR="001804D4" w:rsidRPr="009C52C4" w:rsidRDefault="001804D4" w:rsidP="001804D4">
      <w:pPr>
        <w:rPr>
          <w:rFonts w:ascii="Times New Roman" w:hAnsi="Times New Roman" w:cs="Times New Roman"/>
          <w:sz w:val="24"/>
          <w:szCs w:val="24"/>
        </w:rPr>
      </w:pPr>
    </w:p>
    <w:p w14:paraId="35EC551A" w14:textId="221E0E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Prema preuzetim obvezama iz </w:t>
      </w:r>
      <w:r w:rsidR="009D531D" w:rsidRPr="009C52C4">
        <w:rPr>
          <w:rFonts w:ascii="Times New Roman" w:hAnsi="Times New Roman" w:cs="Times New Roman"/>
          <w:sz w:val="24"/>
          <w:szCs w:val="24"/>
        </w:rPr>
        <w:t>Direktive 2012/27/EU</w:t>
      </w:r>
      <w:r w:rsidRPr="009C52C4">
        <w:rPr>
          <w:rFonts w:ascii="Times New Roman" w:hAnsi="Times New Roman" w:cs="Times New Roman"/>
          <w:sz w:val="24"/>
          <w:szCs w:val="24"/>
        </w:rPr>
        <w:t xml:space="preserve">, Republika Hrvatska bila je obavezna do </w:t>
      </w:r>
      <w:r w:rsidRPr="009C52C4">
        <w:rPr>
          <w:rFonts w:ascii="Times New Roman" w:hAnsi="Times New Roman" w:cs="Times New Roman"/>
          <w:color w:val="auto"/>
          <w:sz w:val="24"/>
          <w:szCs w:val="24"/>
        </w:rPr>
        <w:t xml:space="preserve">30. travnja 2014. godine </w:t>
      </w:r>
      <w:r w:rsidRPr="009C52C4">
        <w:rPr>
          <w:rFonts w:ascii="Times New Roman" w:hAnsi="Times New Roman" w:cs="Times New Roman"/>
          <w:sz w:val="24"/>
          <w:szCs w:val="24"/>
        </w:rPr>
        <w:t xml:space="preserve">dostaviti Europskoj komisiji </w:t>
      </w:r>
      <w:r w:rsidRPr="009C52C4">
        <w:rPr>
          <w:rFonts w:ascii="Times New Roman" w:hAnsi="Times New Roman" w:cs="Times New Roman"/>
          <w:i/>
          <w:sz w:val="24"/>
          <w:szCs w:val="24"/>
        </w:rPr>
        <w:t xml:space="preserve">Dugoročnu strategiju za poticanje ulaganja u obnovu nacionalnog fonda zgrada </w:t>
      </w:r>
      <w:r w:rsidR="00D11E23" w:rsidRPr="009C52C4">
        <w:rPr>
          <w:rFonts w:ascii="Times New Roman" w:hAnsi="Times New Roman" w:cs="Times New Roman"/>
          <w:i/>
          <w:sz w:val="24"/>
          <w:szCs w:val="24"/>
        </w:rPr>
        <w:t>Republike Hrvatske</w:t>
      </w:r>
      <w:r w:rsidR="00D11E23" w:rsidRPr="009C52C4">
        <w:rPr>
          <w:rFonts w:ascii="Times New Roman" w:hAnsi="Times New Roman" w:cs="Times New Roman"/>
          <w:sz w:val="24"/>
          <w:szCs w:val="24"/>
        </w:rPr>
        <w:t xml:space="preserve"> </w:t>
      </w:r>
      <w:r w:rsidRPr="009C52C4">
        <w:rPr>
          <w:rFonts w:ascii="Times New Roman" w:hAnsi="Times New Roman" w:cs="Times New Roman"/>
          <w:sz w:val="24"/>
          <w:szCs w:val="24"/>
        </w:rPr>
        <w:t>koja obuhvaća sljedeća područja:</w:t>
      </w:r>
    </w:p>
    <w:p w14:paraId="46898E9A" w14:textId="7B25AE83"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regled nacionalnog fonda zgrada</w:t>
      </w:r>
    </w:p>
    <w:p w14:paraId="263080B7" w14:textId="418DE20C"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regled građevinskih i energetskih karakteristika zgrada</w:t>
      </w:r>
    </w:p>
    <w:p w14:paraId="2DC6ACFF" w14:textId="6FA4D4B8"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a</w:t>
      </w:r>
      <w:r w:rsidR="001804D4" w:rsidRPr="009C52C4">
        <w:rPr>
          <w:rFonts w:ascii="Times New Roman" w:hAnsi="Times New Roman" w:cs="Times New Roman"/>
          <w:sz w:val="24"/>
          <w:szCs w:val="24"/>
        </w:rPr>
        <w:t>nalizu ključnih elemenata programa obnove zgrada</w:t>
      </w:r>
    </w:p>
    <w:p w14:paraId="39E7752C" w14:textId="21817DDF"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u</w:t>
      </w:r>
      <w:r w:rsidR="001804D4" w:rsidRPr="009C52C4">
        <w:rPr>
          <w:rFonts w:ascii="Times New Roman" w:hAnsi="Times New Roman" w:cs="Times New Roman"/>
          <w:sz w:val="24"/>
          <w:szCs w:val="24"/>
        </w:rPr>
        <w:t>tvrđivanje troškovno učinkovitog pristupa obnovi zgrada</w:t>
      </w:r>
    </w:p>
    <w:p w14:paraId="7F86FE35" w14:textId="7FC6A48E"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olitike i mjere za poticanje troškovno učinkovite integralne obnove nacionalnog fonda zgrada</w:t>
      </w:r>
    </w:p>
    <w:p w14:paraId="78D346AA" w14:textId="02A3E5E8"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d</w:t>
      </w:r>
      <w:r w:rsidR="001804D4" w:rsidRPr="009C52C4">
        <w:rPr>
          <w:rFonts w:ascii="Times New Roman" w:hAnsi="Times New Roman" w:cs="Times New Roman"/>
          <w:sz w:val="24"/>
          <w:szCs w:val="24"/>
        </w:rPr>
        <w:t>ugoročnu perspektivu za usmjeravanje odluka pojedinaca, građevinske industrije i financijskih institucija o ulaganjima do 2050. godine</w:t>
      </w:r>
    </w:p>
    <w:p w14:paraId="5C4ADB12" w14:textId="64B7B4BE" w:rsidR="001804D4" w:rsidRPr="009C52C4" w:rsidRDefault="008F5514" w:rsidP="004F09F1">
      <w:pPr>
        <w:numPr>
          <w:ilvl w:val="0"/>
          <w:numId w:val="24"/>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rocjenu očekivane uštede energije i širih koristi sustavnog ulaganja u integralnu obnovu nacionalnog fonda zgrada (otvaranje novih radnih mjesta, smanjenje energetskog siromaštva, porast vrijednosti nekretnina, i dr.)</w:t>
      </w:r>
    </w:p>
    <w:p w14:paraId="3EC3305C" w14:textId="77777777" w:rsidR="001804D4" w:rsidRPr="009C52C4" w:rsidRDefault="001804D4" w:rsidP="001804D4">
      <w:pPr>
        <w:rPr>
          <w:rFonts w:ascii="Times New Roman" w:hAnsi="Times New Roman" w:cs="Times New Roman"/>
          <w:sz w:val="24"/>
          <w:szCs w:val="24"/>
        </w:rPr>
      </w:pPr>
    </w:p>
    <w:p w14:paraId="612305B2" w14:textId="16F9E972" w:rsidR="001804D4" w:rsidRPr="009C52C4" w:rsidRDefault="00D11E23" w:rsidP="001804D4">
      <w:pPr>
        <w:rPr>
          <w:rFonts w:ascii="Times New Roman" w:hAnsi="Times New Roman" w:cs="Times New Roman"/>
          <w:sz w:val="24"/>
          <w:szCs w:val="24"/>
        </w:rPr>
      </w:pPr>
      <w:r w:rsidRPr="009C52C4">
        <w:rPr>
          <w:rFonts w:ascii="Times New Roman" w:hAnsi="Times New Roman" w:cs="Times New Roman"/>
          <w:sz w:val="24"/>
          <w:szCs w:val="24"/>
        </w:rPr>
        <w:t>Dugoročna strategija za poticanje ulaganja u obnovu nacionalnog fonda zgrada Republike Hrvatske</w:t>
      </w:r>
      <w:r w:rsidR="001804D4" w:rsidRPr="009C52C4">
        <w:rPr>
          <w:rFonts w:ascii="Times New Roman" w:hAnsi="Times New Roman" w:cs="Times New Roman"/>
          <w:sz w:val="24"/>
          <w:szCs w:val="24"/>
        </w:rPr>
        <w:t xml:space="preserve"> se ažurira svake tri godine i dostavlja Europskoj komisiji u sklopu Nacionalnih akcijskih planova za energetsku učinkovitost. </w:t>
      </w:r>
      <w:r w:rsidR="00AC084D" w:rsidRPr="009C52C4">
        <w:rPr>
          <w:rFonts w:ascii="Times New Roman" w:hAnsi="Times New Roman" w:cs="Times New Roman"/>
          <w:sz w:val="24"/>
          <w:szCs w:val="24"/>
        </w:rPr>
        <w:t xml:space="preserve">Revizija </w:t>
      </w:r>
      <w:r w:rsidRPr="009C52C4">
        <w:rPr>
          <w:rFonts w:ascii="Times New Roman" w:hAnsi="Times New Roman" w:cs="Times New Roman"/>
          <w:sz w:val="24"/>
          <w:szCs w:val="24"/>
        </w:rPr>
        <w:t>Dugoročne strategije za poticanje ulaganja u obnovu nacionalnog fonda zgrada Republike Hrvatske</w:t>
      </w:r>
      <w:r w:rsidR="001804D4" w:rsidRPr="009C52C4">
        <w:rPr>
          <w:rFonts w:ascii="Times New Roman" w:hAnsi="Times New Roman" w:cs="Times New Roman"/>
          <w:sz w:val="24"/>
          <w:szCs w:val="24"/>
        </w:rPr>
        <w:t xml:space="preserve"> </w:t>
      </w:r>
      <w:r w:rsidR="00AC084D" w:rsidRPr="009C52C4">
        <w:rPr>
          <w:rFonts w:ascii="Times New Roman" w:hAnsi="Times New Roman" w:cs="Times New Roman"/>
          <w:sz w:val="24"/>
          <w:szCs w:val="24"/>
        </w:rPr>
        <w:t>dostavit će</w:t>
      </w:r>
      <w:r w:rsidR="001804D4" w:rsidRPr="009C52C4">
        <w:rPr>
          <w:rFonts w:ascii="Times New Roman" w:hAnsi="Times New Roman" w:cs="Times New Roman"/>
          <w:sz w:val="24"/>
          <w:szCs w:val="24"/>
        </w:rPr>
        <w:t xml:space="preserve"> se Europskoj komisiji zajedno s</w:t>
      </w:r>
      <w:r w:rsidR="001375AE" w:rsidRPr="009C52C4">
        <w:rPr>
          <w:rFonts w:ascii="Times New Roman" w:hAnsi="Times New Roman" w:cs="Times New Roman"/>
          <w:sz w:val="24"/>
          <w:szCs w:val="24"/>
        </w:rPr>
        <w:t xml:space="preserve">a </w:t>
      </w:r>
      <w:r w:rsidR="001804D4" w:rsidRPr="009C52C4">
        <w:rPr>
          <w:rFonts w:ascii="Times New Roman" w:hAnsi="Times New Roman" w:cs="Times New Roman"/>
          <w:sz w:val="24"/>
          <w:szCs w:val="24"/>
        </w:rPr>
        <w:t xml:space="preserve"> </w:t>
      </w:r>
      <w:r w:rsidR="001375AE" w:rsidRPr="009C52C4">
        <w:rPr>
          <w:rFonts w:ascii="Times New Roman" w:hAnsi="Times New Roman" w:cs="Times New Roman"/>
          <w:sz w:val="24"/>
          <w:szCs w:val="24"/>
        </w:rPr>
        <w:t>Četvrtim</w:t>
      </w:r>
      <w:r w:rsidR="001804D4" w:rsidRPr="009C52C4">
        <w:rPr>
          <w:rFonts w:ascii="Times New Roman" w:hAnsi="Times New Roman" w:cs="Times New Roman"/>
          <w:sz w:val="24"/>
          <w:szCs w:val="24"/>
        </w:rPr>
        <w:t xml:space="preserve"> Nacionalnim akcijskim planom energetske učinkovitosti</w:t>
      </w:r>
      <w:r w:rsidR="00AD6F26" w:rsidRPr="009C52C4">
        <w:rPr>
          <w:rFonts w:ascii="Times New Roman" w:hAnsi="Times New Roman" w:cs="Times New Roman"/>
          <w:sz w:val="24"/>
          <w:szCs w:val="24"/>
        </w:rPr>
        <w:t xml:space="preserve"> Republike Hrvatske za razdoblje do kraja 2019</w:t>
      </w:r>
      <w:r w:rsidR="001804D4" w:rsidRPr="009C52C4">
        <w:rPr>
          <w:rFonts w:ascii="Times New Roman" w:hAnsi="Times New Roman" w:cs="Times New Roman"/>
          <w:sz w:val="24"/>
          <w:szCs w:val="24"/>
        </w:rPr>
        <w:t xml:space="preserve">, s </w:t>
      </w:r>
      <w:r w:rsidR="00555A05" w:rsidRPr="009C52C4">
        <w:rPr>
          <w:rFonts w:ascii="Times New Roman" w:hAnsi="Times New Roman" w:cs="Times New Roman"/>
          <w:sz w:val="24"/>
          <w:szCs w:val="24"/>
        </w:rPr>
        <w:t>kojim</w:t>
      </w:r>
      <w:r w:rsidR="001804D4" w:rsidRPr="009C52C4">
        <w:rPr>
          <w:rFonts w:ascii="Times New Roman" w:hAnsi="Times New Roman" w:cs="Times New Roman"/>
          <w:sz w:val="24"/>
          <w:szCs w:val="24"/>
        </w:rPr>
        <w:t xml:space="preserve"> je u potpunosti usklađena. Četvrti Nacionalni akcijski plan energetske učinkovitosti </w:t>
      </w:r>
      <w:bookmarkStart w:id="7" w:name="_Hlk3213312"/>
      <w:r w:rsidR="001804D4" w:rsidRPr="009C52C4">
        <w:rPr>
          <w:rFonts w:ascii="Times New Roman" w:hAnsi="Times New Roman" w:cs="Times New Roman"/>
          <w:sz w:val="24"/>
          <w:szCs w:val="24"/>
        </w:rPr>
        <w:t xml:space="preserve">Republike Hrvatske za razdoblje do kraja </w:t>
      </w:r>
      <w:r w:rsidR="001804D4" w:rsidRPr="009C52C4">
        <w:rPr>
          <w:rFonts w:ascii="Times New Roman" w:hAnsi="Times New Roman" w:cs="Times New Roman"/>
          <w:sz w:val="24"/>
          <w:szCs w:val="24"/>
        </w:rPr>
        <w:lastRenderedPageBreak/>
        <w:t>2019</w:t>
      </w:r>
      <w:bookmarkEnd w:id="7"/>
      <w:r w:rsidR="001804D4" w:rsidRPr="009C52C4">
        <w:rPr>
          <w:rFonts w:ascii="Times New Roman" w:hAnsi="Times New Roman" w:cs="Times New Roman"/>
          <w:sz w:val="24"/>
          <w:szCs w:val="24"/>
        </w:rPr>
        <w:t xml:space="preserve">. </w:t>
      </w:r>
      <w:r w:rsidR="00124387" w:rsidRPr="009C52C4">
        <w:rPr>
          <w:rFonts w:ascii="Times New Roman" w:hAnsi="Times New Roman" w:cs="Times New Roman"/>
          <w:sz w:val="24"/>
          <w:szCs w:val="24"/>
        </w:rPr>
        <w:t>d</w:t>
      </w:r>
      <w:r w:rsidR="001804D4" w:rsidRPr="009C52C4">
        <w:rPr>
          <w:rFonts w:ascii="Times New Roman" w:hAnsi="Times New Roman" w:cs="Times New Roman"/>
          <w:sz w:val="24"/>
          <w:szCs w:val="24"/>
        </w:rPr>
        <w:t>onosi se na temelju članka 8. Zakona o energetskoj učinkovitosti</w:t>
      </w:r>
      <w:r w:rsidR="0096324F" w:rsidRPr="009C52C4">
        <w:rPr>
          <w:rFonts w:ascii="Times New Roman" w:hAnsi="Times New Roman" w:cs="Times New Roman"/>
          <w:sz w:val="24"/>
          <w:szCs w:val="24"/>
        </w:rPr>
        <w:t xml:space="preserve"> </w:t>
      </w:r>
      <w:r w:rsidR="00CA3846" w:rsidRPr="009C52C4">
        <w:rPr>
          <w:rFonts w:ascii="Times New Roman" w:hAnsi="Times New Roman" w:cs="Times New Roman"/>
          <w:sz w:val="24"/>
          <w:szCs w:val="24"/>
        </w:rPr>
        <w:t>(</w:t>
      </w:r>
      <w:r w:rsidR="0096324F" w:rsidRPr="009C52C4">
        <w:rPr>
          <w:rFonts w:ascii="Times New Roman" w:hAnsi="Times New Roman" w:cs="Times New Roman"/>
          <w:sz w:val="24"/>
          <w:szCs w:val="24"/>
        </w:rPr>
        <w:t>NN 127/14</w:t>
      </w:r>
      <w:r w:rsidR="00CA3846" w:rsidRPr="009C52C4">
        <w:rPr>
          <w:rFonts w:ascii="Times New Roman" w:hAnsi="Times New Roman" w:cs="Times New Roman"/>
          <w:sz w:val="24"/>
          <w:szCs w:val="24"/>
        </w:rPr>
        <w:t>)</w:t>
      </w:r>
      <w:r w:rsidR="001804D4" w:rsidRPr="009C52C4">
        <w:rPr>
          <w:rFonts w:ascii="Times New Roman" w:hAnsi="Times New Roman" w:cs="Times New Roman"/>
          <w:sz w:val="24"/>
          <w:szCs w:val="24"/>
        </w:rPr>
        <w:t>, a prema zahtjevima Direktive 2012/27/EU</w:t>
      </w:r>
      <w:r w:rsidR="00B03FC7" w:rsidRPr="009C52C4">
        <w:rPr>
          <w:rFonts w:ascii="Times New Roman" w:hAnsi="Times New Roman" w:cs="Times New Roman"/>
          <w:sz w:val="24"/>
          <w:szCs w:val="24"/>
        </w:rPr>
        <w:t xml:space="preserve"> </w:t>
      </w:r>
      <w:r w:rsidR="001804D4" w:rsidRPr="009C52C4">
        <w:rPr>
          <w:rFonts w:ascii="Times New Roman" w:hAnsi="Times New Roman" w:cs="Times New Roman"/>
          <w:sz w:val="24"/>
          <w:szCs w:val="24"/>
        </w:rPr>
        <w:t xml:space="preserve">kojim se od država članica Europske unije (EU) zahtijeva da svake tri godine izrade i predaju Europskoj komisiji (EK) planove koji sadrže mjere čijom će se provedbom ostvariti zacrtani ciljevi ušteda energije u neposrednoj potrošnji do </w:t>
      </w:r>
      <w:r w:rsidR="008F5514" w:rsidRPr="009C52C4">
        <w:rPr>
          <w:rFonts w:ascii="Times New Roman" w:hAnsi="Times New Roman" w:cs="Times New Roman"/>
          <w:sz w:val="24"/>
          <w:szCs w:val="24"/>
        </w:rPr>
        <w:t xml:space="preserve">kraja </w:t>
      </w:r>
      <w:r w:rsidR="001804D4" w:rsidRPr="009C52C4">
        <w:rPr>
          <w:rFonts w:ascii="Times New Roman" w:hAnsi="Times New Roman" w:cs="Times New Roman"/>
          <w:sz w:val="24"/>
          <w:szCs w:val="24"/>
        </w:rPr>
        <w:t xml:space="preserve">2019. godine. </w:t>
      </w:r>
      <w:r w:rsidR="008F5514" w:rsidRPr="009C52C4">
        <w:rPr>
          <w:rFonts w:ascii="Times New Roman" w:hAnsi="Times New Roman" w:cs="Times New Roman"/>
          <w:sz w:val="24"/>
          <w:szCs w:val="24"/>
        </w:rPr>
        <w:t>Četvrti Nacionalni akcijski plan energetske učinkovitosti Republike Hrvatske za razdoblje do kraja 2019.</w:t>
      </w:r>
      <w:r w:rsidR="001804D4" w:rsidRPr="009C52C4">
        <w:rPr>
          <w:rFonts w:ascii="Times New Roman" w:hAnsi="Times New Roman" w:cs="Times New Roman"/>
          <w:sz w:val="24"/>
          <w:szCs w:val="24"/>
        </w:rPr>
        <w:t xml:space="preserve"> daje naglasak na izradu i provedbu detaljnih i sveobuhvatnih nacionalnih programa cjelovitih obnova stambenih i nestambenih zgrada, čime se do</w:t>
      </w:r>
      <w:r w:rsidR="008F5514" w:rsidRPr="009C52C4">
        <w:rPr>
          <w:rFonts w:ascii="Times New Roman" w:hAnsi="Times New Roman" w:cs="Times New Roman"/>
          <w:sz w:val="24"/>
          <w:szCs w:val="24"/>
        </w:rPr>
        <w:t xml:space="preserve"> kraja</w:t>
      </w:r>
      <w:r w:rsidR="001804D4" w:rsidRPr="009C52C4">
        <w:rPr>
          <w:rFonts w:ascii="Times New Roman" w:hAnsi="Times New Roman" w:cs="Times New Roman"/>
          <w:sz w:val="24"/>
          <w:szCs w:val="24"/>
        </w:rPr>
        <w:t xml:space="preserve"> 2019. godine mogu ostvariti uštede u iznosu 18,0 PJ.</w:t>
      </w:r>
    </w:p>
    <w:p w14:paraId="179E7A6C" w14:textId="77777777" w:rsidR="001804D4" w:rsidRPr="009C52C4" w:rsidRDefault="001804D4" w:rsidP="001804D4">
      <w:pPr>
        <w:rPr>
          <w:rFonts w:ascii="Times New Roman" w:hAnsi="Times New Roman" w:cs="Times New Roman"/>
          <w:sz w:val="24"/>
          <w:szCs w:val="24"/>
        </w:rPr>
      </w:pPr>
    </w:p>
    <w:p w14:paraId="35CB4545" w14:textId="52B11F1B"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Iako je glavni cilj </w:t>
      </w:r>
      <w:r w:rsidR="009D531D" w:rsidRPr="009C52C4">
        <w:rPr>
          <w:rFonts w:ascii="Times New Roman" w:hAnsi="Times New Roman" w:cs="Times New Roman"/>
          <w:sz w:val="24"/>
          <w:szCs w:val="24"/>
        </w:rPr>
        <w:t>Direktive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ostvariti 20% uštede energije do 2020. godine,</w:t>
      </w:r>
      <w:r w:rsidR="008F5514" w:rsidRPr="009C52C4">
        <w:rPr>
          <w:rFonts w:ascii="Times New Roman" w:hAnsi="Times New Roman" w:cs="Times New Roman"/>
          <w:sz w:val="24"/>
          <w:szCs w:val="24"/>
        </w:rPr>
        <w:t xml:space="preserve"> </w:t>
      </w:r>
      <w:r w:rsidRPr="009C52C4">
        <w:rPr>
          <w:rFonts w:ascii="Times New Roman" w:hAnsi="Times New Roman" w:cs="Times New Roman"/>
          <w:sz w:val="24"/>
          <w:szCs w:val="24"/>
        </w:rPr>
        <w:t>članak</w:t>
      </w:r>
      <w:r w:rsidR="008F5514" w:rsidRPr="009C52C4">
        <w:rPr>
          <w:rFonts w:ascii="Times New Roman" w:hAnsi="Times New Roman" w:cs="Times New Roman"/>
          <w:sz w:val="24"/>
          <w:szCs w:val="24"/>
        </w:rPr>
        <w:t xml:space="preserve"> 1.</w:t>
      </w:r>
      <w:r w:rsidRPr="009C52C4">
        <w:rPr>
          <w:rFonts w:ascii="Times New Roman" w:hAnsi="Times New Roman" w:cs="Times New Roman"/>
          <w:sz w:val="24"/>
          <w:szCs w:val="24"/>
        </w:rPr>
        <w:t xml:space="preserve"> propisuje da direktiva treba „otvoriti put za daljnje poboljšanje energetske učinkovitosti i nakon 2020. godine“. Navedeno će se ostvariti na temelju </w:t>
      </w:r>
      <w:r w:rsidR="002F4C8D" w:rsidRPr="009C52C4">
        <w:rPr>
          <w:rFonts w:ascii="Times New Roman" w:hAnsi="Times New Roman" w:cs="Times New Roman"/>
          <w:sz w:val="24"/>
          <w:szCs w:val="24"/>
        </w:rPr>
        <w:t>Prijedloga Direktive Europskog parlamenta i Vijeća o izmjeni Direktive 2010/31/EU o energetskim svojstvima zgrada (Tekst značajan za EGP)</w:t>
      </w:r>
      <w:r w:rsidRPr="009C52C4">
        <w:rPr>
          <w:rFonts w:ascii="Times New Roman" w:hAnsi="Times New Roman" w:cs="Times New Roman"/>
          <w:sz w:val="24"/>
          <w:szCs w:val="24"/>
        </w:rPr>
        <w:t xml:space="preserve"> u smislu uštede energije od najmanje 27% imajući na umu krovni cilj od 30% ušteda energije na razini EU. Korak dalje ide članak 4. koji obvezuje države članice EU na izradu dugoročnih strategija za poticanje ulaganja u obnovu nacionalnog fonda zgrada u cilju ostvarenja punog potencijala energetskih i financijskih ušteda. Glavni cilj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je dati smjernice za dobro planiran, realan i ambiciozan pristup obnovi nacionalnog fonda zgrada do 2050. godine koji će obuhvatiti stambeni i nestambeni nacionalni fond zgrada. Vrlo je važno naći poticajne mjere za ulaganje u obnovu postojećih zgrada jer su upravo one pojedinačni sektor s najvećim potencijalom za uštedu svih tipova energije te posljedično tome od ključne važnosti za smanjenje emisija stakleničkih plinova u Europskoj uniji za 80-95 % do 2050. godine u usporedbi s 1990. godinom. </w:t>
      </w:r>
    </w:p>
    <w:p w14:paraId="522D3F35" w14:textId="77777777" w:rsidR="001804D4" w:rsidRPr="009C52C4" w:rsidRDefault="001804D4" w:rsidP="001804D4">
      <w:pPr>
        <w:rPr>
          <w:rFonts w:ascii="Times New Roman" w:hAnsi="Times New Roman" w:cs="Times New Roman"/>
          <w:sz w:val="24"/>
          <w:szCs w:val="24"/>
        </w:rPr>
      </w:pPr>
    </w:p>
    <w:p w14:paraId="2CDEB79C"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U svom metodološkom i terminološkom dijelu </w:t>
      </w:r>
      <w:r w:rsidR="00D11E23" w:rsidRPr="009C52C4">
        <w:rPr>
          <w:rFonts w:ascii="Times New Roman" w:hAnsi="Times New Roman" w:cs="Times New Roman"/>
          <w:sz w:val="24"/>
          <w:szCs w:val="24"/>
        </w:rPr>
        <w:t>Dugoročna strategija za poticanje ulaganja u obnovu nacionalnog fonda zgrada Republike Hrvatske</w:t>
      </w:r>
      <w:r w:rsidRPr="009C52C4">
        <w:rPr>
          <w:rFonts w:ascii="Times New Roman" w:hAnsi="Times New Roman" w:cs="Times New Roman"/>
          <w:sz w:val="24"/>
          <w:szCs w:val="24"/>
        </w:rPr>
        <w:t xml:space="preserve"> je u potpunosti usuglašena sa sljedećim važećim do</w:t>
      </w:r>
      <w:r w:rsidR="00555A05" w:rsidRPr="009C52C4">
        <w:rPr>
          <w:rFonts w:ascii="Times New Roman" w:hAnsi="Times New Roman" w:cs="Times New Roman"/>
          <w:sz w:val="24"/>
          <w:szCs w:val="24"/>
        </w:rPr>
        <w:t xml:space="preserve">kumentima </w:t>
      </w:r>
      <w:r w:rsidRPr="009C52C4">
        <w:rPr>
          <w:rFonts w:ascii="Times New Roman" w:hAnsi="Times New Roman" w:cs="Times New Roman"/>
          <w:sz w:val="24"/>
          <w:szCs w:val="24"/>
        </w:rPr>
        <w:t>na nacionalnoj razini:</w:t>
      </w:r>
    </w:p>
    <w:p w14:paraId="7736AFF7" w14:textId="77777777"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Nacionalnim planom za povećanje zgrada gotovo nulte energije do 2020. godine</w:t>
      </w:r>
      <w:r w:rsidRPr="009C52C4">
        <w:rPr>
          <w:rFonts w:ascii="Times New Roman" w:hAnsi="Times New Roman" w:cs="Times New Roman"/>
          <w:sz w:val="24"/>
          <w:szCs w:val="24"/>
          <w:vertAlign w:val="superscript"/>
        </w:rPr>
        <w:footnoteReference w:id="7"/>
      </w:r>
    </w:p>
    <w:p w14:paraId="08097DD6" w14:textId="3159152B"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Nacionalnim programom energetske učinkovitosti za razdoblje 2008.-2016. godine</w:t>
      </w:r>
      <w:r w:rsidRPr="009C52C4">
        <w:rPr>
          <w:rFonts w:ascii="Times New Roman" w:hAnsi="Times New Roman" w:cs="Times New Roman"/>
          <w:sz w:val="24"/>
          <w:szCs w:val="24"/>
          <w:vertAlign w:val="superscript"/>
        </w:rPr>
        <w:footnoteReference w:id="8"/>
      </w:r>
    </w:p>
    <w:p w14:paraId="6F2D2BD1" w14:textId="68160F62"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 xml:space="preserve">Drugim Nacionalnim akcijskim planom energetske učinkovitosti za razdoblje </w:t>
      </w:r>
      <w:r w:rsidR="00B9270C" w:rsidRPr="009C52C4">
        <w:rPr>
          <w:rFonts w:ascii="Times New Roman" w:hAnsi="Times New Roman" w:cs="Times New Roman"/>
          <w:sz w:val="24"/>
          <w:szCs w:val="24"/>
        </w:rPr>
        <w:t xml:space="preserve">do kraja </w:t>
      </w:r>
      <w:r w:rsidRPr="009C52C4">
        <w:rPr>
          <w:rFonts w:ascii="Times New Roman" w:hAnsi="Times New Roman" w:cs="Times New Roman"/>
          <w:sz w:val="24"/>
          <w:szCs w:val="24"/>
        </w:rPr>
        <w:t>2013.</w:t>
      </w:r>
      <w:r w:rsidRPr="009C52C4">
        <w:rPr>
          <w:rFonts w:ascii="Times New Roman" w:hAnsi="Times New Roman" w:cs="Times New Roman"/>
          <w:sz w:val="24"/>
          <w:szCs w:val="24"/>
          <w:vertAlign w:val="superscript"/>
        </w:rPr>
        <w:footnoteReference w:id="9"/>
      </w:r>
      <w:r w:rsidRPr="009C52C4">
        <w:rPr>
          <w:rFonts w:ascii="Times New Roman" w:hAnsi="Times New Roman" w:cs="Times New Roman"/>
          <w:sz w:val="24"/>
          <w:szCs w:val="24"/>
        </w:rPr>
        <w:t xml:space="preserve"> </w:t>
      </w:r>
    </w:p>
    <w:p w14:paraId="32F6F028" w14:textId="1A2066D7"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Trećim Nacionalnim akcijskim planom energetske učinkovitosti za razdoblje 2014.-2016. godine</w:t>
      </w:r>
      <w:r w:rsidRPr="009C52C4">
        <w:rPr>
          <w:rFonts w:ascii="Times New Roman" w:hAnsi="Times New Roman" w:cs="Times New Roman"/>
          <w:sz w:val="24"/>
          <w:szCs w:val="24"/>
          <w:vertAlign w:val="superscript"/>
        </w:rPr>
        <w:footnoteReference w:id="10"/>
      </w:r>
    </w:p>
    <w:p w14:paraId="4667F27E" w14:textId="09158873"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Četvrt</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Nacionaln</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akcijsk</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plan</w:t>
      </w:r>
      <w:r w:rsidR="00555A05" w:rsidRPr="009C52C4">
        <w:rPr>
          <w:rFonts w:ascii="Times New Roman" w:hAnsi="Times New Roman" w:cs="Times New Roman"/>
          <w:sz w:val="24"/>
          <w:szCs w:val="24"/>
        </w:rPr>
        <w:t>om</w:t>
      </w:r>
      <w:r w:rsidRPr="009C52C4">
        <w:rPr>
          <w:rFonts w:ascii="Times New Roman" w:hAnsi="Times New Roman" w:cs="Times New Roman"/>
          <w:sz w:val="24"/>
          <w:szCs w:val="24"/>
        </w:rPr>
        <w:t xml:space="preserve"> energetske učinkovitosti za razdoblje </w:t>
      </w:r>
      <w:r w:rsidR="00124387" w:rsidRPr="009C52C4">
        <w:rPr>
          <w:rFonts w:ascii="Times New Roman" w:hAnsi="Times New Roman" w:cs="Times New Roman"/>
          <w:sz w:val="24"/>
          <w:szCs w:val="24"/>
        </w:rPr>
        <w:t xml:space="preserve">do kraja </w:t>
      </w:r>
      <w:r w:rsidRPr="009C52C4">
        <w:rPr>
          <w:rFonts w:ascii="Times New Roman" w:hAnsi="Times New Roman" w:cs="Times New Roman"/>
          <w:sz w:val="24"/>
          <w:szCs w:val="24"/>
        </w:rPr>
        <w:t xml:space="preserve">2019. </w:t>
      </w:r>
      <w:r w:rsidR="00C02DAF" w:rsidRPr="009C52C4">
        <w:rPr>
          <w:rFonts w:ascii="Times New Roman" w:hAnsi="Times New Roman" w:cs="Times New Roman"/>
          <w:sz w:val="24"/>
          <w:szCs w:val="24"/>
          <w:vertAlign w:val="superscript"/>
        </w:rPr>
        <w:t>3</w:t>
      </w:r>
    </w:p>
    <w:p w14:paraId="1CCE9BF3" w14:textId="63E952AC"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Programom energetske obnove obiteljskih kuća za razdoblje od 2014. do 2020. godine s detaljnim planom za razdoblje od 2014. do 2016. godine</w:t>
      </w:r>
      <w:r w:rsidRPr="009C52C4">
        <w:rPr>
          <w:rFonts w:ascii="Times New Roman" w:hAnsi="Times New Roman" w:cs="Times New Roman"/>
          <w:sz w:val="24"/>
          <w:szCs w:val="24"/>
          <w:vertAlign w:val="superscript"/>
        </w:rPr>
        <w:footnoteReference w:id="11"/>
      </w:r>
    </w:p>
    <w:p w14:paraId="3D417A64" w14:textId="77777777"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lastRenderedPageBreak/>
        <w:t>Programom energetske obnove višestambenih zgrada za razdoblje od 2014. do 2020. godine s detaljnim planom za razdoblje od 2014. do 2016. godine</w:t>
      </w:r>
      <w:r w:rsidRPr="009C52C4">
        <w:rPr>
          <w:rFonts w:ascii="Times New Roman" w:hAnsi="Times New Roman" w:cs="Times New Roman"/>
          <w:sz w:val="24"/>
          <w:szCs w:val="24"/>
          <w:vertAlign w:val="superscript"/>
        </w:rPr>
        <w:footnoteReference w:id="12"/>
      </w:r>
    </w:p>
    <w:p w14:paraId="14012240" w14:textId="023C71E0"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 xml:space="preserve">Programom energetske obnove komercijalnih </w:t>
      </w:r>
      <w:r w:rsidR="00702C7F" w:rsidRPr="009C52C4">
        <w:rPr>
          <w:rFonts w:ascii="Times New Roman" w:hAnsi="Times New Roman" w:cs="Times New Roman"/>
          <w:sz w:val="24"/>
          <w:szCs w:val="24"/>
        </w:rPr>
        <w:t xml:space="preserve">nestambenih zgrada za razdoblje 2014. do 2020. </w:t>
      </w:r>
      <w:r w:rsidRPr="009C52C4">
        <w:rPr>
          <w:rFonts w:ascii="Times New Roman" w:hAnsi="Times New Roman" w:cs="Times New Roman"/>
          <w:sz w:val="24"/>
          <w:szCs w:val="24"/>
        </w:rPr>
        <w:t xml:space="preserve">godine s detaljnim planom energetske obnove komercijalnih </w:t>
      </w:r>
      <w:r w:rsidR="00702C7F" w:rsidRPr="009C52C4">
        <w:rPr>
          <w:rFonts w:ascii="Times New Roman" w:hAnsi="Times New Roman" w:cs="Times New Roman"/>
          <w:sz w:val="24"/>
          <w:szCs w:val="24"/>
        </w:rPr>
        <w:t xml:space="preserve">nestambenih </w:t>
      </w:r>
      <w:r w:rsidRPr="009C52C4">
        <w:rPr>
          <w:rFonts w:ascii="Times New Roman" w:hAnsi="Times New Roman" w:cs="Times New Roman"/>
          <w:sz w:val="24"/>
          <w:szCs w:val="24"/>
        </w:rPr>
        <w:t>zgrada za razdoblje 201</w:t>
      </w:r>
      <w:r w:rsidR="00702C7F" w:rsidRPr="009C52C4">
        <w:rPr>
          <w:rFonts w:ascii="Times New Roman" w:hAnsi="Times New Roman" w:cs="Times New Roman"/>
          <w:sz w:val="24"/>
          <w:szCs w:val="24"/>
        </w:rPr>
        <w:t>4</w:t>
      </w:r>
      <w:r w:rsidRPr="009C52C4">
        <w:rPr>
          <w:rFonts w:ascii="Times New Roman" w:hAnsi="Times New Roman" w:cs="Times New Roman"/>
          <w:sz w:val="24"/>
          <w:szCs w:val="24"/>
        </w:rPr>
        <w:t>.-2016.</w:t>
      </w:r>
      <w:r w:rsidRPr="009C52C4">
        <w:rPr>
          <w:rFonts w:ascii="Times New Roman" w:hAnsi="Times New Roman" w:cs="Times New Roman"/>
          <w:sz w:val="24"/>
          <w:szCs w:val="24"/>
          <w:vertAlign w:val="superscript"/>
        </w:rPr>
        <w:footnoteReference w:id="13"/>
      </w:r>
    </w:p>
    <w:p w14:paraId="0A8BB583" w14:textId="77777777"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Programom energetske obnove zgrada javnog sektora za razdoblje od 2014. do 2015. godine</w:t>
      </w:r>
      <w:r w:rsidRPr="009C52C4">
        <w:rPr>
          <w:rFonts w:ascii="Times New Roman" w:hAnsi="Times New Roman" w:cs="Times New Roman"/>
          <w:sz w:val="24"/>
          <w:szCs w:val="24"/>
          <w:vertAlign w:val="superscript"/>
        </w:rPr>
        <w:footnoteReference w:id="14"/>
      </w:r>
    </w:p>
    <w:p w14:paraId="2CBF2846" w14:textId="77777777" w:rsidR="001804D4" w:rsidRPr="009C52C4" w:rsidRDefault="001804D4" w:rsidP="004F09F1">
      <w:pPr>
        <w:numPr>
          <w:ilvl w:val="0"/>
          <w:numId w:val="23"/>
        </w:numPr>
        <w:ind w:hanging="359"/>
        <w:rPr>
          <w:rFonts w:ascii="Times New Roman" w:hAnsi="Times New Roman" w:cs="Times New Roman"/>
          <w:sz w:val="24"/>
          <w:szCs w:val="24"/>
        </w:rPr>
      </w:pPr>
      <w:r w:rsidRPr="009C52C4">
        <w:rPr>
          <w:rFonts w:ascii="Times New Roman" w:hAnsi="Times New Roman" w:cs="Times New Roman"/>
          <w:sz w:val="24"/>
          <w:szCs w:val="24"/>
        </w:rPr>
        <w:t>Program energetske obnove zgrada javnog sektora za razdoblje 2016. – 2020.</w:t>
      </w:r>
      <w:r w:rsidRPr="009C52C4">
        <w:rPr>
          <w:rFonts w:ascii="Times New Roman" w:hAnsi="Times New Roman" w:cs="Times New Roman"/>
          <w:sz w:val="24"/>
          <w:szCs w:val="24"/>
          <w:vertAlign w:val="superscript"/>
        </w:rPr>
        <w:footnoteReference w:id="15"/>
      </w:r>
    </w:p>
    <w:p w14:paraId="3C78DC6C" w14:textId="77777777" w:rsidR="001804D4" w:rsidRPr="009C52C4" w:rsidRDefault="001804D4" w:rsidP="001804D4">
      <w:pPr>
        <w:rPr>
          <w:rFonts w:ascii="Times New Roman" w:hAnsi="Times New Roman" w:cs="Times New Roman"/>
          <w:sz w:val="24"/>
          <w:szCs w:val="24"/>
        </w:rPr>
      </w:pPr>
    </w:p>
    <w:p w14:paraId="03ACF0A8"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U skladu s preporukama Europske komisije, izrada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je bazirana na sljedećim odrednicama:</w:t>
      </w:r>
    </w:p>
    <w:p w14:paraId="1C991335" w14:textId="45625A92" w:rsidR="001804D4" w:rsidRPr="009C52C4" w:rsidRDefault="008F5514" w:rsidP="004F09F1">
      <w:pPr>
        <w:numPr>
          <w:ilvl w:val="0"/>
          <w:numId w:val="21"/>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 xml:space="preserve">ostaviti dugoročne ciljeve za obnovu nacionalnog fonda zgrada na vrlo visoku razinu – minimalno 80% smanjenje </w:t>
      </w:r>
      <w:r w:rsidR="001804D4" w:rsidRPr="009C52C4">
        <w:rPr>
          <w:rFonts w:ascii="Times New Roman" w:hAnsi="Times New Roman" w:cs="Times New Roman"/>
          <w:color w:val="auto"/>
          <w:sz w:val="24"/>
          <w:szCs w:val="24"/>
        </w:rPr>
        <w:t xml:space="preserve">emisija stakleničkih plinova </w:t>
      </w:r>
      <w:r w:rsidR="001804D4" w:rsidRPr="009C52C4">
        <w:rPr>
          <w:rFonts w:ascii="Times New Roman" w:hAnsi="Times New Roman" w:cs="Times New Roman"/>
          <w:sz w:val="24"/>
          <w:szCs w:val="24"/>
        </w:rPr>
        <w:t>do 2050. godin</w:t>
      </w:r>
      <w:r w:rsidR="000B5376" w:rsidRPr="009C52C4">
        <w:rPr>
          <w:rFonts w:ascii="Times New Roman" w:hAnsi="Times New Roman" w:cs="Times New Roman"/>
          <w:sz w:val="24"/>
          <w:szCs w:val="24"/>
        </w:rPr>
        <w:t>e</w:t>
      </w:r>
    </w:p>
    <w:p w14:paraId="3782983E" w14:textId="69396948" w:rsidR="001804D4" w:rsidRPr="009C52C4" w:rsidRDefault="008F5514" w:rsidP="004F09F1">
      <w:pPr>
        <w:numPr>
          <w:ilvl w:val="0"/>
          <w:numId w:val="21"/>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d</w:t>
      </w:r>
      <w:r w:rsidR="001804D4" w:rsidRPr="009C52C4">
        <w:rPr>
          <w:rFonts w:ascii="Times New Roman" w:hAnsi="Times New Roman" w:cs="Times New Roman"/>
          <w:sz w:val="24"/>
          <w:szCs w:val="24"/>
        </w:rPr>
        <w:t>ati pregled nacionalnog fonda zgrada koji će obuhvatiti sve zgrade u Hrvatskoj</w:t>
      </w:r>
    </w:p>
    <w:p w14:paraId="28176103" w14:textId="5A88CB9E" w:rsidR="001804D4" w:rsidRPr="009C52C4" w:rsidRDefault="008F5514" w:rsidP="004F09F1">
      <w:pPr>
        <w:numPr>
          <w:ilvl w:val="0"/>
          <w:numId w:val="22"/>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redložiti jasne i provedive financijske modele za obnovu nacionalnog fonda zgrada do 2050. godine</w:t>
      </w:r>
    </w:p>
    <w:p w14:paraId="23F16571" w14:textId="4CF84BC8" w:rsidR="001804D4" w:rsidRPr="009C52C4" w:rsidRDefault="008F5514" w:rsidP="004F09F1">
      <w:pPr>
        <w:numPr>
          <w:ilvl w:val="0"/>
          <w:numId w:val="22"/>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rocijeniti utjecaj predloženih politika i mjera na nacionalni gospodarski razvitak</w:t>
      </w:r>
    </w:p>
    <w:p w14:paraId="7ECD601C" w14:textId="6C801A42" w:rsidR="001804D4" w:rsidRPr="009C52C4" w:rsidRDefault="008F5514" w:rsidP="004F09F1">
      <w:pPr>
        <w:numPr>
          <w:ilvl w:val="0"/>
          <w:numId w:val="22"/>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rocijeniti očekivane uštede energije u nacionalnom fondu zgrada u cilju boljeg planiranja i praćena postignutih rezultata u fazi implementacije Strategije</w:t>
      </w:r>
    </w:p>
    <w:p w14:paraId="27ED1DFD" w14:textId="097C57AE" w:rsidR="001804D4" w:rsidRPr="009C52C4" w:rsidRDefault="008F5514" w:rsidP="004F09F1">
      <w:pPr>
        <w:numPr>
          <w:ilvl w:val="0"/>
          <w:numId w:val="22"/>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p</w:t>
      </w:r>
      <w:r w:rsidR="001804D4" w:rsidRPr="009C52C4">
        <w:rPr>
          <w:rFonts w:ascii="Times New Roman" w:hAnsi="Times New Roman" w:cs="Times New Roman"/>
          <w:sz w:val="24"/>
          <w:szCs w:val="24"/>
        </w:rPr>
        <w:t>redložiti nove mehanizme za dugoročno financiranje te planove i perspektive koji će osigurati stabilnu investicijsku klimu svih sudionika na tržištu</w:t>
      </w:r>
    </w:p>
    <w:p w14:paraId="4EA44AA7" w14:textId="77777777" w:rsidR="001804D4" w:rsidRPr="009C52C4" w:rsidRDefault="001804D4" w:rsidP="001804D4">
      <w:pPr>
        <w:ind w:left="720"/>
        <w:jc w:val="left"/>
        <w:rPr>
          <w:rFonts w:ascii="Times New Roman" w:hAnsi="Times New Roman" w:cs="Times New Roman"/>
          <w:sz w:val="24"/>
          <w:szCs w:val="24"/>
        </w:rPr>
      </w:pPr>
    </w:p>
    <w:p w14:paraId="0FD0B70C"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b/>
          <w:sz w:val="24"/>
          <w:szCs w:val="24"/>
        </w:rPr>
        <w:br w:type="page"/>
      </w:r>
    </w:p>
    <w:p w14:paraId="550AFAAF" w14:textId="77777777" w:rsidR="00B122B4" w:rsidRPr="009C52C4" w:rsidRDefault="00F54CC3" w:rsidP="004F09F1">
      <w:pPr>
        <w:pStyle w:val="Heading1"/>
        <w:numPr>
          <w:ilvl w:val="0"/>
          <w:numId w:val="25"/>
        </w:numPr>
        <w:ind w:hanging="359"/>
        <w:rPr>
          <w:rFonts w:ascii="Times New Roman" w:hAnsi="Times New Roman" w:cs="Times New Roman"/>
          <w:sz w:val="24"/>
          <w:szCs w:val="24"/>
        </w:rPr>
      </w:pPr>
      <w:bookmarkStart w:id="8" w:name="_Toc3277896"/>
      <w:r w:rsidRPr="009C52C4">
        <w:rPr>
          <w:rFonts w:ascii="Times New Roman" w:hAnsi="Times New Roman" w:cs="Times New Roman"/>
          <w:sz w:val="24"/>
          <w:szCs w:val="24"/>
        </w:rPr>
        <w:lastRenderedPageBreak/>
        <w:t>Pregled nacionalnog fonda zgrada Republike Hrvatske</w:t>
      </w:r>
      <w:bookmarkEnd w:id="8"/>
    </w:p>
    <w:p w14:paraId="213FF5AD"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9" w:name="h.2et92p0" w:colFirst="0" w:colLast="0"/>
      <w:bookmarkStart w:id="10" w:name="_Toc3277897"/>
      <w:bookmarkEnd w:id="9"/>
      <w:r w:rsidRPr="009C52C4">
        <w:rPr>
          <w:rFonts w:ascii="Times New Roman" w:hAnsi="Times New Roman" w:cs="Times New Roman"/>
          <w:sz w:val="24"/>
          <w:szCs w:val="24"/>
        </w:rPr>
        <w:t>Kategorije nacionalnog fonda zgrada prema namjeni</w:t>
      </w:r>
      <w:bookmarkEnd w:id="10"/>
    </w:p>
    <w:p w14:paraId="2DC0A91E" w14:textId="77777777" w:rsidR="00B122B4" w:rsidRPr="009C52C4" w:rsidRDefault="00B122B4">
      <w:pPr>
        <w:rPr>
          <w:rFonts w:ascii="Times New Roman" w:hAnsi="Times New Roman" w:cs="Times New Roman"/>
          <w:sz w:val="24"/>
          <w:szCs w:val="24"/>
        </w:rPr>
      </w:pPr>
    </w:p>
    <w:p w14:paraId="5324B160" w14:textId="6FD9378E"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U cilju usuglašenosti sa strateškim dokumentima i programima energetske obnove zgrada za razdoblje 2013-2020. godine</w:t>
      </w:r>
      <w:r w:rsidRPr="009C52C4">
        <w:rPr>
          <w:rFonts w:ascii="Times New Roman" w:hAnsi="Times New Roman" w:cs="Times New Roman"/>
          <w:sz w:val="24"/>
          <w:szCs w:val="24"/>
          <w:vertAlign w:val="superscript"/>
        </w:rPr>
        <w:footnoteReference w:id="16"/>
      </w:r>
      <w:r w:rsidRPr="009C52C4">
        <w:rPr>
          <w:rFonts w:ascii="Times New Roman" w:hAnsi="Times New Roman" w:cs="Times New Roman"/>
          <w:sz w:val="24"/>
          <w:szCs w:val="24"/>
        </w:rPr>
        <w:t xml:space="preserve">te klasifikacijom građevina u skladu s Direktivom </w:t>
      </w:r>
      <w:r w:rsidR="00834639" w:rsidRPr="009C52C4">
        <w:rPr>
          <w:rFonts w:ascii="Times New Roman" w:hAnsi="Times New Roman" w:cs="Times New Roman"/>
          <w:sz w:val="24"/>
          <w:szCs w:val="24"/>
        </w:rPr>
        <w:t>2010/31/EU</w:t>
      </w:r>
      <w:r w:rsidR="009207FB" w:rsidRPr="009C52C4">
        <w:rPr>
          <w:rFonts w:ascii="Times New Roman" w:hAnsi="Times New Roman" w:cs="Times New Roman"/>
          <w:sz w:val="24"/>
          <w:szCs w:val="24"/>
        </w:rPr>
        <w:t xml:space="preserve"> Europskog parlamenta i Vijeća od 19. svibnja 2010. o energetskoj učinkovitosti zgrada (preinaka)</w:t>
      </w:r>
      <w:r w:rsidRPr="009C52C4">
        <w:rPr>
          <w:rFonts w:ascii="Times New Roman" w:hAnsi="Times New Roman" w:cs="Times New Roman"/>
          <w:sz w:val="24"/>
          <w:szCs w:val="24"/>
        </w:rPr>
        <w:t xml:space="preserve">, za potrebe izrade ove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nacionalni fond zgrada Republike Hrvatske podijeljen je prema namjeni u sljedeće kategorije:</w:t>
      </w:r>
    </w:p>
    <w:p w14:paraId="41B582AC" w14:textId="00F21CBF" w:rsidR="001804D4" w:rsidRPr="009C52C4" w:rsidRDefault="008F5514" w:rsidP="00853BC8">
      <w:pPr>
        <w:numPr>
          <w:ilvl w:val="0"/>
          <w:numId w:val="8"/>
        </w:numPr>
        <w:ind w:hanging="359"/>
        <w:rPr>
          <w:rFonts w:ascii="Times New Roman" w:hAnsi="Times New Roman" w:cs="Times New Roman"/>
          <w:sz w:val="24"/>
          <w:szCs w:val="24"/>
        </w:rPr>
      </w:pPr>
      <w:r w:rsidRPr="009C52C4">
        <w:rPr>
          <w:rFonts w:ascii="Times New Roman" w:hAnsi="Times New Roman" w:cs="Times New Roman"/>
          <w:sz w:val="24"/>
          <w:szCs w:val="24"/>
        </w:rPr>
        <w:t>v</w:t>
      </w:r>
      <w:r w:rsidR="001804D4" w:rsidRPr="009C52C4">
        <w:rPr>
          <w:rFonts w:ascii="Times New Roman" w:hAnsi="Times New Roman" w:cs="Times New Roman"/>
          <w:sz w:val="24"/>
          <w:szCs w:val="24"/>
        </w:rPr>
        <w:t>išestambene zgrade</w:t>
      </w:r>
    </w:p>
    <w:p w14:paraId="6B62CF4E" w14:textId="59829099" w:rsidR="001804D4" w:rsidRPr="009C52C4" w:rsidRDefault="008F5514" w:rsidP="00853BC8">
      <w:pPr>
        <w:numPr>
          <w:ilvl w:val="0"/>
          <w:numId w:val="8"/>
        </w:numPr>
        <w:ind w:hanging="359"/>
        <w:rPr>
          <w:rFonts w:ascii="Times New Roman" w:hAnsi="Times New Roman" w:cs="Times New Roman"/>
          <w:sz w:val="24"/>
          <w:szCs w:val="24"/>
        </w:rPr>
      </w:pPr>
      <w:r w:rsidRPr="009C52C4">
        <w:rPr>
          <w:rFonts w:ascii="Times New Roman" w:hAnsi="Times New Roman" w:cs="Times New Roman"/>
          <w:sz w:val="24"/>
          <w:szCs w:val="24"/>
        </w:rPr>
        <w:t>o</w:t>
      </w:r>
      <w:r w:rsidR="001804D4" w:rsidRPr="009C52C4">
        <w:rPr>
          <w:rFonts w:ascii="Times New Roman" w:hAnsi="Times New Roman" w:cs="Times New Roman"/>
          <w:sz w:val="24"/>
          <w:szCs w:val="24"/>
        </w:rPr>
        <w:t>biteljske kuće</w:t>
      </w:r>
    </w:p>
    <w:p w14:paraId="48B7E6D6" w14:textId="256CC9B3" w:rsidR="001804D4" w:rsidRPr="009C52C4" w:rsidRDefault="008F5514" w:rsidP="00853BC8">
      <w:pPr>
        <w:numPr>
          <w:ilvl w:val="0"/>
          <w:numId w:val="8"/>
        </w:numPr>
        <w:ind w:hanging="359"/>
        <w:rPr>
          <w:rFonts w:ascii="Times New Roman" w:hAnsi="Times New Roman" w:cs="Times New Roman"/>
          <w:sz w:val="24"/>
          <w:szCs w:val="24"/>
        </w:rPr>
      </w:pPr>
      <w:r w:rsidRPr="009C52C4">
        <w:rPr>
          <w:rFonts w:ascii="Times New Roman" w:hAnsi="Times New Roman" w:cs="Times New Roman"/>
          <w:sz w:val="24"/>
          <w:szCs w:val="24"/>
        </w:rPr>
        <w:t>z</w:t>
      </w:r>
      <w:r w:rsidR="001804D4" w:rsidRPr="009C52C4">
        <w:rPr>
          <w:rFonts w:ascii="Times New Roman" w:hAnsi="Times New Roman" w:cs="Times New Roman"/>
          <w:sz w:val="24"/>
          <w:szCs w:val="24"/>
        </w:rPr>
        <w:t>grade javne namjene</w:t>
      </w:r>
    </w:p>
    <w:p w14:paraId="521F7130" w14:textId="605B30D2" w:rsidR="001804D4" w:rsidRPr="009C52C4" w:rsidRDefault="008F5514" w:rsidP="00853BC8">
      <w:pPr>
        <w:numPr>
          <w:ilvl w:val="0"/>
          <w:numId w:val="8"/>
        </w:numPr>
        <w:ind w:hanging="359"/>
        <w:rPr>
          <w:rFonts w:ascii="Times New Roman" w:hAnsi="Times New Roman" w:cs="Times New Roman"/>
          <w:sz w:val="24"/>
          <w:szCs w:val="24"/>
        </w:rPr>
      </w:pPr>
      <w:r w:rsidRPr="009C52C4">
        <w:rPr>
          <w:rFonts w:ascii="Times New Roman" w:hAnsi="Times New Roman" w:cs="Times New Roman"/>
          <w:sz w:val="24"/>
          <w:szCs w:val="24"/>
        </w:rPr>
        <w:t>z</w:t>
      </w:r>
      <w:r w:rsidR="001804D4" w:rsidRPr="009C52C4">
        <w:rPr>
          <w:rFonts w:ascii="Times New Roman" w:hAnsi="Times New Roman" w:cs="Times New Roman"/>
          <w:sz w:val="24"/>
          <w:szCs w:val="24"/>
        </w:rPr>
        <w:t>grade komercijalne namjene</w:t>
      </w:r>
    </w:p>
    <w:p w14:paraId="1B46294A" w14:textId="77777777" w:rsidR="001804D4" w:rsidRPr="009C52C4" w:rsidRDefault="001804D4" w:rsidP="001804D4">
      <w:pPr>
        <w:rPr>
          <w:rFonts w:ascii="Times New Roman" w:hAnsi="Times New Roman" w:cs="Times New Roman"/>
          <w:sz w:val="24"/>
          <w:szCs w:val="24"/>
        </w:rPr>
      </w:pPr>
    </w:p>
    <w:p w14:paraId="6DAAB01B" w14:textId="77D261D4" w:rsidR="001804D4" w:rsidRPr="009C52C4" w:rsidRDefault="001804D4" w:rsidP="0028011B">
      <w:pPr>
        <w:rPr>
          <w:rFonts w:ascii="Times New Roman" w:hAnsi="Times New Roman" w:cs="Times New Roman"/>
          <w:sz w:val="24"/>
          <w:szCs w:val="24"/>
        </w:rPr>
      </w:pPr>
      <w:r w:rsidRPr="009C52C4">
        <w:rPr>
          <w:rFonts w:ascii="Times New Roman" w:hAnsi="Times New Roman" w:cs="Times New Roman"/>
          <w:sz w:val="24"/>
          <w:szCs w:val="24"/>
        </w:rPr>
        <w:t xml:space="preserve">U izradi </w:t>
      </w:r>
      <w:r w:rsidRPr="009C52C4">
        <w:rPr>
          <w:rFonts w:ascii="Times New Roman" w:hAnsi="Times New Roman" w:cs="Times New Roman"/>
          <w:i/>
          <w:sz w:val="24"/>
          <w:szCs w:val="24"/>
        </w:rPr>
        <w:t>Programa energetske obnove višestambenih zgrada za razdoblje od 2014. do 2020. godine</w:t>
      </w:r>
      <w:r w:rsidR="00BB1938" w:rsidRPr="009C52C4">
        <w:rPr>
          <w:rFonts w:ascii="Times New Roman" w:hAnsi="Times New Roman" w:cs="Times New Roman"/>
          <w:sz w:val="24"/>
          <w:szCs w:val="24"/>
        </w:rPr>
        <w:t xml:space="preserve"> </w:t>
      </w:r>
      <w:r w:rsidR="00BB1938" w:rsidRPr="009C52C4">
        <w:rPr>
          <w:rFonts w:ascii="Times New Roman" w:hAnsi="Times New Roman" w:cs="Times New Roman"/>
          <w:i/>
          <w:sz w:val="24"/>
          <w:szCs w:val="24"/>
        </w:rPr>
        <w:t>s detaljnim planom za razdoblje od 2014. do 2016. godine</w:t>
      </w:r>
      <w:r w:rsidRPr="009C52C4">
        <w:rPr>
          <w:rFonts w:ascii="Times New Roman" w:hAnsi="Times New Roman" w:cs="Times New Roman"/>
          <w:i/>
          <w:sz w:val="24"/>
          <w:szCs w:val="24"/>
        </w:rPr>
        <w:t xml:space="preserve"> </w:t>
      </w:r>
      <w:r w:rsidRPr="009C52C4">
        <w:rPr>
          <w:rFonts w:ascii="Times New Roman" w:hAnsi="Times New Roman" w:cs="Times New Roman"/>
          <w:sz w:val="24"/>
          <w:szCs w:val="24"/>
        </w:rPr>
        <w:t xml:space="preserve">i </w:t>
      </w:r>
      <w:r w:rsidRPr="009C52C4">
        <w:rPr>
          <w:rFonts w:ascii="Times New Roman" w:hAnsi="Times New Roman" w:cs="Times New Roman"/>
          <w:i/>
          <w:sz w:val="24"/>
          <w:szCs w:val="24"/>
        </w:rPr>
        <w:t>Programa energetske obnove obiteljskih kuća za razdoblje od 2014. do 2020. godine</w:t>
      </w:r>
      <w:r w:rsidR="001E716F" w:rsidRPr="009C52C4">
        <w:rPr>
          <w:rFonts w:ascii="Times New Roman" w:hAnsi="Times New Roman" w:cs="Times New Roman"/>
          <w:sz w:val="24"/>
          <w:szCs w:val="24"/>
        </w:rPr>
        <w:t xml:space="preserve"> </w:t>
      </w:r>
      <w:r w:rsidR="001E716F" w:rsidRPr="009C52C4">
        <w:rPr>
          <w:rFonts w:ascii="Times New Roman" w:hAnsi="Times New Roman" w:cs="Times New Roman"/>
          <w:i/>
          <w:sz w:val="24"/>
          <w:szCs w:val="24"/>
        </w:rPr>
        <w:t>s detaljnim planom za razdoblje od 2014. do 2016. godine</w:t>
      </w:r>
      <w:r w:rsidRPr="009C52C4">
        <w:rPr>
          <w:rFonts w:ascii="Times New Roman" w:hAnsi="Times New Roman" w:cs="Times New Roman"/>
          <w:sz w:val="24"/>
          <w:szCs w:val="24"/>
        </w:rPr>
        <w:t xml:space="preserve"> korišteni su rezultati IPA projekta: </w:t>
      </w:r>
      <w:r w:rsidRPr="009C52C4">
        <w:rPr>
          <w:rFonts w:ascii="Times New Roman" w:hAnsi="Times New Roman" w:cs="Times New Roman"/>
          <w:i/>
          <w:sz w:val="24"/>
          <w:szCs w:val="24"/>
        </w:rPr>
        <w:t>Sudjelovanje građana u planiranju poboljšanja energetske učinkovitosti (CENEP)</w:t>
      </w:r>
      <w:r w:rsidRPr="009C52C4">
        <w:rPr>
          <w:rFonts w:ascii="Times New Roman" w:hAnsi="Times New Roman" w:cs="Times New Roman"/>
          <w:sz w:val="24"/>
          <w:szCs w:val="24"/>
        </w:rPr>
        <w:t xml:space="preserve"> prema kojima se stambene zgrade dijele na obiteljske kuće i višestambene zgrade. Navedena se klasifikacija stambenog fonda zgrada Republike Hrvatske koristi i u ovoj </w:t>
      </w:r>
      <w:r w:rsidR="00D11E23" w:rsidRPr="009C52C4">
        <w:rPr>
          <w:rFonts w:ascii="Times New Roman" w:hAnsi="Times New Roman" w:cs="Times New Roman"/>
          <w:sz w:val="24"/>
          <w:szCs w:val="24"/>
        </w:rPr>
        <w:t>Dugoročnoj strategiji za poticanje ulaganja u obnovu nacionalnog fonda zgrada Republike Hrvatske</w:t>
      </w:r>
      <w:r w:rsidRPr="009C52C4">
        <w:rPr>
          <w:rFonts w:ascii="Times New Roman" w:hAnsi="Times New Roman" w:cs="Times New Roman"/>
          <w:sz w:val="24"/>
          <w:szCs w:val="24"/>
        </w:rPr>
        <w:t xml:space="preserve">, pri čemu se koriste definicije unutar </w:t>
      </w:r>
      <w:r w:rsidR="00830502" w:rsidRPr="009C52C4">
        <w:rPr>
          <w:rFonts w:ascii="Times New Roman" w:hAnsi="Times New Roman" w:cs="Times New Roman"/>
          <w:i/>
          <w:sz w:val="24"/>
          <w:szCs w:val="24"/>
        </w:rPr>
        <w:t>Programa energetske obnove obiteljskih kuća, višestambenih zgrada i zgrada javnog sektora</w:t>
      </w:r>
      <w:r w:rsidRPr="009C52C4">
        <w:rPr>
          <w:rFonts w:ascii="Times New Roman" w:hAnsi="Times New Roman" w:cs="Times New Roman"/>
          <w:sz w:val="24"/>
          <w:szCs w:val="24"/>
        </w:rPr>
        <w:t xml:space="preserve">. </w:t>
      </w:r>
      <w:r w:rsidR="00830502" w:rsidRPr="009C52C4">
        <w:rPr>
          <w:rFonts w:ascii="Times New Roman" w:hAnsi="Times New Roman" w:cs="Times New Roman"/>
          <w:sz w:val="24"/>
          <w:szCs w:val="24"/>
        </w:rPr>
        <w:t>U kontekstu Dugoročne strategije zgrade javnog sektora su zgrade u vlasništvu javnog sektora u kojima se obavljaju društvene djelatnosti (</w:t>
      </w:r>
      <w:r w:rsidR="00552EF7" w:rsidRPr="009C52C4">
        <w:rPr>
          <w:rFonts w:ascii="Times New Roman" w:hAnsi="Times New Roman" w:cs="Times New Roman"/>
          <w:sz w:val="24"/>
          <w:szCs w:val="24"/>
        </w:rPr>
        <w:t>odgoja, obrazovanja, znanosti, kulture, sporta, zdravstva i socijalne skrbi</w:t>
      </w:r>
      <w:r w:rsidR="00830502" w:rsidRPr="009C52C4">
        <w:rPr>
          <w:rFonts w:ascii="Times New Roman" w:hAnsi="Times New Roman" w:cs="Times New Roman"/>
          <w:sz w:val="24"/>
          <w:szCs w:val="24"/>
        </w:rPr>
        <w:t>)</w:t>
      </w:r>
      <w:r w:rsidR="00552EF7" w:rsidRPr="009C52C4">
        <w:rPr>
          <w:rFonts w:ascii="Times New Roman" w:hAnsi="Times New Roman" w:cs="Times New Roman"/>
          <w:sz w:val="24"/>
          <w:szCs w:val="24"/>
        </w:rPr>
        <w:t xml:space="preserve">, djelatnosti državnih tijela i </w:t>
      </w:r>
      <w:r w:rsidR="006107D4" w:rsidRPr="009C52C4">
        <w:rPr>
          <w:rFonts w:ascii="Times New Roman" w:hAnsi="Times New Roman" w:cs="Times New Roman"/>
          <w:sz w:val="24"/>
          <w:szCs w:val="24"/>
        </w:rPr>
        <w:t>organizacije</w:t>
      </w:r>
      <w:r w:rsidR="00552EF7" w:rsidRPr="009C52C4">
        <w:rPr>
          <w:rFonts w:ascii="Times New Roman" w:hAnsi="Times New Roman" w:cs="Times New Roman"/>
          <w:sz w:val="24"/>
          <w:szCs w:val="24"/>
        </w:rPr>
        <w:t xml:space="preserve"> kao i tijela i organizacija lokalne i područne (regionalne) samouprave, djelatnosti pravnih osoba s javnim ovlastima, zatim zgrade za stanovanje zajednica, zgrade udruge građana i zgrade vjerskih zajednica.</w:t>
      </w:r>
      <w:r w:rsidR="00830502"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Obiteljska kuća </w:t>
      </w:r>
      <w:r w:rsidR="0028011B" w:rsidRPr="009C52C4">
        <w:rPr>
          <w:rFonts w:ascii="Times New Roman" w:hAnsi="Times New Roman" w:cs="Times New Roman"/>
          <w:sz w:val="24"/>
          <w:szCs w:val="24"/>
        </w:rPr>
        <w:t>je zgrada u kojoj je više od 50% bruto podne površine namijenjeno za stanovanje te zadovoljava jedan od dva navedena uvjeta: ima najviše tri stambene jedinice i/ili ima građevinsku bruto površinu manju ili jednaku 600 m</w:t>
      </w:r>
      <w:r w:rsidR="0028011B"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w:t>
      </w:r>
      <w:r w:rsidR="006107D4" w:rsidRPr="009C52C4">
        <w:rPr>
          <w:rFonts w:ascii="Times New Roman" w:hAnsi="Times New Roman" w:cs="Times New Roman"/>
          <w:sz w:val="24"/>
          <w:szCs w:val="24"/>
        </w:rPr>
        <w:t>Višestambena zgrada je svaka ona zgrada koja je u cijelosti ili u kojoj je više od 50% bruto podne površine namijenjeno za stanovanje te</w:t>
      </w:r>
      <w:r w:rsidR="0028011B" w:rsidRPr="009C52C4">
        <w:rPr>
          <w:rFonts w:ascii="Times New Roman" w:hAnsi="Times New Roman" w:cs="Times New Roman"/>
          <w:sz w:val="24"/>
          <w:szCs w:val="24"/>
        </w:rPr>
        <w:t xml:space="preserve"> ima</w:t>
      </w:r>
      <w:r w:rsidR="006107D4" w:rsidRPr="009C52C4">
        <w:rPr>
          <w:rFonts w:ascii="Times New Roman" w:hAnsi="Times New Roman" w:cs="Times New Roman"/>
          <w:sz w:val="24"/>
          <w:szCs w:val="24"/>
        </w:rPr>
        <w:t xml:space="preserve"> tri ili više stambenih jedinica i kojom upravlja upravitelj zgrade, koji je pravna i fizička osoba, u skladu sa Zakonom o vlasništvu i drugim stvarnim pravima</w:t>
      </w:r>
      <w:r w:rsidR="008F5514" w:rsidRPr="009C52C4">
        <w:rPr>
          <w:rFonts w:ascii="Times New Roman" w:hAnsi="Times New Roman" w:cs="Times New Roman"/>
          <w:sz w:val="24"/>
          <w:szCs w:val="24"/>
        </w:rPr>
        <w:t xml:space="preserve"> (NN, 91/96, 68/98, 137/99, 22/00, 73/00, 129/00, 114/01, 79/06, 141/06, 146/08, 38/09, 153/09, 143/12, 152/14).</w:t>
      </w:r>
    </w:p>
    <w:p w14:paraId="4832ECCD" w14:textId="77777777" w:rsidR="001804D4" w:rsidRPr="009C52C4" w:rsidRDefault="001804D4" w:rsidP="001804D4">
      <w:pPr>
        <w:rPr>
          <w:rFonts w:ascii="Times New Roman" w:hAnsi="Times New Roman" w:cs="Times New Roman"/>
          <w:sz w:val="24"/>
          <w:szCs w:val="24"/>
        </w:rPr>
      </w:pPr>
    </w:p>
    <w:p w14:paraId="64B34B03" w14:textId="367A60AB"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Kako unutar hrvatskog relevantnog zakonodavnog okvira, zgrade komercijalne namjene nisu jasno definirane, u </w:t>
      </w:r>
      <w:r w:rsidR="00D11E23" w:rsidRPr="009C52C4">
        <w:rPr>
          <w:rFonts w:ascii="Times New Roman" w:hAnsi="Times New Roman" w:cs="Times New Roman"/>
          <w:sz w:val="24"/>
          <w:szCs w:val="24"/>
        </w:rPr>
        <w:t>Dugoročnoj strategiji za poticanje ulaganja u obnovu nacionalnog fonda zgrada Republike Hrvatske</w:t>
      </w:r>
      <w:r w:rsidRPr="009C52C4">
        <w:rPr>
          <w:rFonts w:ascii="Times New Roman" w:hAnsi="Times New Roman" w:cs="Times New Roman"/>
          <w:sz w:val="24"/>
          <w:szCs w:val="24"/>
        </w:rPr>
        <w:t xml:space="preserve"> će se koristiti definicija iz Programa energetske obnove komercijalnih</w:t>
      </w:r>
      <w:r w:rsidR="00DE7D5F" w:rsidRPr="009C52C4">
        <w:rPr>
          <w:rFonts w:ascii="Times New Roman" w:hAnsi="Times New Roman" w:cs="Times New Roman"/>
          <w:sz w:val="24"/>
          <w:szCs w:val="24"/>
        </w:rPr>
        <w:t xml:space="preserve"> nestambenih</w:t>
      </w:r>
      <w:r w:rsidRPr="009C52C4">
        <w:rPr>
          <w:rFonts w:ascii="Times New Roman" w:hAnsi="Times New Roman" w:cs="Times New Roman"/>
          <w:sz w:val="24"/>
          <w:szCs w:val="24"/>
        </w:rPr>
        <w:t xml:space="preserve"> zgrada za razdoblje od 201</w:t>
      </w:r>
      <w:r w:rsidR="00DE7D5F" w:rsidRPr="009C52C4">
        <w:rPr>
          <w:rFonts w:ascii="Times New Roman" w:hAnsi="Times New Roman" w:cs="Times New Roman"/>
          <w:sz w:val="24"/>
          <w:szCs w:val="24"/>
        </w:rPr>
        <w:t>4</w:t>
      </w:r>
      <w:r w:rsidRPr="009C52C4">
        <w:rPr>
          <w:rFonts w:ascii="Times New Roman" w:hAnsi="Times New Roman" w:cs="Times New Roman"/>
          <w:sz w:val="24"/>
          <w:szCs w:val="24"/>
        </w:rPr>
        <w:t xml:space="preserve">. do 2020. godine </w:t>
      </w:r>
      <w:r w:rsidR="0080171E" w:rsidRPr="009C52C4">
        <w:rPr>
          <w:rFonts w:ascii="Times New Roman" w:hAnsi="Times New Roman" w:cs="Times New Roman"/>
          <w:sz w:val="24"/>
          <w:szCs w:val="24"/>
        </w:rPr>
        <w:t xml:space="preserve">s detaljnim planom energetske obnove komercijalnih </w:t>
      </w:r>
      <w:r w:rsidR="00DE7D5F" w:rsidRPr="009C52C4">
        <w:rPr>
          <w:rFonts w:ascii="Times New Roman" w:hAnsi="Times New Roman" w:cs="Times New Roman"/>
          <w:sz w:val="24"/>
          <w:szCs w:val="24"/>
        </w:rPr>
        <w:t xml:space="preserve">nestambenih </w:t>
      </w:r>
      <w:r w:rsidR="0080171E" w:rsidRPr="009C52C4">
        <w:rPr>
          <w:rFonts w:ascii="Times New Roman" w:hAnsi="Times New Roman" w:cs="Times New Roman"/>
          <w:sz w:val="24"/>
          <w:szCs w:val="24"/>
        </w:rPr>
        <w:t>zgrada za razdoblje 201</w:t>
      </w:r>
      <w:r w:rsidR="00DE7D5F" w:rsidRPr="009C52C4">
        <w:rPr>
          <w:rFonts w:ascii="Times New Roman" w:hAnsi="Times New Roman" w:cs="Times New Roman"/>
          <w:sz w:val="24"/>
          <w:szCs w:val="24"/>
        </w:rPr>
        <w:t>4</w:t>
      </w:r>
      <w:r w:rsidR="0080171E" w:rsidRPr="009C52C4">
        <w:rPr>
          <w:rFonts w:ascii="Times New Roman" w:hAnsi="Times New Roman" w:cs="Times New Roman"/>
          <w:sz w:val="24"/>
          <w:szCs w:val="24"/>
        </w:rPr>
        <w:t xml:space="preserve">.-2016. </w:t>
      </w:r>
      <w:r w:rsidRPr="009C52C4">
        <w:rPr>
          <w:rFonts w:ascii="Times New Roman" w:hAnsi="Times New Roman" w:cs="Times New Roman"/>
          <w:sz w:val="24"/>
          <w:szCs w:val="24"/>
        </w:rPr>
        <w:t>prema kojoj su, sukladno korištenim pojmovima u Zakonu o gradnji</w:t>
      </w:r>
      <w:r w:rsidR="00E46DEA" w:rsidRPr="009C52C4">
        <w:rPr>
          <w:rFonts w:ascii="Times New Roman" w:hAnsi="Times New Roman" w:cs="Times New Roman"/>
          <w:sz w:val="24"/>
          <w:szCs w:val="24"/>
        </w:rPr>
        <w:t xml:space="preserve"> </w:t>
      </w:r>
      <w:r w:rsidR="00CA3846" w:rsidRPr="009C52C4">
        <w:rPr>
          <w:rFonts w:ascii="Times New Roman" w:hAnsi="Times New Roman" w:cs="Times New Roman"/>
          <w:sz w:val="24"/>
          <w:szCs w:val="24"/>
        </w:rPr>
        <w:t>(</w:t>
      </w:r>
      <w:r w:rsidR="00E46DEA" w:rsidRPr="009C52C4">
        <w:rPr>
          <w:rFonts w:ascii="Times New Roman" w:hAnsi="Times New Roman" w:cs="Times New Roman"/>
          <w:sz w:val="24"/>
          <w:szCs w:val="24"/>
        </w:rPr>
        <w:t>NN 152/13, 20/17</w:t>
      </w:r>
      <w:r w:rsidR="00CA3846"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footnoteReference w:id="17"/>
      </w:r>
      <w:r w:rsidRPr="009C52C4">
        <w:rPr>
          <w:rFonts w:ascii="Times New Roman" w:hAnsi="Times New Roman" w:cs="Times New Roman"/>
          <w:sz w:val="24"/>
          <w:szCs w:val="24"/>
        </w:rPr>
        <w:t xml:space="preserve">, Zakonu o </w:t>
      </w:r>
      <w:r w:rsidRPr="009C52C4">
        <w:rPr>
          <w:rFonts w:ascii="Times New Roman" w:hAnsi="Times New Roman" w:cs="Times New Roman"/>
          <w:sz w:val="24"/>
          <w:szCs w:val="24"/>
        </w:rPr>
        <w:lastRenderedPageBreak/>
        <w:t>prostornom uređenju</w:t>
      </w:r>
      <w:r w:rsidR="005D1CC7" w:rsidRPr="009C52C4">
        <w:rPr>
          <w:rFonts w:ascii="Times New Roman" w:hAnsi="Times New Roman" w:cs="Times New Roman"/>
          <w:sz w:val="24"/>
          <w:szCs w:val="24"/>
        </w:rPr>
        <w:t xml:space="preserve"> </w:t>
      </w:r>
      <w:r w:rsidR="00CA3846" w:rsidRPr="009C52C4">
        <w:rPr>
          <w:rFonts w:ascii="Times New Roman" w:hAnsi="Times New Roman" w:cs="Times New Roman"/>
          <w:sz w:val="24"/>
          <w:szCs w:val="24"/>
        </w:rPr>
        <w:t>(</w:t>
      </w:r>
      <w:r w:rsidR="005D1CC7" w:rsidRPr="009C52C4">
        <w:rPr>
          <w:rFonts w:ascii="Times New Roman" w:hAnsi="Times New Roman" w:cs="Times New Roman"/>
          <w:sz w:val="24"/>
          <w:szCs w:val="24"/>
        </w:rPr>
        <w:t>NN 153/13</w:t>
      </w:r>
      <w:r w:rsidR="008F5514" w:rsidRPr="009C52C4">
        <w:rPr>
          <w:rFonts w:ascii="Times New Roman" w:hAnsi="Times New Roman" w:cs="Times New Roman"/>
          <w:sz w:val="24"/>
          <w:szCs w:val="24"/>
        </w:rPr>
        <w:t>, 65/17 i 114/18</w:t>
      </w:r>
      <w:r w:rsidR="00CA3846"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footnoteReference w:id="18"/>
      </w:r>
      <w:r w:rsidRPr="009C52C4">
        <w:rPr>
          <w:rFonts w:ascii="Times New Roman" w:hAnsi="Times New Roman" w:cs="Times New Roman"/>
          <w:sz w:val="24"/>
          <w:szCs w:val="24"/>
        </w:rPr>
        <w:t xml:space="preserve"> i Tehničkom propisu o racionalnoj uporabi energije i toplinskoj zaštiti u zgradama</w:t>
      </w:r>
      <w:r w:rsidRPr="009C52C4">
        <w:rPr>
          <w:rFonts w:ascii="Times New Roman" w:hAnsi="Times New Roman" w:cs="Times New Roman"/>
          <w:sz w:val="24"/>
          <w:szCs w:val="24"/>
          <w:vertAlign w:val="superscript"/>
        </w:rPr>
        <w:footnoteReference w:id="19"/>
      </w:r>
      <w:r w:rsidRPr="009C52C4">
        <w:rPr>
          <w:rFonts w:ascii="Times New Roman" w:hAnsi="Times New Roman" w:cs="Times New Roman"/>
          <w:sz w:val="24"/>
          <w:szCs w:val="24"/>
        </w:rPr>
        <w:t>, definiciji pojma zgrada javne namjene u sektoru komercijalnih usluga unutar drugog Nacionalnog akcijskog plana energetske učinkovitosti te definiciji pojma stambenih i višestambenih zgrada u Programu energetske obnove višestambenih zgrada za razdoblje od 2014. do 2020. godine</w:t>
      </w:r>
      <w:r w:rsidR="00BB1938" w:rsidRPr="009C52C4">
        <w:rPr>
          <w:rFonts w:ascii="Times New Roman" w:hAnsi="Times New Roman" w:cs="Times New Roman"/>
          <w:sz w:val="24"/>
          <w:szCs w:val="24"/>
        </w:rPr>
        <w:t xml:space="preserve"> s detaljnim planom za razdoblje od 2014. do 2016. godine</w:t>
      </w:r>
      <w:r w:rsidRPr="009C52C4">
        <w:rPr>
          <w:rFonts w:ascii="Times New Roman" w:hAnsi="Times New Roman" w:cs="Times New Roman"/>
          <w:sz w:val="24"/>
          <w:szCs w:val="24"/>
        </w:rPr>
        <w:t xml:space="preserve"> i Programu energetske obnove obiteljskih kuća za razdoblje od 2014. do 2020. godine</w:t>
      </w:r>
      <w:r w:rsidR="001E716F" w:rsidRPr="009C52C4">
        <w:rPr>
          <w:rFonts w:ascii="Times New Roman" w:hAnsi="Times New Roman" w:cs="Times New Roman"/>
          <w:sz w:val="24"/>
          <w:szCs w:val="24"/>
        </w:rPr>
        <w:t xml:space="preserve"> s detaljnim planom za razdoblje od 2014. do 2016. godine</w:t>
      </w:r>
      <w:r w:rsidRPr="009C52C4">
        <w:rPr>
          <w:rFonts w:ascii="Times New Roman" w:hAnsi="Times New Roman" w:cs="Times New Roman"/>
          <w:sz w:val="24"/>
          <w:szCs w:val="24"/>
        </w:rPr>
        <w:t xml:space="preserve">, zgrade komercijalne namjene su sve zgrade u većinskom privatnom vlasništvu u kojima je više od 50% </w:t>
      </w:r>
      <w:r w:rsidR="006107D4" w:rsidRPr="009C52C4">
        <w:rPr>
          <w:rFonts w:ascii="Times New Roman" w:hAnsi="Times New Roman" w:cs="Times New Roman"/>
          <w:sz w:val="24"/>
          <w:szCs w:val="24"/>
        </w:rPr>
        <w:t>bruto</w:t>
      </w:r>
      <w:r w:rsidRPr="009C52C4">
        <w:rPr>
          <w:rFonts w:ascii="Times New Roman" w:hAnsi="Times New Roman" w:cs="Times New Roman"/>
          <w:sz w:val="24"/>
          <w:szCs w:val="24"/>
        </w:rPr>
        <w:t xml:space="preserve"> podne površine namijenjeno poslovnoj i/ili uslužnoj djelatnosti.</w:t>
      </w:r>
    </w:p>
    <w:p w14:paraId="3A9B28A3" w14:textId="22CD858C" w:rsidR="0066004C" w:rsidRPr="009C52C4" w:rsidRDefault="0066004C" w:rsidP="001804D4">
      <w:pPr>
        <w:rPr>
          <w:rFonts w:ascii="Times New Roman" w:hAnsi="Times New Roman" w:cs="Times New Roman"/>
          <w:sz w:val="24"/>
          <w:szCs w:val="24"/>
        </w:rPr>
      </w:pPr>
      <w:r w:rsidRPr="009C52C4">
        <w:rPr>
          <w:rFonts w:ascii="Times New Roman" w:hAnsi="Times New Roman" w:cs="Times New Roman"/>
          <w:sz w:val="24"/>
          <w:szCs w:val="24"/>
        </w:rPr>
        <w:t>Zgrade sa statusom kulturnog dobra nalaze se u sve četiri kategorije zgrada navedene u točki 2.1. Ministarstvo kulture također radi na definiranju dijela nacionalnog fonda zgrada sa statusom kulturnog dobra, u svrhu analize i praćenja stanja na nacionalnoj razini.</w:t>
      </w:r>
    </w:p>
    <w:p w14:paraId="4D51AA6D" w14:textId="77777777" w:rsidR="001804D4" w:rsidRPr="009C52C4" w:rsidRDefault="001804D4" w:rsidP="001804D4">
      <w:pPr>
        <w:rPr>
          <w:rFonts w:ascii="Times New Roman" w:hAnsi="Times New Roman" w:cs="Times New Roman"/>
          <w:sz w:val="24"/>
          <w:szCs w:val="24"/>
        </w:rPr>
      </w:pPr>
    </w:p>
    <w:p w14:paraId="5103E67F" w14:textId="77777777" w:rsidR="002F1F4B" w:rsidRPr="009C52C4" w:rsidRDefault="002F1F4B">
      <w:pPr>
        <w:rPr>
          <w:rFonts w:ascii="Times New Roman" w:hAnsi="Times New Roman" w:cs="Times New Roman"/>
          <w:sz w:val="24"/>
          <w:szCs w:val="24"/>
        </w:rPr>
      </w:pPr>
      <w:r w:rsidRPr="009C52C4">
        <w:rPr>
          <w:rFonts w:ascii="Times New Roman" w:hAnsi="Times New Roman" w:cs="Times New Roman"/>
          <w:sz w:val="24"/>
          <w:szCs w:val="24"/>
        </w:rPr>
        <w:br w:type="page"/>
      </w:r>
    </w:p>
    <w:p w14:paraId="1DAE7A3E"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11" w:name="h.tyjcwt" w:colFirst="0" w:colLast="0"/>
      <w:bookmarkStart w:id="12" w:name="_Toc3277898"/>
      <w:bookmarkEnd w:id="11"/>
      <w:r w:rsidRPr="009C52C4">
        <w:rPr>
          <w:rFonts w:ascii="Times New Roman" w:hAnsi="Times New Roman" w:cs="Times New Roman"/>
          <w:sz w:val="24"/>
          <w:szCs w:val="24"/>
        </w:rPr>
        <w:lastRenderedPageBreak/>
        <w:t>Pregled nacionalnog fonda zgrada prema razdoblju gradnje</w:t>
      </w:r>
      <w:bookmarkEnd w:id="12"/>
    </w:p>
    <w:p w14:paraId="499469C6" w14:textId="77777777" w:rsidR="00B122B4" w:rsidRPr="009C52C4" w:rsidRDefault="00B122B4">
      <w:pPr>
        <w:rPr>
          <w:rFonts w:ascii="Times New Roman" w:hAnsi="Times New Roman" w:cs="Times New Roman"/>
          <w:sz w:val="24"/>
          <w:szCs w:val="24"/>
        </w:rPr>
      </w:pPr>
    </w:p>
    <w:p w14:paraId="5DAAB52F"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Pregled nacionalnog fonda zgrada prema razdoblju gradnje je baziran na podacima iz sljedećih izvora:</w:t>
      </w:r>
    </w:p>
    <w:p w14:paraId="78F5A742" w14:textId="0A7CAB79" w:rsidR="001804D4" w:rsidRPr="009C52C4" w:rsidRDefault="001804D4"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Godišnj</w:t>
      </w:r>
      <w:r w:rsidR="00872110" w:rsidRPr="009C52C4">
        <w:rPr>
          <w:rFonts w:ascii="Times New Roman" w:hAnsi="Times New Roman" w:cs="Times New Roman"/>
          <w:sz w:val="24"/>
          <w:szCs w:val="24"/>
        </w:rPr>
        <w:t>eg</w:t>
      </w:r>
      <w:r w:rsidRPr="009C52C4">
        <w:rPr>
          <w:rFonts w:ascii="Times New Roman" w:hAnsi="Times New Roman" w:cs="Times New Roman"/>
          <w:sz w:val="24"/>
          <w:szCs w:val="24"/>
        </w:rPr>
        <w:t xml:space="preserve"> statističk</w:t>
      </w:r>
      <w:r w:rsidR="00872110" w:rsidRPr="009C52C4">
        <w:rPr>
          <w:rFonts w:ascii="Times New Roman" w:hAnsi="Times New Roman" w:cs="Times New Roman"/>
          <w:sz w:val="24"/>
          <w:szCs w:val="24"/>
        </w:rPr>
        <w:t>og</w:t>
      </w:r>
      <w:r w:rsidRPr="009C52C4">
        <w:rPr>
          <w:rFonts w:ascii="Times New Roman" w:hAnsi="Times New Roman" w:cs="Times New Roman"/>
          <w:sz w:val="24"/>
          <w:szCs w:val="24"/>
        </w:rPr>
        <w:t xml:space="preserve"> ljetopis</w:t>
      </w:r>
      <w:r w:rsidR="00872110" w:rsidRPr="009C52C4">
        <w:rPr>
          <w:rFonts w:ascii="Times New Roman" w:hAnsi="Times New Roman" w:cs="Times New Roman"/>
          <w:sz w:val="24"/>
          <w:szCs w:val="24"/>
        </w:rPr>
        <w:t>a</w:t>
      </w:r>
      <w:r w:rsidRPr="009C52C4">
        <w:rPr>
          <w:rFonts w:ascii="Times New Roman" w:hAnsi="Times New Roman" w:cs="Times New Roman"/>
          <w:sz w:val="24"/>
          <w:szCs w:val="24"/>
        </w:rPr>
        <w:t xml:space="preserve"> Državnog zavoda za statistiku Republike Hrvatske</w:t>
      </w:r>
    </w:p>
    <w:p w14:paraId="031E915B" w14:textId="29C3E900" w:rsidR="001804D4" w:rsidRPr="009C52C4" w:rsidRDefault="001804D4"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Programa energetske obnove višestambenih zgrada za razdoblje od 2014. do 2020. godine</w:t>
      </w:r>
      <w:r w:rsidR="00BB1938" w:rsidRPr="009C52C4">
        <w:rPr>
          <w:rFonts w:ascii="Times New Roman" w:hAnsi="Times New Roman" w:cs="Times New Roman"/>
          <w:sz w:val="24"/>
          <w:szCs w:val="24"/>
        </w:rPr>
        <w:t xml:space="preserve"> s detaljnim planom za razdoblje od 2014. do 2016. godine</w:t>
      </w:r>
      <w:r w:rsidR="00BB1938" w:rsidRPr="009C52C4">
        <w:rPr>
          <w:rFonts w:ascii="Times New Roman" w:hAnsi="Times New Roman" w:cs="Times New Roman"/>
          <w:sz w:val="24"/>
          <w:szCs w:val="24"/>
          <w:vertAlign w:val="superscript"/>
        </w:rPr>
        <w:t xml:space="preserve"> </w:t>
      </w:r>
    </w:p>
    <w:p w14:paraId="46BB05A2" w14:textId="1AFEDA20" w:rsidR="001804D4" w:rsidRPr="009C52C4" w:rsidRDefault="001804D4"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Programa energetske obnove obiteljskih kuća za razdoblje od 2014. do 2020. godine</w:t>
      </w:r>
      <w:r w:rsidR="001E716F" w:rsidRPr="009C52C4">
        <w:rPr>
          <w:rFonts w:ascii="Times New Roman" w:hAnsi="Times New Roman" w:cs="Times New Roman"/>
          <w:sz w:val="24"/>
          <w:szCs w:val="24"/>
        </w:rPr>
        <w:t xml:space="preserve"> s detaljnim planom za razdoblje od 2014. do 2016. godine</w:t>
      </w:r>
      <w:r w:rsidR="001E716F" w:rsidRPr="009C52C4">
        <w:rPr>
          <w:rFonts w:ascii="Times New Roman" w:hAnsi="Times New Roman" w:cs="Times New Roman"/>
          <w:sz w:val="24"/>
          <w:szCs w:val="24"/>
          <w:vertAlign w:val="superscript"/>
        </w:rPr>
        <w:t xml:space="preserve"> </w:t>
      </w:r>
    </w:p>
    <w:p w14:paraId="0FD3ECD3" w14:textId="0BA99D95" w:rsidR="001804D4" w:rsidRPr="009C52C4" w:rsidRDefault="001804D4"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 xml:space="preserve">Programa energetske obnove komercijalnih </w:t>
      </w:r>
      <w:r w:rsidR="008A147C" w:rsidRPr="009C52C4">
        <w:rPr>
          <w:rFonts w:ascii="Times New Roman" w:hAnsi="Times New Roman" w:cs="Times New Roman"/>
          <w:sz w:val="24"/>
          <w:szCs w:val="24"/>
        </w:rPr>
        <w:t xml:space="preserve">nestambenih </w:t>
      </w:r>
      <w:r w:rsidRPr="009C52C4">
        <w:rPr>
          <w:rFonts w:ascii="Times New Roman" w:hAnsi="Times New Roman" w:cs="Times New Roman"/>
          <w:sz w:val="24"/>
          <w:szCs w:val="24"/>
        </w:rPr>
        <w:t>zgrada za razdoblje od 201</w:t>
      </w:r>
      <w:r w:rsidR="008A147C" w:rsidRPr="009C52C4">
        <w:rPr>
          <w:rFonts w:ascii="Times New Roman" w:hAnsi="Times New Roman" w:cs="Times New Roman"/>
          <w:sz w:val="24"/>
          <w:szCs w:val="24"/>
        </w:rPr>
        <w:t>4</w:t>
      </w:r>
      <w:r w:rsidRPr="009C52C4">
        <w:rPr>
          <w:rFonts w:ascii="Times New Roman" w:hAnsi="Times New Roman" w:cs="Times New Roman"/>
          <w:sz w:val="24"/>
          <w:szCs w:val="24"/>
        </w:rPr>
        <w:t>. do 2020. godine</w:t>
      </w:r>
      <w:r w:rsidR="0080171E" w:rsidRPr="009C52C4">
        <w:rPr>
          <w:rFonts w:ascii="Times New Roman" w:hAnsi="Times New Roman" w:cs="Times New Roman"/>
          <w:sz w:val="24"/>
          <w:szCs w:val="24"/>
        </w:rPr>
        <w:t xml:space="preserve"> s detaljnim planom energetske obnove komercijalnih </w:t>
      </w:r>
      <w:r w:rsidR="008A147C" w:rsidRPr="009C52C4">
        <w:rPr>
          <w:rFonts w:ascii="Times New Roman" w:hAnsi="Times New Roman" w:cs="Times New Roman"/>
          <w:sz w:val="24"/>
          <w:szCs w:val="24"/>
        </w:rPr>
        <w:t xml:space="preserve">nestambenih </w:t>
      </w:r>
      <w:r w:rsidR="0080171E" w:rsidRPr="009C52C4">
        <w:rPr>
          <w:rFonts w:ascii="Times New Roman" w:hAnsi="Times New Roman" w:cs="Times New Roman"/>
          <w:sz w:val="24"/>
          <w:szCs w:val="24"/>
        </w:rPr>
        <w:t>zgrada za razdoblje 201</w:t>
      </w:r>
      <w:r w:rsidR="008A147C" w:rsidRPr="009C52C4">
        <w:rPr>
          <w:rFonts w:ascii="Times New Roman" w:hAnsi="Times New Roman" w:cs="Times New Roman"/>
          <w:sz w:val="24"/>
          <w:szCs w:val="24"/>
        </w:rPr>
        <w:t>4</w:t>
      </w:r>
      <w:r w:rsidR="0080171E" w:rsidRPr="009C52C4">
        <w:rPr>
          <w:rFonts w:ascii="Times New Roman" w:hAnsi="Times New Roman" w:cs="Times New Roman"/>
          <w:sz w:val="24"/>
          <w:szCs w:val="24"/>
        </w:rPr>
        <w:t>.-2016.</w:t>
      </w:r>
    </w:p>
    <w:p w14:paraId="50312462" w14:textId="21129141" w:rsidR="001804D4" w:rsidRPr="009C52C4" w:rsidRDefault="001804D4"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Registra javnih zgrada središnje države i izračuna cil</w:t>
      </w:r>
      <w:r w:rsidR="00A32240" w:rsidRPr="009C52C4">
        <w:rPr>
          <w:rFonts w:ascii="Times New Roman" w:hAnsi="Times New Roman" w:cs="Times New Roman"/>
          <w:sz w:val="24"/>
          <w:szCs w:val="24"/>
        </w:rPr>
        <w:t>jeva prema Direktivi 2012/27/EU</w:t>
      </w:r>
      <w:r w:rsidRPr="009C52C4">
        <w:rPr>
          <w:rFonts w:ascii="Times New Roman" w:hAnsi="Times New Roman" w:cs="Times New Roman"/>
          <w:sz w:val="24"/>
          <w:szCs w:val="24"/>
          <w:vertAlign w:val="superscript"/>
        </w:rPr>
        <w:footnoteReference w:id="20"/>
      </w:r>
    </w:p>
    <w:p w14:paraId="084D9341" w14:textId="77777777" w:rsidR="001804D4" w:rsidRPr="009C52C4" w:rsidRDefault="001804D4" w:rsidP="001804D4">
      <w:pPr>
        <w:rPr>
          <w:rFonts w:ascii="Times New Roman" w:hAnsi="Times New Roman" w:cs="Times New Roman"/>
          <w:sz w:val="24"/>
          <w:szCs w:val="24"/>
        </w:rPr>
      </w:pPr>
    </w:p>
    <w:p w14:paraId="2316DB50"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Podjelu zgrada prema razdoblju gradnje definira </w:t>
      </w:r>
      <w:r w:rsidRPr="009C52C4">
        <w:rPr>
          <w:rFonts w:ascii="Times New Roman" w:hAnsi="Times New Roman" w:cs="Times New Roman"/>
          <w:i/>
          <w:sz w:val="24"/>
          <w:szCs w:val="24"/>
        </w:rPr>
        <w:t>Metodologija provođenja energetsk</w:t>
      </w:r>
      <w:r w:rsidR="004D4EE2" w:rsidRPr="009C52C4">
        <w:rPr>
          <w:rFonts w:ascii="Times New Roman" w:hAnsi="Times New Roman" w:cs="Times New Roman"/>
          <w:i/>
          <w:sz w:val="24"/>
          <w:szCs w:val="24"/>
        </w:rPr>
        <w:t>og</w:t>
      </w:r>
      <w:r w:rsidRPr="009C52C4">
        <w:rPr>
          <w:rFonts w:ascii="Times New Roman" w:hAnsi="Times New Roman" w:cs="Times New Roman"/>
          <w:i/>
          <w:sz w:val="24"/>
          <w:szCs w:val="24"/>
        </w:rPr>
        <w:t xml:space="preserve"> pregleda građevina</w:t>
      </w:r>
      <w:r w:rsidR="00EB24E9" w:rsidRPr="009C52C4">
        <w:rPr>
          <w:rStyle w:val="FootnoteReference"/>
          <w:rFonts w:ascii="Times New Roman" w:hAnsi="Times New Roman" w:cs="Times New Roman"/>
          <w:sz w:val="24"/>
          <w:szCs w:val="24"/>
        </w:rPr>
        <w:footnoteReference w:id="21"/>
      </w:r>
      <w:r w:rsidRPr="009C52C4">
        <w:rPr>
          <w:rFonts w:ascii="Times New Roman" w:hAnsi="Times New Roman" w:cs="Times New Roman"/>
          <w:sz w:val="24"/>
          <w:szCs w:val="24"/>
        </w:rPr>
        <w:t xml:space="preserve"> na pet vremenskih razdoblja:</w:t>
      </w:r>
    </w:p>
    <w:p w14:paraId="3EE85677" w14:textId="769DD775" w:rsidR="001804D4" w:rsidRPr="009C52C4" w:rsidRDefault="001804D4" w:rsidP="001804D4">
      <w:pPr>
        <w:ind w:left="851" w:hanging="567"/>
        <w:rPr>
          <w:rFonts w:ascii="Times New Roman" w:hAnsi="Times New Roman" w:cs="Times New Roman"/>
          <w:sz w:val="24"/>
          <w:szCs w:val="24"/>
        </w:rPr>
      </w:pPr>
      <w:r w:rsidRPr="009C52C4">
        <w:rPr>
          <w:rFonts w:ascii="Times New Roman" w:hAnsi="Times New Roman" w:cs="Times New Roman"/>
          <w:sz w:val="24"/>
          <w:szCs w:val="24"/>
        </w:rPr>
        <w:t xml:space="preserve">1. </w:t>
      </w:r>
      <w:r w:rsidRPr="009C52C4">
        <w:rPr>
          <w:rFonts w:ascii="Times New Roman" w:hAnsi="Times New Roman" w:cs="Times New Roman"/>
          <w:sz w:val="24"/>
          <w:szCs w:val="24"/>
        </w:rPr>
        <w:tab/>
        <w:t>do 1940. godine</w:t>
      </w:r>
    </w:p>
    <w:p w14:paraId="7249FB3A" w14:textId="205F8CB5" w:rsidR="001804D4" w:rsidRPr="009C52C4" w:rsidRDefault="001804D4" w:rsidP="001804D4">
      <w:pPr>
        <w:ind w:left="851" w:hanging="567"/>
        <w:rPr>
          <w:rFonts w:ascii="Times New Roman" w:hAnsi="Times New Roman" w:cs="Times New Roman"/>
          <w:sz w:val="24"/>
          <w:szCs w:val="24"/>
        </w:rPr>
      </w:pPr>
      <w:r w:rsidRPr="009C52C4">
        <w:rPr>
          <w:rFonts w:ascii="Times New Roman" w:hAnsi="Times New Roman" w:cs="Times New Roman"/>
          <w:sz w:val="24"/>
          <w:szCs w:val="24"/>
        </w:rPr>
        <w:t xml:space="preserve">2. </w:t>
      </w:r>
      <w:r w:rsidRPr="009C52C4">
        <w:rPr>
          <w:rFonts w:ascii="Times New Roman" w:hAnsi="Times New Roman" w:cs="Times New Roman"/>
          <w:sz w:val="24"/>
          <w:szCs w:val="24"/>
        </w:rPr>
        <w:tab/>
        <w:t>1941.</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1970. godine</w:t>
      </w:r>
    </w:p>
    <w:p w14:paraId="1B37E4C5" w14:textId="0CA5B022" w:rsidR="001804D4" w:rsidRPr="009C52C4" w:rsidRDefault="001804D4" w:rsidP="001804D4">
      <w:pPr>
        <w:tabs>
          <w:tab w:val="left" w:pos="708"/>
          <w:tab w:val="left" w:pos="1416"/>
          <w:tab w:val="left" w:pos="2124"/>
          <w:tab w:val="left" w:pos="4067"/>
        </w:tabs>
        <w:ind w:left="851" w:hanging="567"/>
        <w:rPr>
          <w:rFonts w:ascii="Times New Roman" w:hAnsi="Times New Roman" w:cs="Times New Roman"/>
          <w:sz w:val="24"/>
          <w:szCs w:val="24"/>
        </w:rPr>
      </w:pPr>
      <w:r w:rsidRPr="009C52C4">
        <w:rPr>
          <w:rFonts w:ascii="Times New Roman" w:hAnsi="Times New Roman" w:cs="Times New Roman"/>
          <w:sz w:val="24"/>
          <w:szCs w:val="24"/>
        </w:rPr>
        <w:t xml:space="preserve">3. </w:t>
      </w:r>
      <w:r w:rsidRPr="009C52C4">
        <w:rPr>
          <w:rFonts w:ascii="Times New Roman" w:hAnsi="Times New Roman" w:cs="Times New Roman"/>
          <w:sz w:val="24"/>
          <w:szCs w:val="24"/>
        </w:rPr>
        <w:tab/>
      </w:r>
      <w:r w:rsidRPr="009C52C4">
        <w:rPr>
          <w:rFonts w:ascii="Times New Roman" w:hAnsi="Times New Roman" w:cs="Times New Roman"/>
          <w:sz w:val="24"/>
          <w:szCs w:val="24"/>
        </w:rPr>
        <w:tab/>
        <w:t>1971.</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1987. godine</w:t>
      </w:r>
    </w:p>
    <w:p w14:paraId="4A50276B" w14:textId="259BA7E3" w:rsidR="001804D4" w:rsidRPr="009C52C4" w:rsidRDefault="001804D4" w:rsidP="001804D4">
      <w:pPr>
        <w:ind w:left="851" w:hanging="567"/>
        <w:rPr>
          <w:rFonts w:ascii="Times New Roman" w:hAnsi="Times New Roman" w:cs="Times New Roman"/>
          <w:sz w:val="24"/>
          <w:szCs w:val="24"/>
        </w:rPr>
      </w:pPr>
      <w:r w:rsidRPr="009C52C4">
        <w:rPr>
          <w:rFonts w:ascii="Times New Roman" w:hAnsi="Times New Roman" w:cs="Times New Roman"/>
          <w:sz w:val="24"/>
          <w:szCs w:val="24"/>
        </w:rPr>
        <w:t>4.</w:t>
      </w:r>
      <w:r w:rsidRPr="009C52C4">
        <w:rPr>
          <w:rFonts w:ascii="Times New Roman" w:hAnsi="Times New Roman" w:cs="Times New Roman"/>
          <w:sz w:val="24"/>
          <w:szCs w:val="24"/>
        </w:rPr>
        <w:tab/>
        <w:t>1988.</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2005. godine</w:t>
      </w:r>
    </w:p>
    <w:p w14:paraId="00050326" w14:textId="4B62BA8E" w:rsidR="001804D4" w:rsidRPr="009C52C4" w:rsidRDefault="003D0360" w:rsidP="001804D4">
      <w:pPr>
        <w:ind w:left="851" w:hanging="567"/>
        <w:rPr>
          <w:rFonts w:ascii="Times New Roman" w:hAnsi="Times New Roman" w:cs="Times New Roman"/>
          <w:sz w:val="24"/>
          <w:szCs w:val="24"/>
        </w:rPr>
      </w:pPr>
      <w:r w:rsidRPr="009C52C4">
        <w:rPr>
          <w:rFonts w:ascii="Times New Roman" w:hAnsi="Times New Roman" w:cs="Times New Roman"/>
          <w:sz w:val="24"/>
          <w:szCs w:val="24"/>
        </w:rPr>
        <w:t xml:space="preserve">5. </w:t>
      </w:r>
      <w:r w:rsidR="001804D4" w:rsidRPr="009C52C4">
        <w:rPr>
          <w:rFonts w:ascii="Times New Roman" w:hAnsi="Times New Roman" w:cs="Times New Roman"/>
          <w:sz w:val="24"/>
          <w:szCs w:val="24"/>
        </w:rPr>
        <w:tab/>
        <w:t>2006. do danas</w:t>
      </w:r>
    </w:p>
    <w:p w14:paraId="5B568306" w14:textId="77777777" w:rsidR="001804D4" w:rsidRPr="009C52C4" w:rsidRDefault="001804D4" w:rsidP="001804D4">
      <w:pPr>
        <w:ind w:firstLine="426"/>
        <w:rPr>
          <w:rFonts w:ascii="Times New Roman" w:hAnsi="Times New Roman" w:cs="Times New Roman"/>
          <w:sz w:val="24"/>
          <w:szCs w:val="24"/>
        </w:rPr>
      </w:pPr>
    </w:p>
    <w:p w14:paraId="20ED5C31" w14:textId="53675AC4"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U cilju što točnijeg i detaljnijeg pregleda nacionalnog fonda zgrada kao i usuglašenosti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s Programom</w:t>
      </w:r>
      <w:r w:rsidR="00601FA8" w:rsidRPr="009C52C4">
        <w:rPr>
          <w:rFonts w:ascii="Times New Roman" w:hAnsi="Times New Roman" w:cs="Times New Roman"/>
          <w:sz w:val="24"/>
          <w:szCs w:val="24"/>
        </w:rPr>
        <w:t xml:space="preserve"> energetske obnove komercijalnih nestambenih zgrada za razdoblje 2014. do 2020. godine s detaljnim planom energetske obnove komercijalnih nestambenih zgrada za razdoblje 2014.-2016.</w:t>
      </w:r>
      <w:r w:rsidRPr="009C52C4">
        <w:rPr>
          <w:rFonts w:ascii="Times New Roman" w:hAnsi="Times New Roman" w:cs="Times New Roman"/>
          <w:sz w:val="24"/>
          <w:szCs w:val="24"/>
        </w:rPr>
        <w:t xml:space="preserve"> koji u ovisnosti o načinu gradnje, primijenjenim građevinskim materijalima i važećim tehničkim propisima, dijeli fond zgrada na sedam vremenskih razdoblja izgradnje, pregled nacionalnog fonda zgrada prema razdoblju gradnje će se bazirati na sljedećim vremenskim razdobljima definiranima u Programu:</w:t>
      </w:r>
    </w:p>
    <w:p w14:paraId="4CF6916D" w14:textId="5F84822F"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do 1940. godine</w:t>
      </w:r>
    </w:p>
    <w:p w14:paraId="2A35E355" w14:textId="3953A581"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1941.</w:t>
      </w:r>
      <w:r w:rsidR="002F1F4B" w:rsidRPr="009C52C4">
        <w:rPr>
          <w:rFonts w:ascii="Times New Roman" w:hAnsi="Times New Roman" w:cs="Times New Roman"/>
          <w:sz w:val="24"/>
          <w:szCs w:val="24"/>
        </w:rPr>
        <w:t xml:space="preserve"> </w:t>
      </w:r>
      <w:r w:rsidRPr="009C52C4">
        <w:rPr>
          <w:rFonts w:ascii="Times New Roman" w:hAnsi="Times New Roman" w:cs="Times New Roman"/>
          <w:sz w:val="24"/>
          <w:szCs w:val="24"/>
        </w:rPr>
        <w:t>- 1970. godine</w:t>
      </w:r>
    </w:p>
    <w:p w14:paraId="705EFA75" w14:textId="7983334A"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1971. - 1980. godine</w:t>
      </w:r>
    </w:p>
    <w:p w14:paraId="06BB5EC2" w14:textId="59011702"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1981. - 1987. godine</w:t>
      </w:r>
    </w:p>
    <w:p w14:paraId="5D2EDC84" w14:textId="19DC9D11"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1988. - 2005. godine</w:t>
      </w:r>
    </w:p>
    <w:p w14:paraId="69CE9BF4" w14:textId="3F8259E3" w:rsidR="001804D4" w:rsidRPr="009C52C4" w:rsidRDefault="002F1F4B"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2006. -</w:t>
      </w:r>
      <w:r w:rsidR="001804D4" w:rsidRPr="009C52C4">
        <w:rPr>
          <w:rFonts w:ascii="Times New Roman" w:hAnsi="Times New Roman" w:cs="Times New Roman"/>
          <w:sz w:val="24"/>
          <w:szCs w:val="24"/>
        </w:rPr>
        <w:t xml:space="preserve"> 2009. godine</w:t>
      </w:r>
    </w:p>
    <w:p w14:paraId="3641BDFA" w14:textId="06BF2299" w:rsidR="001804D4" w:rsidRPr="009C52C4" w:rsidRDefault="001804D4" w:rsidP="00853BC8">
      <w:pPr>
        <w:numPr>
          <w:ilvl w:val="0"/>
          <w:numId w:val="6"/>
        </w:numPr>
        <w:ind w:hanging="359"/>
        <w:rPr>
          <w:rFonts w:ascii="Times New Roman" w:hAnsi="Times New Roman" w:cs="Times New Roman"/>
          <w:sz w:val="24"/>
          <w:szCs w:val="24"/>
        </w:rPr>
      </w:pPr>
      <w:r w:rsidRPr="009C52C4">
        <w:rPr>
          <w:rFonts w:ascii="Times New Roman" w:hAnsi="Times New Roman" w:cs="Times New Roman"/>
          <w:sz w:val="24"/>
          <w:szCs w:val="24"/>
        </w:rPr>
        <w:t>2010. - 2011. godine</w:t>
      </w:r>
    </w:p>
    <w:p w14:paraId="1321ED99" w14:textId="77777777" w:rsidR="001804D4" w:rsidRPr="009C52C4" w:rsidRDefault="001804D4" w:rsidP="001804D4">
      <w:pPr>
        <w:rPr>
          <w:rFonts w:ascii="Times New Roman" w:hAnsi="Times New Roman" w:cs="Times New Roman"/>
          <w:sz w:val="24"/>
          <w:szCs w:val="24"/>
        </w:rPr>
      </w:pPr>
    </w:p>
    <w:p w14:paraId="17A4CEE4" w14:textId="27CA7A9A" w:rsidR="00B122B4" w:rsidRPr="009C52C4" w:rsidRDefault="00F77044">
      <w:pPr>
        <w:rPr>
          <w:rFonts w:ascii="Times New Roman" w:hAnsi="Times New Roman" w:cs="Times New Roman"/>
          <w:sz w:val="24"/>
          <w:szCs w:val="24"/>
        </w:rPr>
      </w:pPr>
      <w:r w:rsidRPr="009C52C4">
        <w:rPr>
          <w:rFonts w:ascii="Times New Roman" w:hAnsi="Times New Roman" w:cs="Times New Roman"/>
          <w:sz w:val="24"/>
          <w:szCs w:val="24"/>
        </w:rPr>
        <w:t xml:space="preserve">Tablicama u nastavku </w:t>
      </w:r>
      <w:r w:rsidR="00F54CC3" w:rsidRPr="009C52C4">
        <w:rPr>
          <w:rFonts w:ascii="Times New Roman" w:hAnsi="Times New Roman" w:cs="Times New Roman"/>
          <w:sz w:val="24"/>
          <w:szCs w:val="24"/>
        </w:rPr>
        <w:t xml:space="preserve">dan </w:t>
      </w:r>
      <w:r w:rsidRPr="009C52C4">
        <w:rPr>
          <w:rFonts w:ascii="Times New Roman" w:hAnsi="Times New Roman" w:cs="Times New Roman"/>
          <w:sz w:val="24"/>
          <w:szCs w:val="24"/>
        </w:rPr>
        <w:t xml:space="preserve">je </w:t>
      </w:r>
      <w:r w:rsidR="00F54CC3" w:rsidRPr="009C52C4">
        <w:rPr>
          <w:rFonts w:ascii="Times New Roman" w:hAnsi="Times New Roman" w:cs="Times New Roman"/>
          <w:sz w:val="24"/>
          <w:szCs w:val="24"/>
        </w:rPr>
        <w:t>pregled nac</w:t>
      </w:r>
      <w:r w:rsidRPr="009C52C4">
        <w:rPr>
          <w:rFonts w:ascii="Times New Roman" w:hAnsi="Times New Roman" w:cs="Times New Roman"/>
          <w:sz w:val="24"/>
          <w:szCs w:val="24"/>
        </w:rPr>
        <w:t>ionalnog stambenog fonda zgrada i</w:t>
      </w:r>
      <w:r w:rsidR="00F54CC3" w:rsidRPr="009C52C4">
        <w:rPr>
          <w:rFonts w:ascii="Times New Roman" w:hAnsi="Times New Roman" w:cs="Times New Roman"/>
          <w:sz w:val="24"/>
          <w:szCs w:val="24"/>
        </w:rPr>
        <w:t xml:space="preserve"> pregled nacionalnog nestambenog fonda zgrada prema razdoblju izgradnje</w:t>
      </w:r>
      <w:r w:rsidRPr="009C52C4">
        <w:rPr>
          <w:rFonts w:ascii="Times New Roman" w:hAnsi="Times New Roman" w:cs="Times New Roman"/>
          <w:sz w:val="24"/>
          <w:szCs w:val="24"/>
        </w:rPr>
        <w:t xml:space="preserve">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_Ref483403593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i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_Ref483403608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r w:rsidR="00F54CC3" w:rsidRPr="009C52C4">
        <w:rPr>
          <w:rFonts w:ascii="Times New Roman" w:hAnsi="Times New Roman" w:cs="Times New Roman"/>
          <w:sz w:val="24"/>
          <w:szCs w:val="24"/>
        </w:rPr>
        <w:t>.</w:t>
      </w:r>
    </w:p>
    <w:p w14:paraId="28A1BF2C" w14:textId="6D9F05D8" w:rsidR="00B122B4" w:rsidRPr="009C52C4" w:rsidRDefault="00B122B4">
      <w:pPr>
        <w:rPr>
          <w:rFonts w:ascii="Times New Roman" w:hAnsi="Times New Roman" w:cs="Times New Roman"/>
          <w:sz w:val="24"/>
          <w:szCs w:val="24"/>
        </w:rPr>
      </w:pPr>
    </w:p>
    <w:p w14:paraId="08B02D80" w14:textId="69CE4F0E" w:rsidR="000B5376" w:rsidRPr="009C52C4" w:rsidRDefault="000B5376">
      <w:pPr>
        <w:rPr>
          <w:rFonts w:ascii="Times New Roman" w:hAnsi="Times New Roman" w:cs="Times New Roman"/>
          <w:sz w:val="24"/>
          <w:szCs w:val="24"/>
        </w:rPr>
      </w:pPr>
    </w:p>
    <w:p w14:paraId="2ABBB7D6" w14:textId="7E8847DB" w:rsidR="000B5376" w:rsidRPr="009C52C4" w:rsidRDefault="000B5376">
      <w:pPr>
        <w:rPr>
          <w:rFonts w:ascii="Times New Roman" w:hAnsi="Times New Roman" w:cs="Times New Roman"/>
          <w:sz w:val="24"/>
          <w:szCs w:val="24"/>
        </w:rPr>
      </w:pPr>
    </w:p>
    <w:p w14:paraId="4D39A8D3" w14:textId="380E81B1" w:rsidR="000B5376" w:rsidRPr="009C52C4" w:rsidRDefault="000B5376">
      <w:pPr>
        <w:rPr>
          <w:rFonts w:ascii="Times New Roman" w:hAnsi="Times New Roman" w:cs="Times New Roman"/>
          <w:sz w:val="24"/>
          <w:szCs w:val="24"/>
        </w:rPr>
      </w:pPr>
    </w:p>
    <w:p w14:paraId="1F923161" w14:textId="77777777" w:rsidR="000B5376" w:rsidRPr="009C52C4" w:rsidRDefault="000B5376">
      <w:pPr>
        <w:rPr>
          <w:rFonts w:ascii="Times New Roman" w:hAnsi="Times New Roman" w:cs="Times New Roman"/>
          <w:sz w:val="24"/>
          <w:szCs w:val="24"/>
        </w:rPr>
      </w:pPr>
    </w:p>
    <w:p w14:paraId="602FB341" w14:textId="77777777" w:rsidR="002F1F4B" w:rsidRPr="009C52C4" w:rsidRDefault="002F1F4B">
      <w:pPr>
        <w:rPr>
          <w:rFonts w:ascii="Times New Roman" w:hAnsi="Times New Roman" w:cs="Times New Roman"/>
          <w:sz w:val="24"/>
          <w:szCs w:val="24"/>
        </w:rPr>
      </w:pPr>
    </w:p>
    <w:p w14:paraId="20FCAE44" w14:textId="77777777" w:rsidR="002F1F4B" w:rsidRPr="009C52C4" w:rsidRDefault="002F1F4B">
      <w:pPr>
        <w:rPr>
          <w:rFonts w:ascii="Times New Roman" w:hAnsi="Times New Roman" w:cs="Times New Roman"/>
          <w:sz w:val="24"/>
          <w:szCs w:val="24"/>
        </w:rPr>
      </w:pPr>
    </w:p>
    <w:p w14:paraId="18B61E87" w14:textId="0EDBFABE" w:rsidR="006730B1" w:rsidRPr="009C52C4" w:rsidRDefault="00FA32EE" w:rsidP="006730B1">
      <w:pPr>
        <w:pStyle w:val="Caption"/>
        <w:rPr>
          <w:rFonts w:ascii="Times New Roman" w:hAnsi="Times New Roman" w:cs="Times New Roman"/>
          <w:sz w:val="24"/>
          <w:szCs w:val="24"/>
        </w:rPr>
      </w:pPr>
      <w:bookmarkStart w:id="13" w:name="h.3dy6vkm" w:colFirst="0" w:colLast="0"/>
      <w:bookmarkStart w:id="14" w:name="_Ref483403593"/>
      <w:bookmarkStart w:id="15" w:name="_Toc2681294"/>
      <w:bookmarkEnd w:id="13"/>
      <w:r w:rsidRPr="009C52C4">
        <w:rPr>
          <w:rFonts w:ascii="Times New Roman" w:hAnsi="Times New Roman" w:cs="Times New Roman"/>
          <w:sz w:val="24"/>
          <w:szCs w:val="24"/>
        </w:rPr>
        <w:t xml:space="preserve"> </w:t>
      </w:r>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4"/>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Stambeni fond Republike Hrvatske prema godini izgradnje</w:t>
      </w:r>
      <w:bookmarkEnd w:id="15"/>
    </w:p>
    <w:tbl>
      <w:tblPr>
        <w:tblW w:w="9138"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85"/>
        <w:gridCol w:w="1304"/>
        <w:gridCol w:w="1796"/>
        <w:gridCol w:w="1326"/>
        <w:gridCol w:w="1827"/>
      </w:tblGrid>
      <w:tr w:rsidR="001804D4" w:rsidRPr="009C52C4" w14:paraId="3EB8FBA8" w14:textId="77777777" w:rsidTr="00BD461D">
        <w:trPr>
          <w:trHeight w:val="20"/>
        </w:trPr>
        <w:tc>
          <w:tcPr>
            <w:tcW w:w="2885" w:type="dxa"/>
            <w:vMerge w:val="restart"/>
            <w:shd w:val="clear" w:color="auto" w:fill="C2D69B"/>
            <w:tcMar>
              <w:left w:w="115" w:type="dxa"/>
              <w:right w:w="115" w:type="dxa"/>
            </w:tcMar>
            <w:vAlign w:val="center"/>
          </w:tcPr>
          <w:p w14:paraId="1DBDE0E2" w14:textId="77777777" w:rsidR="001804D4" w:rsidRPr="009C52C4" w:rsidRDefault="001804D4" w:rsidP="00BD461D">
            <w:pPr>
              <w:jc w:val="left"/>
              <w:rPr>
                <w:rFonts w:ascii="Times New Roman" w:hAnsi="Times New Roman" w:cs="Times New Roman"/>
                <w:sz w:val="24"/>
                <w:szCs w:val="24"/>
              </w:rPr>
            </w:pPr>
            <w:r w:rsidRPr="009C52C4">
              <w:rPr>
                <w:rFonts w:ascii="Times New Roman" w:hAnsi="Times New Roman" w:cs="Times New Roman"/>
                <w:sz w:val="24"/>
                <w:szCs w:val="24"/>
              </w:rPr>
              <w:t>Godina izgradnje </w:t>
            </w:r>
          </w:p>
        </w:tc>
        <w:tc>
          <w:tcPr>
            <w:tcW w:w="3100" w:type="dxa"/>
            <w:gridSpan w:val="2"/>
            <w:shd w:val="clear" w:color="auto" w:fill="C2D69B"/>
            <w:tcMar>
              <w:left w:w="115" w:type="dxa"/>
              <w:right w:w="115" w:type="dxa"/>
            </w:tcMar>
            <w:vAlign w:val="center"/>
          </w:tcPr>
          <w:p w14:paraId="18690EA7"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Višestambene zgrade</w:t>
            </w:r>
          </w:p>
        </w:tc>
        <w:tc>
          <w:tcPr>
            <w:tcW w:w="3153" w:type="dxa"/>
            <w:gridSpan w:val="2"/>
            <w:shd w:val="clear" w:color="auto" w:fill="C2D69B" w:themeFill="accent3" w:themeFillTint="99"/>
            <w:tcMar>
              <w:left w:w="115" w:type="dxa"/>
              <w:right w:w="115" w:type="dxa"/>
            </w:tcMar>
            <w:vAlign w:val="center"/>
          </w:tcPr>
          <w:p w14:paraId="1163DA43" w14:textId="77777777" w:rsidR="001804D4" w:rsidRPr="009C52C4" w:rsidRDefault="001804D4"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r>
      <w:tr w:rsidR="001804D4" w:rsidRPr="009C52C4" w14:paraId="291FDC10" w14:textId="77777777" w:rsidTr="00BD461D">
        <w:trPr>
          <w:trHeight w:val="20"/>
        </w:trPr>
        <w:tc>
          <w:tcPr>
            <w:tcW w:w="2885" w:type="dxa"/>
            <w:vMerge/>
            <w:shd w:val="clear" w:color="auto" w:fill="EAF1DD"/>
            <w:tcMar>
              <w:left w:w="115" w:type="dxa"/>
              <w:right w:w="115" w:type="dxa"/>
            </w:tcMar>
            <w:vAlign w:val="bottom"/>
          </w:tcPr>
          <w:p w14:paraId="599B222A" w14:textId="77777777" w:rsidR="001804D4" w:rsidRPr="009C52C4" w:rsidRDefault="001804D4" w:rsidP="00BD461D">
            <w:pPr>
              <w:jc w:val="center"/>
              <w:rPr>
                <w:rFonts w:ascii="Times New Roman" w:hAnsi="Times New Roman" w:cs="Times New Roman"/>
                <w:sz w:val="24"/>
                <w:szCs w:val="24"/>
              </w:rPr>
            </w:pPr>
          </w:p>
        </w:tc>
        <w:tc>
          <w:tcPr>
            <w:tcW w:w="1304" w:type="dxa"/>
            <w:shd w:val="clear" w:color="auto" w:fill="EAF1DD"/>
            <w:tcMar>
              <w:left w:w="115" w:type="dxa"/>
              <w:right w:w="115" w:type="dxa"/>
            </w:tcMar>
            <w:vAlign w:val="bottom"/>
          </w:tcPr>
          <w:p w14:paraId="2F7A7FB3"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796" w:type="dxa"/>
            <w:shd w:val="clear" w:color="auto" w:fill="EAF1DD"/>
            <w:tcMar>
              <w:left w:w="115" w:type="dxa"/>
              <w:right w:w="115" w:type="dxa"/>
            </w:tcMar>
            <w:vAlign w:val="bottom"/>
          </w:tcPr>
          <w:p w14:paraId="0981B2B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w:t>
            </w:r>
            <w:r w:rsidR="009C11B8" w:rsidRPr="009C52C4">
              <w:rPr>
                <w:rFonts w:ascii="Times New Roman" w:hAnsi="Times New Roman" w:cs="Times New Roman"/>
                <w:sz w:val="24"/>
                <w:szCs w:val="24"/>
              </w:rPr>
              <w:t xml:space="preserve"> [m</w:t>
            </w:r>
            <w:r w:rsidR="009C11B8"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326" w:type="dxa"/>
            <w:shd w:val="clear" w:color="auto" w:fill="EAF1DD"/>
            <w:tcMar>
              <w:left w:w="115" w:type="dxa"/>
              <w:right w:w="115" w:type="dxa"/>
            </w:tcMar>
            <w:vAlign w:val="bottom"/>
          </w:tcPr>
          <w:p w14:paraId="4FB21BA1"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827" w:type="dxa"/>
            <w:shd w:val="clear" w:color="auto" w:fill="EAF1DD"/>
            <w:tcMar>
              <w:left w:w="115" w:type="dxa"/>
              <w:right w:w="115" w:type="dxa"/>
            </w:tcMar>
            <w:vAlign w:val="bottom"/>
          </w:tcPr>
          <w:p w14:paraId="7EDAC0B5"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w:t>
            </w:r>
            <w:r w:rsidR="009C11B8" w:rsidRPr="009C52C4">
              <w:rPr>
                <w:rFonts w:ascii="Times New Roman" w:hAnsi="Times New Roman" w:cs="Times New Roman"/>
                <w:sz w:val="24"/>
                <w:szCs w:val="24"/>
              </w:rPr>
              <w:t xml:space="preserve"> [m</w:t>
            </w:r>
            <w:r w:rsidR="009C11B8"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1804D4" w:rsidRPr="009C52C4" w14:paraId="745F320B" w14:textId="77777777" w:rsidTr="00BD461D">
        <w:trPr>
          <w:trHeight w:val="20"/>
        </w:trPr>
        <w:tc>
          <w:tcPr>
            <w:tcW w:w="2885" w:type="dxa"/>
            <w:shd w:val="clear" w:color="auto" w:fill="EAF1DD"/>
            <w:tcMar>
              <w:left w:w="115" w:type="dxa"/>
              <w:right w:w="115" w:type="dxa"/>
            </w:tcMar>
            <w:vAlign w:val="center"/>
          </w:tcPr>
          <w:p w14:paraId="464A127A"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do 1940.</w:t>
            </w:r>
          </w:p>
        </w:tc>
        <w:tc>
          <w:tcPr>
            <w:tcW w:w="1304" w:type="dxa"/>
            <w:shd w:val="clear" w:color="auto" w:fill="EAF1DD"/>
            <w:tcMar>
              <w:left w:w="115" w:type="dxa"/>
              <w:right w:w="115" w:type="dxa"/>
            </w:tcMar>
            <w:vAlign w:val="center"/>
          </w:tcPr>
          <w:p w14:paraId="22B3A2C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37.201</w:t>
            </w:r>
          </w:p>
        </w:tc>
        <w:tc>
          <w:tcPr>
            <w:tcW w:w="1796" w:type="dxa"/>
            <w:shd w:val="clear" w:color="auto" w:fill="EAF1DD"/>
            <w:tcMar>
              <w:left w:w="115" w:type="dxa"/>
              <w:right w:w="115" w:type="dxa"/>
            </w:tcMar>
            <w:vAlign w:val="center"/>
          </w:tcPr>
          <w:p w14:paraId="607922B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5.830.983</w:t>
            </w:r>
          </w:p>
        </w:tc>
        <w:tc>
          <w:tcPr>
            <w:tcW w:w="1326" w:type="dxa"/>
            <w:shd w:val="clear" w:color="auto" w:fill="EAF1DD"/>
            <w:tcMar>
              <w:left w:w="115" w:type="dxa"/>
              <w:right w:w="115" w:type="dxa"/>
            </w:tcMar>
            <w:vAlign w:val="center"/>
          </w:tcPr>
          <w:p w14:paraId="223649B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64.391</w:t>
            </w:r>
          </w:p>
        </w:tc>
        <w:tc>
          <w:tcPr>
            <w:tcW w:w="1827" w:type="dxa"/>
            <w:shd w:val="clear" w:color="auto" w:fill="EAF1DD"/>
            <w:tcMar>
              <w:left w:w="115" w:type="dxa"/>
              <w:right w:w="115" w:type="dxa"/>
            </w:tcMar>
            <w:vAlign w:val="center"/>
          </w:tcPr>
          <w:p w14:paraId="17B7770F"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10.092.805</w:t>
            </w:r>
          </w:p>
        </w:tc>
      </w:tr>
      <w:tr w:rsidR="001804D4" w:rsidRPr="009C52C4" w14:paraId="4D1730B0" w14:textId="77777777" w:rsidTr="00BD461D">
        <w:trPr>
          <w:trHeight w:val="20"/>
        </w:trPr>
        <w:tc>
          <w:tcPr>
            <w:tcW w:w="2885" w:type="dxa"/>
            <w:shd w:val="clear" w:color="auto" w:fill="EAF1DD"/>
            <w:tcMar>
              <w:left w:w="115" w:type="dxa"/>
              <w:right w:w="115" w:type="dxa"/>
            </w:tcMar>
            <w:vAlign w:val="center"/>
          </w:tcPr>
          <w:p w14:paraId="030FC7A9"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1941.- 1970.</w:t>
            </w:r>
          </w:p>
        </w:tc>
        <w:tc>
          <w:tcPr>
            <w:tcW w:w="1304" w:type="dxa"/>
            <w:shd w:val="clear" w:color="auto" w:fill="EAF1DD"/>
            <w:tcMar>
              <w:left w:w="115" w:type="dxa"/>
              <w:right w:w="115" w:type="dxa"/>
            </w:tcMar>
            <w:vAlign w:val="center"/>
          </w:tcPr>
          <w:p w14:paraId="0F6B5505"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85.959</w:t>
            </w:r>
          </w:p>
        </w:tc>
        <w:tc>
          <w:tcPr>
            <w:tcW w:w="1796" w:type="dxa"/>
            <w:shd w:val="clear" w:color="auto" w:fill="EAF1DD"/>
            <w:tcMar>
              <w:left w:w="115" w:type="dxa"/>
              <w:right w:w="115" w:type="dxa"/>
            </w:tcMar>
            <w:vAlign w:val="center"/>
          </w:tcPr>
          <w:p w14:paraId="23A96442"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13.473.337</w:t>
            </w:r>
          </w:p>
        </w:tc>
        <w:tc>
          <w:tcPr>
            <w:tcW w:w="1326" w:type="dxa"/>
            <w:shd w:val="clear" w:color="auto" w:fill="EAF1DD"/>
            <w:tcMar>
              <w:left w:w="115" w:type="dxa"/>
              <w:right w:w="115" w:type="dxa"/>
            </w:tcMar>
            <w:vAlign w:val="center"/>
          </w:tcPr>
          <w:p w14:paraId="3477EE6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151.507</w:t>
            </w:r>
          </w:p>
        </w:tc>
        <w:tc>
          <w:tcPr>
            <w:tcW w:w="1827" w:type="dxa"/>
            <w:shd w:val="clear" w:color="auto" w:fill="EAF1DD"/>
            <w:tcMar>
              <w:left w:w="115" w:type="dxa"/>
              <w:right w:w="115" w:type="dxa"/>
            </w:tcMar>
            <w:vAlign w:val="center"/>
          </w:tcPr>
          <w:p w14:paraId="7800ADC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23.747.572</w:t>
            </w:r>
          </w:p>
        </w:tc>
      </w:tr>
      <w:tr w:rsidR="001804D4" w:rsidRPr="009C52C4" w14:paraId="399ABA7E" w14:textId="77777777" w:rsidTr="00BD461D">
        <w:trPr>
          <w:trHeight w:val="20"/>
        </w:trPr>
        <w:tc>
          <w:tcPr>
            <w:tcW w:w="2885" w:type="dxa"/>
            <w:shd w:val="clear" w:color="auto" w:fill="EAF1DD"/>
            <w:tcMar>
              <w:left w:w="115" w:type="dxa"/>
              <w:right w:w="115" w:type="dxa"/>
            </w:tcMar>
            <w:vAlign w:val="center"/>
          </w:tcPr>
          <w:p w14:paraId="0DB3ACC7"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1971. - 1980.</w:t>
            </w:r>
          </w:p>
        </w:tc>
        <w:tc>
          <w:tcPr>
            <w:tcW w:w="1304" w:type="dxa"/>
            <w:shd w:val="clear" w:color="auto" w:fill="EAF1DD"/>
            <w:tcMar>
              <w:left w:w="115" w:type="dxa"/>
              <w:right w:w="115" w:type="dxa"/>
            </w:tcMar>
            <w:vAlign w:val="center"/>
          </w:tcPr>
          <w:p w14:paraId="40F803C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59.882</w:t>
            </w:r>
          </w:p>
        </w:tc>
        <w:tc>
          <w:tcPr>
            <w:tcW w:w="1796" w:type="dxa"/>
            <w:shd w:val="clear" w:color="auto" w:fill="EAF1DD"/>
            <w:tcMar>
              <w:left w:w="115" w:type="dxa"/>
              <w:right w:w="115" w:type="dxa"/>
            </w:tcMar>
            <w:vAlign w:val="center"/>
          </w:tcPr>
          <w:p w14:paraId="05B650C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10.398.113</w:t>
            </w:r>
          </w:p>
        </w:tc>
        <w:tc>
          <w:tcPr>
            <w:tcW w:w="1326" w:type="dxa"/>
            <w:shd w:val="clear" w:color="auto" w:fill="EAF1DD"/>
            <w:tcMar>
              <w:left w:w="115" w:type="dxa"/>
              <w:right w:w="115" w:type="dxa"/>
            </w:tcMar>
            <w:vAlign w:val="center"/>
          </w:tcPr>
          <w:p w14:paraId="3E448C9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93.109</w:t>
            </w:r>
          </w:p>
        </w:tc>
        <w:tc>
          <w:tcPr>
            <w:tcW w:w="1827" w:type="dxa"/>
            <w:shd w:val="clear" w:color="auto" w:fill="EAF1DD"/>
            <w:tcMar>
              <w:left w:w="115" w:type="dxa"/>
              <w:right w:w="115" w:type="dxa"/>
            </w:tcMar>
            <w:vAlign w:val="center"/>
          </w:tcPr>
          <w:p w14:paraId="66D2A1E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16.167.887</w:t>
            </w:r>
          </w:p>
        </w:tc>
      </w:tr>
      <w:tr w:rsidR="001804D4" w:rsidRPr="009C52C4" w14:paraId="6E6C66CD" w14:textId="77777777" w:rsidTr="00BD461D">
        <w:trPr>
          <w:trHeight w:val="20"/>
        </w:trPr>
        <w:tc>
          <w:tcPr>
            <w:tcW w:w="2885" w:type="dxa"/>
            <w:shd w:val="clear" w:color="auto" w:fill="EAF1DD"/>
            <w:tcMar>
              <w:left w:w="115" w:type="dxa"/>
              <w:right w:w="115" w:type="dxa"/>
            </w:tcMar>
            <w:vAlign w:val="center"/>
          </w:tcPr>
          <w:p w14:paraId="7FF152DB"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1981. - 1987.</w:t>
            </w:r>
          </w:p>
        </w:tc>
        <w:tc>
          <w:tcPr>
            <w:tcW w:w="1304" w:type="dxa"/>
            <w:shd w:val="clear" w:color="auto" w:fill="EAF1DD"/>
            <w:tcMar>
              <w:left w:w="115" w:type="dxa"/>
              <w:right w:w="115" w:type="dxa"/>
            </w:tcMar>
            <w:vAlign w:val="center"/>
          </w:tcPr>
          <w:p w14:paraId="680488A7"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44.434</w:t>
            </w:r>
          </w:p>
        </w:tc>
        <w:tc>
          <w:tcPr>
            <w:tcW w:w="1796" w:type="dxa"/>
            <w:shd w:val="clear" w:color="auto" w:fill="EAF1DD"/>
            <w:tcMar>
              <w:left w:w="115" w:type="dxa"/>
              <w:right w:w="115" w:type="dxa"/>
            </w:tcMar>
            <w:vAlign w:val="center"/>
          </w:tcPr>
          <w:p w14:paraId="10FB5A7E"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9.401.527</w:t>
            </w:r>
          </w:p>
        </w:tc>
        <w:tc>
          <w:tcPr>
            <w:tcW w:w="1326" w:type="dxa"/>
            <w:shd w:val="clear" w:color="auto" w:fill="EAF1DD"/>
            <w:tcMar>
              <w:left w:w="115" w:type="dxa"/>
              <w:right w:w="115" w:type="dxa"/>
            </w:tcMar>
            <w:vAlign w:val="center"/>
          </w:tcPr>
          <w:p w14:paraId="15CB55DD"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68.348</w:t>
            </w:r>
          </w:p>
        </w:tc>
        <w:tc>
          <w:tcPr>
            <w:tcW w:w="1827" w:type="dxa"/>
            <w:shd w:val="clear" w:color="auto" w:fill="EAF1DD"/>
            <w:tcMar>
              <w:left w:w="115" w:type="dxa"/>
              <w:right w:w="115" w:type="dxa"/>
            </w:tcMar>
            <w:vAlign w:val="center"/>
          </w:tcPr>
          <w:p w14:paraId="34A9BAB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14.461.473</w:t>
            </w:r>
          </w:p>
        </w:tc>
      </w:tr>
      <w:tr w:rsidR="001804D4" w:rsidRPr="009C52C4" w14:paraId="41A4759F" w14:textId="77777777" w:rsidTr="00BD461D">
        <w:trPr>
          <w:trHeight w:val="20"/>
        </w:trPr>
        <w:tc>
          <w:tcPr>
            <w:tcW w:w="2885" w:type="dxa"/>
            <w:shd w:val="clear" w:color="auto" w:fill="EAF1DD"/>
            <w:tcMar>
              <w:left w:w="115" w:type="dxa"/>
              <w:right w:w="115" w:type="dxa"/>
            </w:tcMar>
            <w:vAlign w:val="center"/>
          </w:tcPr>
          <w:p w14:paraId="4FB0B764"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1988. - 2005.</w:t>
            </w:r>
          </w:p>
        </w:tc>
        <w:tc>
          <w:tcPr>
            <w:tcW w:w="1304" w:type="dxa"/>
            <w:shd w:val="clear" w:color="auto" w:fill="EAF1DD"/>
            <w:tcMar>
              <w:left w:w="115" w:type="dxa"/>
              <w:right w:w="115" w:type="dxa"/>
            </w:tcMar>
            <w:vAlign w:val="center"/>
          </w:tcPr>
          <w:p w14:paraId="497846FA"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38.358</w:t>
            </w:r>
          </w:p>
        </w:tc>
        <w:tc>
          <w:tcPr>
            <w:tcW w:w="1796" w:type="dxa"/>
            <w:shd w:val="clear" w:color="auto" w:fill="EAF1DD"/>
            <w:tcMar>
              <w:left w:w="115" w:type="dxa"/>
              <w:right w:w="115" w:type="dxa"/>
            </w:tcMar>
            <w:vAlign w:val="center"/>
          </w:tcPr>
          <w:p w14:paraId="2647C1E2"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8.177.401</w:t>
            </w:r>
          </w:p>
        </w:tc>
        <w:tc>
          <w:tcPr>
            <w:tcW w:w="1326" w:type="dxa"/>
            <w:shd w:val="clear" w:color="auto" w:fill="EAF1DD"/>
            <w:tcMar>
              <w:left w:w="115" w:type="dxa"/>
              <w:right w:w="115" w:type="dxa"/>
            </w:tcMar>
            <w:vAlign w:val="center"/>
          </w:tcPr>
          <w:p w14:paraId="29E5C582"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75.615</w:t>
            </w:r>
          </w:p>
        </w:tc>
        <w:tc>
          <w:tcPr>
            <w:tcW w:w="1827" w:type="dxa"/>
            <w:shd w:val="clear" w:color="auto" w:fill="EAF1DD"/>
            <w:tcMar>
              <w:left w:w="115" w:type="dxa"/>
              <w:right w:w="115" w:type="dxa"/>
            </w:tcMar>
            <w:vAlign w:val="center"/>
          </w:tcPr>
          <w:p w14:paraId="6ED6CDD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16.120.249</w:t>
            </w:r>
          </w:p>
        </w:tc>
      </w:tr>
      <w:tr w:rsidR="001804D4" w:rsidRPr="009C52C4" w14:paraId="17AF608C" w14:textId="77777777" w:rsidTr="00BD461D">
        <w:trPr>
          <w:trHeight w:val="20"/>
        </w:trPr>
        <w:tc>
          <w:tcPr>
            <w:tcW w:w="2885" w:type="dxa"/>
            <w:shd w:val="clear" w:color="auto" w:fill="EAF1DD"/>
            <w:tcMar>
              <w:left w:w="115" w:type="dxa"/>
              <w:right w:w="115" w:type="dxa"/>
            </w:tcMar>
            <w:vAlign w:val="center"/>
          </w:tcPr>
          <w:p w14:paraId="5D41229C"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2006. – 2009.</w:t>
            </w:r>
          </w:p>
        </w:tc>
        <w:tc>
          <w:tcPr>
            <w:tcW w:w="1304" w:type="dxa"/>
            <w:shd w:val="clear" w:color="auto" w:fill="EAF1DD"/>
            <w:tcMar>
              <w:left w:w="115" w:type="dxa"/>
              <w:right w:w="115" w:type="dxa"/>
            </w:tcMar>
            <w:vAlign w:val="center"/>
          </w:tcPr>
          <w:p w14:paraId="26D9B05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18.256</w:t>
            </w:r>
          </w:p>
        </w:tc>
        <w:tc>
          <w:tcPr>
            <w:tcW w:w="1796" w:type="dxa"/>
            <w:shd w:val="clear" w:color="auto" w:fill="EAF1DD"/>
            <w:tcMar>
              <w:left w:w="115" w:type="dxa"/>
              <w:right w:w="115" w:type="dxa"/>
            </w:tcMar>
            <w:vAlign w:val="center"/>
          </w:tcPr>
          <w:p w14:paraId="084DA74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6.199.252</w:t>
            </w:r>
          </w:p>
        </w:tc>
        <w:tc>
          <w:tcPr>
            <w:tcW w:w="1326" w:type="dxa"/>
            <w:shd w:val="clear" w:color="auto" w:fill="EAF1DD"/>
            <w:tcMar>
              <w:left w:w="115" w:type="dxa"/>
              <w:right w:w="115" w:type="dxa"/>
            </w:tcMar>
            <w:vAlign w:val="center"/>
          </w:tcPr>
          <w:p w14:paraId="2617542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13.762</w:t>
            </w:r>
          </w:p>
        </w:tc>
        <w:tc>
          <w:tcPr>
            <w:tcW w:w="1827" w:type="dxa"/>
            <w:shd w:val="clear" w:color="auto" w:fill="EAF1DD"/>
            <w:tcMar>
              <w:left w:w="115" w:type="dxa"/>
              <w:right w:w="115" w:type="dxa"/>
            </w:tcMar>
            <w:vAlign w:val="center"/>
          </w:tcPr>
          <w:p w14:paraId="6804B562"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4.673.079</w:t>
            </w:r>
          </w:p>
        </w:tc>
      </w:tr>
      <w:tr w:rsidR="001804D4" w:rsidRPr="009C52C4" w14:paraId="760B8AD8" w14:textId="77777777" w:rsidTr="00BD461D">
        <w:trPr>
          <w:trHeight w:val="20"/>
        </w:trPr>
        <w:tc>
          <w:tcPr>
            <w:tcW w:w="2885" w:type="dxa"/>
            <w:shd w:val="clear" w:color="auto" w:fill="EAF1DD"/>
            <w:tcMar>
              <w:left w:w="115" w:type="dxa"/>
              <w:right w:w="115" w:type="dxa"/>
            </w:tcMar>
            <w:vAlign w:val="center"/>
          </w:tcPr>
          <w:p w14:paraId="3E179C92"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2010. - 2011.</w:t>
            </w:r>
          </w:p>
        </w:tc>
        <w:tc>
          <w:tcPr>
            <w:tcW w:w="1304" w:type="dxa"/>
            <w:shd w:val="clear" w:color="auto" w:fill="EAF1DD"/>
            <w:tcMar>
              <w:left w:w="115" w:type="dxa"/>
              <w:right w:w="115" w:type="dxa"/>
            </w:tcMar>
            <w:vAlign w:val="center"/>
          </w:tcPr>
          <w:p w14:paraId="2ADE7258"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6.600</w:t>
            </w:r>
          </w:p>
        </w:tc>
        <w:tc>
          <w:tcPr>
            <w:tcW w:w="1796" w:type="dxa"/>
            <w:shd w:val="clear" w:color="auto" w:fill="EAF1DD"/>
            <w:tcMar>
              <w:left w:w="115" w:type="dxa"/>
              <w:right w:w="115" w:type="dxa"/>
            </w:tcMar>
            <w:vAlign w:val="center"/>
          </w:tcPr>
          <w:p w14:paraId="32D563A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1.957.449</w:t>
            </w:r>
          </w:p>
        </w:tc>
        <w:tc>
          <w:tcPr>
            <w:tcW w:w="1326" w:type="dxa"/>
            <w:shd w:val="clear" w:color="auto" w:fill="EAF1DD"/>
            <w:tcMar>
              <w:left w:w="115" w:type="dxa"/>
              <w:right w:w="115" w:type="dxa"/>
            </w:tcMar>
            <w:vAlign w:val="center"/>
          </w:tcPr>
          <w:p w14:paraId="3F5BB9CE"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4.976</w:t>
            </w:r>
          </w:p>
        </w:tc>
        <w:tc>
          <w:tcPr>
            <w:tcW w:w="1827" w:type="dxa"/>
            <w:shd w:val="clear" w:color="auto" w:fill="EAF1DD"/>
            <w:tcMar>
              <w:left w:w="115" w:type="dxa"/>
              <w:right w:w="115" w:type="dxa"/>
            </w:tcMar>
            <w:vAlign w:val="center"/>
          </w:tcPr>
          <w:p w14:paraId="3CF3F505"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1.475.551</w:t>
            </w:r>
          </w:p>
        </w:tc>
      </w:tr>
      <w:tr w:rsidR="001804D4" w:rsidRPr="009C52C4" w14:paraId="6E6C196E" w14:textId="77777777" w:rsidTr="00BD461D">
        <w:trPr>
          <w:trHeight w:val="20"/>
        </w:trPr>
        <w:tc>
          <w:tcPr>
            <w:tcW w:w="2885" w:type="dxa"/>
            <w:shd w:val="clear" w:color="auto" w:fill="EAF1DD"/>
            <w:tcMar>
              <w:left w:w="115" w:type="dxa"/>
              <w:right w:w="115" w:type="dxa"/>
            </w:tcMar>
            <w:vAlign w:val="center"/>
          </w:tcPr>
          <w:p w14:paraId="33DA6BFE"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304" w:type="dxa"/>
            <w:shd w:val="clear" w:color="auto" w:fill="EAF1DD"/>
            <w:tcMar>
              <w:left w:w="115" w:type="dxa"/>
              <w:right w:w="115" w:type="dxa"/>
            </w:tcMar>
            <w:vAlign w:val="bottom"/>
          </w:tcPr>
          <w:p w14:paraId="5D6DBBEC" w14:textId="432DA028"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290.6</w:t>
            </w:r>
            <w:r w:rsidR="000B5376" w:rsidRPr="009C52C4">
              <w:rPr>
                <w:rFonts w:ascii="Times New Roman" w:hAnsi="Times New Roman" w:cs="Times New Roman"/>
                <w:sz w:val="24"/>
                <w:szCs w:val="24"/>
              </w:rPr>
              <w:t>90</w:t>
            </w:r>
          </w:p>
        </w:tc>
        <w:tc>
          <w:tcPr>
            <w:tcW w:w="1796" w:type="dxa"/>
            <w:shd w:val="clear" w:color="auto" w:fill="EAF1DD"/>
            <w:tcMar>
              <w:left w:w="115" w:type="dxa"/>
              <w:right w:w="115" w:type="dxa"/>
            </w:tcMar>
            <w:vAlign w:val="bottom"/>
          </w:tcPr>
          <w:p w14:paraId="55CF45F8" w14:textId="0AC26884"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55.438.06</w:t>
            </w:r>
            <w:r w:rsidR="000B5376" w:rsidRPr="009C52C4">
              <w:rPr>
                <w:rFonts w:ascii="Times New Roman" w:hAnsi="Times New Roman" w:cs="Times New Roman"/>
                <w:sz w:val="24"/>
                <w:szCs w:val="24"/>
              </w:rPr>
              <w:t>2</w:t>
            </w:r>
          </w:p>
        </w:tc>
        <w:tc>
          <w:tcPr>
            <w:tcW w:w="1326" w:type="dxa"/>
            <w:shd w:val="clear" w:color="auto" w:fill="EAF1DD"/>
            <w:tcMar>
              <w:left w:w="115" w:type="dxa"/>
              <w:right w:w="115" w:type="dxa"/>
            </w:tcMar>
            <w:vAlign w:val="bottom"/>
          </w:tcPr>
          <w:p w14:paraId="0BBC10E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471.708</w:t>
            </w:r>
          </w:p>
        </w:tc>
        <w:tc>
          <w:tcPr>
            <w:tcW w:w="1827" w:type="dxa"/>
            <w:shd w:val="clear" w:color="auto" w:fill="EAF1DD"/>
            <w:tcMar>
              <w:left w:w="115" w:type="dxa"/>
              <w:right w:w="115" w:type="dxa"/>
            </w:tcMar>
            <w:vAlign w:val="bottom"/>
          </w:tcPr>
          <w:p w14:paraId="48E0AD7B" w14:textId="5924A9CE"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86.738.61</w:t>
            </w:r>
            <w:r w:rsidR="000B5376" w:rsidRPr="009C52C4">
              <w:rPr>
                <w:rFonts w:ascii="Times New Roman" w:hAnsi="Times New Roman" w:cs="Times New Roman"/>
                <w:sz w:val="24"/>
                <w:szCs w:val="24"/>
              </w:rPr>
              <w:t>6</w:t>
            </w:r>
          </w:p>
        </w:tc>
      </w:tr>
    </w:tbl>
    <w:p w14:paraId="44187152" w14:textId="282F0D39" w:rsidR="00B122B4" w:rsidRPr="009C52C4" w:rsidRDefault="00FA32EE">
      <w:pPr>
        <w:rPr>
          <w:rFonts w:ascii="Times New Roman" w:hAnsi="Times New Roman" w:cs="Times New Roman"/>
          <w:sz w:val="24"/>
          <w:szCs w:val="24"/>
        </w:rPr>
      </w:pPr>
      <w:r w:rsidRPr="009C52C4">
        <w:rPr>
          <w:rFonts w:ascii="Times New Roman" w:hAnsi="Times New Roman" w:cs="Times New Roman"/>
          <w:sz w:val="24"/>
          <w:szCs w:val="24"/>
        </w:rPr>
        <w:t xml:space="preserve"> </w:t>
      </w:r>
      <w:r w:rsidR="00825592"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78C0210A" w14:textId="77777777" w:rsidR="000B57C1" w:rsidRPr="009C52C4" w:rsidRDefault="000B57C1">
      <w:pPr>
        <w:rPr>
          <w:rFonts w:ascii="Times New Roman" w:hAnsi="Times New Roman" w:cs="Times New Roman"/>
          <w:sz w:val="24"/>
          <w:szCs w:val="24"/>
        </w:rPr>
      </w:pPr>
    </w:p>
    <w:p w14:paraId="7DC07D0E" w14:textId="301B1CC3" w:rsidR="006730B1" w:rsidRPr="009C52C4" w:rsidRDefault="00825592" w:rsidP="006730B1">
      <w:pPr>
        <w:pStyle w:val="Caption"/>
        <w:rPr>
          <w:rFonts w:ascii="Times New Roman" w:hAnsi="Times New Roman" w:cs="Times New Roman"/>
          <w:sz w:val="24"/>
          <w:szCs w:val="24"/>
        </w:rPr>
      </w:pPr>
      <w:bookmarkStart w:id="16" w:name="h.1t3h5sf" w:colFirst="0" w:colLast="0"/>
      <w:bookmarkStart w:id="17" w:name="_Ref483403608"/>
      <w:bookmarkEnd w:id="16"/>
      <w:r w:rsidRPr="009C52C4">
        <w:rPr>
          <w:rFonts w:ascii="Times New Roman" w:hAnsi="Times New Roman" w:cs="Times New Roman"/>
          <w:sz w:val="24"/>
          <w:szCs w:val="24"/>
        </w:rPr>
        <w:t xml:space="preserve"> </w:t>
      </w:r>
      <w:bookmarkStart w:id="18" w:name="_Toc2681295"/>
      <w:r w:rsidR="00FA32EE" w:rsidRPr="009C52C4">
        <w:rPr>
          <w:rFonts w:ascii="Times New Roman" w:hAnsi="Times New Roman" w:cs="Times New Roman"/>
          <w:sz w:val="24"/>
          <w:szCs w:val="24"/>
        </w:rPr>
        <w:t xml:space="preserve"> </w:t>
      </w:r>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17"/>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Nestambeni fond Republike Hrvatske prema godini izgradnje</w:t>
      </w:r>
      <w:bookmarkEnd w:id="18"/>
    </w:p>
    <w:tbl>
      <w:tblPr>
        <w:tblW w:w="91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8"/>
        <w:gridCol w:w="1218"/>
        <w:gridCol w:w="1851"/>
        <w:gridCol w:w="1458"/>
        <w:gridCol w:w="1611"/>
      </w:tblGrid>
      <w:tr w:rsidR="001804D4" w:rsidRPr="009C52C4" w14:paraId="5B35E3D0" w14:textId="77777777" w:rsidTr="00BD461D">
        <w:trPr>
          <w:trHeight w:val="20"/>
        </w:trPr>
        <w:tc>
          <w:tcPr>
            <w:tcW w:w="2978" w:type="dxa"/>
            <w:vMerge w:val="restart"/>
            <w:shd w:val="clear" w:color="auto" w:fill="C2D69B"/>
            <w:tcMar>
              <w:left w:w="115" w:type="dxa"/>
              <w:right w:w="115" w:type="dxa"/>
            </w:tcMar>
            <w:vAlign w:val="center"/>
          </w:tcPr>
          <w:p w14:paraId="5C8A8F2D" w14:textId="77777777" w:rsidR="001804D4" w:rsidRPr="009C52C4" w:rsidRDefault="001804D4" w:rsidP="00BD461D">
            <w:pPr>
              <w:jc w:val="left"/>
              <w:rPr>
                <w:rFonts w:ascii="Times New Roman" w:hAnsi="Times New Roman" w:cs="Times New Roman"/>
                <w:sz w:val="24"/>
                <w:szCs w:val="24"/>
              </w:rPr>
            </w:pPr>
            <w:bookmarkStart w:id="19" w:name="h.4d34og8" w:colFirst="0" w:colLast="0"/>
            <w:bookmarkEnd w:id="19"/>
            <w:r w:rsidRPr="009C52C4">
              <w:rPr>
                <w:rFonts w:ascii="Times New Roman" w:hAnsi="Times New Roman" w:cs="Times New Roman"/>
                <w:sz w:val="24"/>
                <w:szCs w:val="24"/>
              </w:rPr>
              <w:t>Godina izgradnje</w:t>
            </w:r>
          </w:p>
        </w:tc>
        <w:tc>
          <w:tcPr>
            <w:tcW w:w="3069" w:type="dxa"/>
            <w:gridSpan w:val="2"/>
            <w:shd w:val="clear" w:color="auto" w:fill="C2D69B"/>
            <w:tcMar>
              <w:left w:w="115" w:type="dxa"/>
              <w:right w:w="115" w:type="dxa"/>
            </w:tcMar>
            <w:vAlign w:val="center"/>
          </w:tcPr>
          <w:p w14:paraId="4AA38C63"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Zgrade komercijalne namjene</w:t>
            </w:r>
          </w:p>
        </w:tc>
        <w:tc>
          <w:tcPr>
            <w:tcW w:w="3069" w:type="dxa"/>
            <w:gridSpan w:val="2"/>
            <w:shd w:val="clear" w:color="auto" w:fill="C2D69B" w:themeFill="accent3" w:themeFillTint="99"/>
            <w:tcMar>
              <w:left w:w="115" w:type="dxa"/>
              <w:right w:w="115" w:type="dxa"/>
            </w:tcMar>
            <w:vAlign w:val="center"/>
          </w:tcPr>
          <w:p w14:paraId="7F4D8009" w14:textId="77777777" w:rsidR="001804D4" w:rsidRPr="009C52C4" w:rsidRDefault="001804D4"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r>
      <w:tr w:rsidR="001804D4" w:rsidRPr="009C52C4" w14:paraId="5E3A6D48" w14:textId="77777777" w:rsidTr="00BD461D">
        <w:trPr>
          <w:trHeight w:val="20"/>
        </w:trPr>
        <w:tc>
          <w:tcPr>
            <w:tcW w:w="2978" w:type="dxa"/>
            <w:vMerge/>
            <w:shd w:val="clear" w:color="auto" w:fill="EAF1DD"/>
            <w:tcMar>
              <w:left w:w="115" w:type="dxa"/>
              <w:right w:w="115" w:type="dxa"/>
            </w:tcMar>
            <w:vAlign w:val="bottom"/>
          </w:tcPr>
          <w:p w14:paraId="3D7176DB" w14:textId="77777777" w:rsidR="001804D4" w:rsidRPr="009C52C4" w:rsidRDefault="001804D4" w:rsidP="00BD461D">
            <w:pPr>
              <w:rPr>
                <w:rFonts w:ascii="Times New Roman" w:hAnsi="Times New Roman" w:cs="Times New Roman"/>
                <w:sz w:val="24"/>
                <w:szCs w:val="24"/>
              </w:rPr>
            </w:pPr>
          </w:p>
        </w:tc>
        <w:tc>
          <w:tcPr>
            <w:tcW w:w="1218" w:type="dxa"/>
            <w:shd w:val="clear" w:color="auto" w:fill="EAF1DD"/>
            <w:tcMar>
              <w:left w:w="115" w:type="dxa"/>
              <w:right w:w="115" w:type="dxa"/>
            </w:tcMar>
            <w:vAlign w:val="bottom"/>
          </w:tcPr>
          <w:p w14:paraId="44E996A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851" w:type="dxa"/>
            <w:shd w:val="clear" w:color="auto" w:fill="EAF1DD"/>
            <w:tcMar>
              <w:left w:w="115" w:type="dxa"/>
              <w:right w:w="115" w:type="dxa"/>
            </w:tcMar>
            <w:vAlign w:val="bottom"/>
          </w:tcPr>
          <w:p w14:paraId="5045A8D6"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w:t>
            </w:r>
            <w:r w:rsidR="009C11B8" w:rsidRPr="009C52C4">
              <w:rPr>
                <w:rFonts w:ascii="Times New Roman" w:hAnsi="Times New Roman" w:cs="Times New Roman"/>
                <w:sz w:val="24"/>
                <w:szCs w:val="24"/>
              </w:rPr>
              <w:t xml:space="preserve"> [m</w:t>
            </w:r>
            <w:r w:rsidR="009C11B8"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458" w:type="dxa"/>
            <w:shd w:val="clear" w:color="auto" w:fill="EAF1DD"/>
            <w:tcMar>
              <w:left w:w="115" w:type="dxa"/>
              <w:right w:w="115" w:type="dxa"/>
            </w:tcMar>
            <w:vAlign w:val="bottom"/>
          </w:tcPr>
          <w:p w14:paraId="1B6AF29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611" w:type="dxa"/>
            <w:shd w:val="clear" w:color="auto" w:fill="EAF1DD"/>
            <w:tcMar>
              <w:left w:w="115" w:type="dxa"/>
              <w:right w:w="115" w:type="dxa"/>
            </w:tcMar>
            <w:vAlign w:val="bottom"/>
          </w:tcPr>
          <w:p w14:paraId="70EA0E7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w:t>
            </w:r>
            <w:r w:rsidR="009C11B8" w:rsidRPr="009C52C4">
              <w:rPr>
                <w:rFonts w:ascii="Times New Roman" w:hAnsi="Times New Roman" w:cs="Times New Roman"/>
                <w:sz w:val="24"/>
                <w:szCs w:val="24"/>
              </w:rPr>
              <w:t xml:space="preserve"> [m</w:t>
            </w:r>
            <w:r w:rsidR="009C11B8"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1804D4" w:rsidRPr="009C52C4" w14:paraId="255A09A9" w14:textId="77777777" w:rsidTr="00BD461D">
        <w:trPr>
          <w:trHeight w:val="20"/>
        </w:trPr>
        <w:tc>
          <w:tcPr>
            <w:tcW w:w="2978" w:type="dxa"/>
            <w:shd w:val="clear" w:color="auto" w:fill="EAF1DD"/>
            <w:tcMar>
              <w:left w:w="115" w:type="dxa"/>
              <w:right w:w="115" w:type="dxa"/>
            </w:tcMar>
            <w:vAlign w:val="bottom"/>
          </w:tcPr>
          <w:p w14:paraId="027F52E1"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do 1940.</w:t>
            </w:r>
          </w:p>
        </w:tc>
        <w:tc>
          <w:tcPr>
            <w:tcW w:w="1218" w:type="dxa"/>
            <w:shd w:val="clear" w:color="auto" w:fill="EAF1DD"/>
            <w:tcMar>
              <w:left w:w="115" w:type="dxa"/>
              <w:right w:w="115" w:type="dxa"/>
            </w:tcMar>
            <w:vAlign w:val="center"/>
          </w:tcPr>
          <w:p w14:paraId="699B2E8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2.338</w:t>
            </w:r>
          </w:p>
        </w:tc>
        <w:tc>
          <w:tcPr>
            <w:tcW w:w="1851" w:type="dxa"/>
            <w:shd w:val="clear" w:color="auto" w:fill="EAF1DD"/>
            <w:tcMar>
              <w:left w:w="115" w:type="dxa"/>
              <w:right w:w="115" w:type="dxa"/>
            </w:tcMar>
            <w:vAlign w:val="center"/>
          </w:tcPr>
          <w:p w14:paraId="01557C2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1.498.159</w:t>
            </w:r>
          </w:p>
        </w:tc>
        <w:tc>
          <w:tcPr>
            <w:tcW w:w="1458" w:type="dxa"/>
            <w:shd w:val="clear" w:color="auto" w:fill="EAF1DD"/>
            <w:tcMar>
              <w:left w:w="115" w:type="dxa"/>
              <w:right w:w="115" w:type="dxa"/>
            </w:tcMar>
            <w:vAlign w:val="center"/>
          </w:tcPr>
          <w:p w14:paraId="478936C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12.365</w:t>
            </w:r>
          </w:p>
        </w:tc>
        <w:tc>
          <w:tcPr>
            <w:tcW w:w="1611" w:type="dxa"/>
            <w:shd w:val="clear" w:color="auto" w:fill="EAF1DD"/>
            <w:tcMar>
              <w:left w:w="115" w:type="dxa"/>
              <w:right w:w="115" w:type="dxa"/>
            </w:tcMar>
            <w:vAlign w:val="center"/>
          </w:tcPr>
          <w:p w14:paraId="7607D3E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1.545.813</w:t>
            </w:r>
          </w:p>
        </w:tc>
      </w:tr>
      <w:tr w:rsidR="001804D4" w:rsidRPr="009C52C4" w14:paraId="2138533B" w14:textId="77777777" w:rsidTr="00BD461D">
        <w:trPr>
          <w:trHeight w:val="20"/>
        </w:trPr>
        <w:tc>
          <w:tcPr>
            <w:tcW w:w="2978" w:type="dxa"/>
            <w:shd w:val="clear" w:color="auto" w:fill="EAF1DD"/>
            <w:tcMar>
              <w:left w:w="115" w:type="dxa"/>
              <w:right w:w="115" w:type="dxa"/>
            </w:tcMar>
            <w:vAlign w:val="bottom"/>
          </w:tcPr>
          <w:p w14:paraId="0A3154DE"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1941.- 1970.</w:t>
            </w:r>
          </w:p>
        </w:tc>
        <w:tc>
          <w:tcPr>
            <w:tcW w:w="1218" w:type="dxa"/>
            <w:shd w:val="clear" w:color="auto" w:fill="EAF1DD"/>
            <w:tcMar>
              <w:left w:w="115" w:type="dxa"/>
              <w:right w:w="115" w:type="dxa"/>
            </w:tcMar>
            <w:vAlign w:val="center"/>
          </w:tcPr>
          <w:p w14:paraId="21916C2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12.587</w:t>
            </w:r>
          </w:p>
        </w:tc>
        <w:tc>
          <w:tcPr>
            <w:tcW w:w="1851" w:type="dxa"/>
            <w:shd w:val="clear" w:color="auto" w:fill="EAF1DD"/>
            <w:tcMar>
              <w:left w:w="115" w:type="dxa"/>
              <w:right w:w="115" w:type="dxa"/>
            </w:tcMar>
            <w:vAlign w:val="center"/>
          </w:tcPr>
          <w:p w14:paraId="62EF64D7"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8.064.602</w:t>
            </w:r>
          </w:p>
        </w:tc>
        <w:tc>
          <w:tcPr>
            <w:tcW w:w="1458" w:type="dxa"/>
            <w:shd w:val="clear" w:color="auto" w:fill="EAF1DD"/>
            <w:tcMar>
              <w:left w:w="115" w:type="dxa"/>
              <w:right w:w="115" w:type="dxa"/>
            </w:tcMar>
            <w:vAlign w:val="center"/>
          </w:tcPr>
          <w:p w14:paraId="14FC874A"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22.525</w:t>
            </w:r>
          </w:p>
        </w:tc>
        <w:tc>
          <w:tcPr>
            <w:tcW w:w="1611" w:type="dxa"/>
            <w:shd w:val="clear" w:color="auto" w:fill="EAF1DD"/>
            <w:tcMar>
              <w:left w:w="115" w:type="dxa"/>
              <w:right w:w="115" w:type="dxa"/>
            </w:tcMar>
            <w:vAlign w:val="center"/>
          </w:tcPr>
          <w:p w14:paraId="36DEED0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2.815.845</w:t>
            </w:r>
          </w:p>
        </w:tc>
      </w:tr>
      <w:tr w:rsidR="001804D4" w:rsidRPr="009C52C4" w14:paraId="2F6885A8" w14:textId="77777777" w:rsidTr="00BD461D">
        <w:trPr>
          <w:trHeight w:val="20"/>
        </w:trPr>
        <w:tc>
          <w:tcPr>
            <w:tcW w:w="2978" w:type="dxa"/>
            <w:shd w:val="clear" w:color="auto" w:fill="EAF1DD"/>
            <w:tcMar>
              <w:left w:w="115" w:type="dxa"/>
              <w:right w:w="115" w:type="dxa"/>
            </w:tcMar>
            <w:vAlign w:val="bottom"/>
          </w:tcPr>
          <w:p w14:paraId="08DDB390"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1971. - 1980.</w:t>
            </w:r>
          </w:p>
        </w:tc>
        <w:tc>
          <w:tcPr>
            <w:tcW w:w="1218" w:type="dxa"/>
            <w:shd w:val="clear" w:color="auto" w:fill="EAF1DD"/>
            <w:tcMar>
              <w:left w:w="115" w:type="dxa"/>
              <w:right w:w="115" w:type="dxa"/>
            </w:tcMar>
            <w:vAlign w:val="center"/>
          </w:tcPr>
          <w:p w14:paraId="3C3E467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6.733</w:t>
            </w:r>
          </w:p>
        </w:tc>
        <w:tc>
          <w:tcPr>
            <w:tcW w:w="1851" w:type="dxa"/>
            <w:shd w:val="clear" w:color="auto" w:fill="EAF1DD"/>
            <w:tcMar>
              <w:left w:w="115" w:type="dxa"/>
              <w:right w:w="115" w:type="dxa"/>
            </w:tcMar>
            <w:vAlign w:val="center"/>
          </w:tcPr>
          <w:p w14:paraId="3C225B6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5.251.934</w:t>
            </w:r>
          </w:p>
        </w:tc>
        <w:tc>
          <w:tcPr>
            <w:tcW w:w="1458" w:type="dxa"/>
            <w:shd w:val="clear" w:color="auto" w:fill="EAF1DD"/>
            <w:tcMar>
              <w:left w:w="115" w:type="dxa"/>
              <w:right w:w="115" w:type="dxa"/>
            </w:tcMar>
            <w:vAlign w:val="center"/>
          </w:tcPr>
          <w:p w14:paraId="0D19A19D"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19.021</w:t>
            </w:r>
          </w:p>
        </w:tc>
        <w:tc>
          <w:tcPr>
            <w:tcW w:w="1611" w:type="dxa"/>
            <w:shd w:val="clear" w:color="auto" w:fill="EAF1DD"/>
            <w:tcMar>
              <w:left w:w="115" w:type="dxa"/>
              <w:right w:w="115" w:type="dxa"/>
            </w:tcMar>
            <w:vAlign w:val="center"/>
          </w:tcPr>
          <w:p w14:paraId="2B59CF0A"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1.882.000</w:t>
            </w:r>
          </w:p>
        </w:tc>
      </w:tr>
      <w:tr w:rsidR="001804D4" w:rsidRPr="009C52C4" w14:paraId="65A7C201" w14:textId="77777777" w:rsidTr="00BD461D">
        <w:trPr>
          <w:trHeight w:val="20"/>
        </w:trPr>
        <w:tc>
          <w:tcPr>
            <w:tcW w:w="2978" w:type="dxa"/>
            <w:shd w:val="clear" w:color="auto" w:fill="EAF1DD"/>
            <w:tcMar>
              <w:left w:w="115" w:type="dxa"/>
              <w:right w:w="115" w:type="dxa"/>
            </w:tcMar>
            <w:vAlign w:val="bottom"/>
          </w:tcPr>
          <w:p w14:paraId="57DC3B65"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1981. - 1987.</w:t>
            </w:r>
          </w:p>
        </w:tc>
        <w:tc>
          <w:tcPr>
            <w:tcW w:w="1218" w:type="dxa"/>
            <w:shd w:val="clear" w:color="auto" w:fill="EAF1DD"/>
            <w:tcMar>
              <w:left w:w="115" w:type="dxa"/>
              <w:right w:w="115" w:type="dxa"/>
            </w:tcMar>
            <w:vAlign w:val="center"/>
          </w:tcPr>
          <w:p w14:paraId="36DF88D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4.323</w:t>
            </w:r>
          </w:p>
        </w:tc>
        <w:tc>
          <w:tcPr>
            <w:tcW w:w="1851" w:type="dxa"/>
            <w:shd w:val="clear" w:color="auto" w:fill="EAF1DD"/>
            <w:tcMar>
              <w:left w:w="115" w:type="dxa"/>
              <w:right w:w="115" w:type="dxa"/>
            </w:tcMar>
            <w:vAlign w:val="center"/>
          </w:tcPr>
          <w:p w14:paraId="3890FF83"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5.108.279</w:t>
            </w:r>
          </w:p>
        </w:tc>
        <w:tc>
          <w:tcPr>
            <w:tcW w:w="1458" w:type="dxa"/>
            <w:shd w:val="clear" w:color="auto" w:fill="EAF1DD"/>
            <w:tcMar>
              <w:left w:w="115" w:type="dxa"/>
              <w:right w:w="115" w:type="dxa"/>
            </w:tcMar>
            <w:vAlign w:val="center"/>
          </w:tcPr>
          <w:p w14:paraId="2DA71DE8"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10.158</w:t>
            </w:r>
          </w:p>
        </w:tc>
        <w:tc>
          <w:tcPr>
            <w:tcW w:w="1611" w:type="dxa"/>
            <w:shd w:val="clear" w:color="auto" w:fill="EAF1DD"/>
            <w:tcMar>
              <w:left w:w="115" w:type="dxa"/>
              <w:right w:w="115" w:type="dxa"/>
            </w:tcMar>
            <w:vAlign w:val="center"/>
          </w:tcPr>
          <w:p w14:paraId="7F33148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2.152.000</w:t>
            </w:r>
          </w:p>
        </w:tc>
      </w:tr>
      <w:tr w:rsidR="001804D4" w:rsidRPr="009C52C4" w14:paraId="78EA953C" w14:textId="77777777" w:rsidTr="00BD461D">
        <w:trPr>
          <w:trHeight w:val="20"/>
        </w:trPr>
        <w:tc>
          <w:tcPr>
            <w:tcW w:w="2978" w:type="dxa"/>
            <w:shd w:val="clear" w:color="auto" w:fill="EAF1DD"/>
            <w:tcMar>
              <w:left w:w="115" w:type="dxa"/>
              <w:right w:w="115" w:type="dxa"/>
            </w:tcMar>
            <w:vAlign w:val="bottom"/>
          </w:tcPr>
          <w:p w14:paraId="6FCA927A"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1988. - 2005.</w:t>
            </w:r>
          </w:p>
        </w:tc>
        <w:tc>
          <w:tcPr>
            <w:tcW w:w="1218" w:type="dxa"/>
            <w:shd w:val="clear" w:color="auto" w:fill="EAF1DD"/>
            <w:tcMar>
              <w:left w:w="115" w:type="dxa"/>
              <w:right w:w="115" w:type="dxa"/>
            </w:tcMar>
            <w:vAlign w:val="center"/>
          </w:tcPr>
          <w:p w14:paraId="496244A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10.596</w:t>
            </w:r>
          </w:p>
        </w:tc>
        <w:tc>
          <w:tcPr>
            <w:tcW w:w="1851" w:type="dxa"/>
            <w:shd w:val="clear" w:color="auto" w:fill="EAF1DD"/>
            <w:tcMar>
              <w:left w:w="115" w:type="dxa"/>
              <w:right w:w="115" w:type="dxa"/>
            </w:tcMar>
            <w:vAlign w:val="center"/>
          </w:tcPr>
          <w:p w14:paraId="59F0E86D"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8.107.287</w:t>
            </w:r>
          </w:p>
        </w:tc>
        <w:tc>
          <w:tcPr>
            <w:tcW w:w="1458" w:type="dxa"/>
            <w:shd w:val="clear" w:color="auto" w:fill="EAF1DD"/>
            <w:tcMar>
              <w:left w:w="115" w:type="dxa"/>
              <w:right w:w="115" w:type="dxa"/>
            </w:tcMar>
            <w:vAlign w:val="center"/>
          </w:tcPr>
          <w:p w14:paraId="0A11800F"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11.059</w:t>
            </w:r>
          </w:p>
        </w:tc>
        <w:tc>
          <w:tcPr>
            <w:tcW w:w="1611" w:type="dxa"/>
            <w:shd w:val="clear" w:color="auto" w:fill="EAF1DD"/>
            <w:tcMar>
              <w:left w:w="115" w:type="dxa"/>
              <w:right w:w="115" w:type="dxa"/>
            </w:tcMar>
            <w:vAlign w:val="center"/>
          </w:tcPr>
          <w:p w14:paraId="5C6A667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2.722.497</w:t>
            </w:r>
          </w:p>
        </w:tc>
      </w:tr>
      <w:tr w:rsidR="001804D4" w:rsidRPr="009C52C4" w14:paraId="6AA647C3" w14:textId="77777777" w:rsidTr="00BD461D">
        <w:trPr>
          <w:trHeight w:val="20"/>
        </w:trPr>
        <w:tc>
          <w:tcPr>
            <w:tcW w:w="2978" w:type="dxa"/>
            <w:shd w:val="clear" w:color="auto" w:fill="EAF1DD"/>
            <w:tcMar>
              <w:left w:w="115" w:type="dxa"/>
              <w:right w:w="115" w:type="dxa"/>
            </w:tcMar>
            <w:vAlign w:val="bottom"/>
          </w:tcPr>
          <w:p w14:paraId="5A6C181B"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2006. – 2009.</w:t>
            </w:r>
          </w:p>
        </w:tc>
        <w:tc>
          <w:tcPr>
            <w:tcW w:w="1218" w:type="dxa"/>
            <w:shd w:val="clear" w:color="auto" w:fill="EAF1DD"/>
            <w:tcMar>
              <w:left w:w="115" w:type="dxa"/>
              <w:right w:w="115" w:type="dxa"/>
            </w:tcMar>
            <w:vAlign w:val="center"/>
          </w:tcPr>
          <w:p w14:paraId="7FE5A0A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6.199</w:t>
            </w:r>
          </w:p>
        </w:tc>
        <w:tc>
          <w:tcPr>
            <w:tcW w:w="1851" w:type="dxa"/>
            <w:shd w:val="clear" w:color="auto" w:fill="EAF1DD"/>
            <w:tcMar>
              <w:left w:w="115" w:type="dxa"/>
              <w:right w:w="115" w:type="dxa"/>
            </w:tcMar>
            <w:vAlign w:val="center"/>
          </w:tcPr>
          <w:p w14:paraId="2750B5CE"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6.352.000</w:t>
            </w:r>
          </w:p>
        </w:tc>
        <w:tc>
          <w:tcPr>
            <w:tcW w:w="1458" w:type="dxa"/>
            <w:shd w:val="clear" w:color="auto" w:fill="EAF1DD"/>
            <w:tcMar>
              <w:left w:w="115" w:type="dxa"/>
              <w:right w:w="115" w:type="dxa"/>
            </w:tcMar>
            <w:vAlign w:val="center"/>
          </w:tcPr>
          <w:p w14:paraId="5E5B6DF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3.673</w:t>
            </w:r>
          </w:p>
        </w:tc>
        <w:tc>
          <w:tcPr>
            <w:tcW w:w="1611" w:type="dxa"/>
            <w:shd w:val="clear" w:color="auto" w:fill="EAF1DD"/>
            <w:tcMar>
              <w:left w:w="115" w:type="dxa"/>
              <w:right w:w="115" w:type="dxa"/>
            </w:tcMar>
            <w:vAlign w:val="center"/>
          </w:tcPr>
          <w:p w14:paraId="749747B1"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2.073.747</w:t>
            </w:r>
          </w:p>
        </w:tc>
      </w:tr>
      <w:tr w:rsidR="001804D4" w:rsidRPr="009C52C4" w14:paraId="242B7CAC" w14:textId="77777777" w:rsidTr="00BD461D">
        <w:trPr>
          <w:trHeight w:val="20"/>
        </w:trPr>
        <w:tc>
          <w:tcPr>
            <w:tcW w:w="2978" w:type="dxa"/>
            <w:shd w:val="clear" w:color="auto" w:fill="EAF1DD"/>
            <w:tcMar>
              <w:left w:w="115" w:type="dxa"/>
              <w:right w:w="115" w:type="dxa"/>
            </w:tcMar>
            <w:vAlign w:val="bottom"/>
          </w:tcPr>
          <w:p w14:paraId="081BE46D"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2010. - 2011.</w:t>
            </w:r>
          </w:p>
        </w:tc>
        <w:tc>
          <w:tcPr>
            <w:tcW w:w="1218" w:type="dxa"/>
            <w:shd w:val="clear" w:color="auto" w:fill="EAF1DD"/>
            <w:tcMar>
              <w:left w:w="115" w:type="dxa"/>
              <w:right w:w="115" w:type="dxa"/>
            </w:tcMar>
            <w:vAlign w:val="center"/>
          </w:tcPr>
          <w:p w14:paraId="3116E23F"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1.952</w:t>
            </w:r>
          </w:p>
        </w:tc>
        <w:tc>
          <w:tcPr>
            <w:tcW w:w="1851" w:type="dxa"/>
            <w:shd w:val="clear" w:color="auto" w:fill="EAF1DD"/>
            <w:tcMar>
              <w:left w:w="115" w:type="dxa"/>
              <w:right w:w="115" w:type="dxa"/>
            </w:tcMar>
            <w:vAlign w:val="center"/>
          </w:tcPr>
          <w:p w14:paraId="55F24AA6"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2.158.198</w:t>
            </w:r>
          </w:p>
        </w:tc>
        <w:tc>
          <w:tcPr>
            <w:tcW w:w="1458" w:type="dxa"/>
            <w:shd w:val="clear" w:color="auto" w:fill="EAF1DD"/>
            <w:tcMar>
              <w:left w:w="115" w:type="dxa"/>
              <w:right w:w="115" w:type="dxa"/>
            </w:tcMar>
            <w:vAlign w:val="center"/>
          </w:tcPr>
          <w:p w14:paraId="4B26B23F"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1.395</w:t>
            </w:r>
          </w:p>
        </w:tc>
        <w:tc>
          <w:tcPr>
            <w:tcW w:w="1611" w:type="dxa"/>
            <w:shd w:val="clear" w:color="auto" w:fill="EAF1DD"/>
            <w:tcMar>
              <w:left w:w="115" w:type="dxa"/>
              <w:right w:w="115" w:type="dxa"/>
            </w:tcMar>
            <w:vAlign w:val="center"/>
          </w:tcPr>
          <w:p w14:paraId="269102F7"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610.000</w:t>
            </w:r>
          </w:p>
        </w:tc>
      </w:tr>
      <w:tr w:rsidR="001804D4" w:rsidRPr="009C52C4" w14:paraId="1BFBFE0E" w14:textId="77777777" w:rsidTr="00BD461D">
        <w:trPr>
          <w:trHeight w:val="20"/>
        </w:trPr>
        <w:tc>
          <w:tcPr>
            <w:tcW w:w="2978" w:type="dxa"/>
            <w:shd w:val="clear" w:color="auto" w:fill="EAF1DD"/>
            <w:tcMar>
              <w:left w:w="115" w:type="dxa"/>
              <w:right w:w="115" w:type="dxa"/>
            </w:tcMar>
            <w:vAlign w:val="bottom"/>
          </w:tcPr>
          <w:p w14:paraId="335A9C24"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218" w:type="dxa"/>
            <w:shd w:val="clear" w:color="auto" w:fill="EAF1DD"/>
            <w:tcMar>
              <w:left w:w="115" w:type="dxa"/>
              <w:right w:w="115" w:type="dxa"/>
            </w:tcMar>
            <w:vAlign w:val="center"/>
          </w:tcPr>
          <w:p w14:paraId="3624D9C2"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44.728</w:t>
            </w:r>
          </w:p>
        </w:tc>
        <w:tc>
          <w:tcPr>
            <w:tcW w:w="1851" w:type="dxa"/>
            <w:shd w:val="clear" w:color="auto" w:fill="EAF1DD"/>
            <w:tcMar>
              <w:left w:w="115" w:type="dxa"/>
              <w:right w:w="115" w:type="dxa"/>
            </w:tcMar>
            <w:vAlign w:val="center"/>
          </w:tcPr>
          <w:p w14:paraId="3EC2C8A9"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36.540.459</w:t>
            </w:r>
          </w:p>
        </w:tc>
        <w:tc>
          <w:tcPr>
            <w:tcW w:w="1458" w:type="dxa"/>
            <w:shd w:val="clear" w:color="auto" w:fill="EAF1DD"/>
            <w:tcMar>
              <w:left w:w="115" w:type="dxa"/>
              <w:right w:w="115" w:type="dxa"/>
            </w:tcMar>
            <w:vAlign w:val="center"/>
          </w:tcPr>
          <w:p w14:paraId="5198C56C"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80.196</w:t>
            </w:r>
          </w:p>
        </w:tc>
        <w:tc>
          <w:tcPr>
            <w:tcW w:w="1611" w:type="dxa"/>
            <w:shd w:val="clear" w:color="auto" w:fill="EAF1DD"/>
            <w:tcMar>
              <w:left w:w="115" w:type="dxa"/>
              <w:right w:w="115" w:type="dxa"/>
            </w:tcMar>
            <w:vAlign w:val="center"/>
          </w:tcPr>
          <w:p w14:paraId="6CDAABC1"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13.801.902</w:t>
            </w:r>
          </w:p>
        </w:tc>
      </w:tr>
    </w:tbl>
    <w:p w14:paraId="2D4E2B24" w14:textId="1B2B26E4" w:rsidR="00B122B4" w:rsidRPr="009C52C4" w:rsidRDefault="00FA32EE">
      <w:pPr>
        <w:rPr>
          <w:rFonts w:ascii="Times New Roman" w:hAnsi="Times New Roman" w:cs="Times New Roman"/>
          <w:sz w:val="24"/>
          <w:szCs w:val="24"/>
        </w:rPr>
      </w:pPr>
      <w:r w:rsidRPr="009C52C4">
        <w:rPr>
          <w:rFonts w:ascii="Times New Roman" w:hAnsi="Times New Roman" w:cs="Times New Roman"/>
          <w:sz w:val="24"/>
          <w:szCs w:val="24"/>
        </w:rPr>
        <w:t xml:space="preserve"> </w:t>
      </w:r>
      <w:r w:rsidR="00825592"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2AD9C591" w14:textId="77777777" w:rsidR="000B57C1" w:rsidRPr="009C52C4" w:rsidRDefault="000B57C1">
      <w:pPr>
        <w:rPr>
          <w:rFonts w:ascii="Times New Roman" w:hAnsi="Times New Roman" w:cs="Times New Roman"/>
          <w:sz w:val="24"/>
          <w:szCs w:val="24"/>
        </w:rPr>
      </w:pPr>
    </w:p>
    <w:p w14:paraId="7F7D1C12"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Kako prvi službeni statistički podaci o izgradnji i površini zgrada datiraju iz 1952. godine, vjerodostojan podatak o broju i ukupnoj površini nacionalnog fonda zgrada izgrađenih do 1952. godine na kojem bi se bazirala procjena je bilo iznimno teško naći. Procjena ukupne površine nacionalnog fonda zgrada u Republici Hrvatskoj do 1940. godine se bazirala na podatku da je 16,4% od ukupnog fonda zgrada izgrađeno prije 1940. godine i pretpostavci da je udio stambene izgradnje iznosio 65% od ukupno izgrađenog fonda zgrada. Kako se službena statistička evidencija vodi od 1953. godine</w:t>
      </w:r>
      <w:r w:rsidR="006E597E" w:rsidRPr="009C52C4">
        <w:rPr>
          <w:rStyle w:val="FootnoteReference"/>
          <w:rFonts w:ascii="Times New Roman" w:hAnsi="Times New Roman" w:cs="Times New Roman"/>
          <w:sz w:val="24"/>
          <w:szCs w:val="24"/>
        </w:rPr>
        <w:footnoteReference w:id="22"/>
      </w:r>
      <w:r w:rsidRPr="009C52C4">
        <w:rPr>
          <w:rFonts w:ascii="Times New Roman" w:hAnsi="Times New Roman" w:cs="Times New Roman"/>
          <w:sz w:val="24"/>
          <w:szCs w:val="24"/>
        </w:rPr>
        <w:t>, ukupni broj i površina nacionalnog fonda zgrada u Republici Hrvatskoj u razdoblju od 1941. do 1970. godine je određena na sljedeći način:</w:t>
      </w:r>
    </w:p>
    <w:p w14:paraId="7DAADAEB" w14:textId="6E93289D" w:rsidR="001804D4" w:rsidRPr="009C52C4" w:rsidRDefault="001804D4" w:rsidP="00853BC8">
      <w:pPr>
        <w:numPr>
          <w:ilvl w:val="0"/>
          <w:numId w:val="7"/>
        </w:numPr>
        <w:ind w:hanging="359"/>
        <w:rPr>
          <w:rFonts w:ascii="Times New Roman" w:hAnsi="Times New Roman" w:cs="Times New Roman"/>
          <w:sz w:val="24"/>
          <w:szCs w:val="24"/>
        </w:rPr>
      </w:pPr>
      <w:r w:rsidRPr="009C52C4">
        <w:rPr>
          <w:rFonts w:ascii="Times New Roman" w:hAnsi="Times New Roman" w:cs="Times New Roman"/>
          <w:sz w:val="24"/>
          <w:szCs w:val="24"/>
        </w:rPr>
        <w:t>procjenom za razdoblje od 1941.do 1952. godine</w:t>
      </w:r>
    </w:p>
    <w:p w14:paraId="1E9D574B" w14:textId="77777777" w:rsidR="001804D4" w:rsidRPr="009C52C4" w:rsidRDefault="001804D4" w:rsidP="00853BC8">
      <w:pPr>
        <w:numPr>
          <w:ilvl w:val="0"/>
          <w:numId w:val="7"/>
        </w:numPr>
        <w:ind w:hanging="359"/>
        <w:rPr>
          <w:rFonts w:ascii="Times New Roman" w:hAnsi="Times New Roman" w:cs="Times New Roman"/>
          <w:sz w:val="24"/>
          <w:szCs w:val="24"/>
        </w:rPr>
      </w:pPr>
      <w:r w:rsidRPr="009C52C4">
        <w:rPr>
          <w:rFonts w:ascii="Times New Roman" w:hAnsi="Times New Roman" w:cs="Times New Roman"/>
          <w:sz w:val="24"/>
          <w:szCs w:val="24"/>
        </w:rPr>
        <w:t>prema podacima iz Statističkih ljetopisa za razdoblje od 1953. do 1970. godine.</w:t>
      </w:r>
    </w:p>
    <w:p w14:paraId="152A9DB5" w14:textId="77777777" w:rsidR="001804D4" w:rsidRPr="009C52C4" w:rsidRDefault="001804D4" w:rsidP="001804D4">
      <w:pPr>
        <w:rPr>
          <w:rFonts w:ascii="Times New Roman" w:hAnsi="Times New Roman" w:cs="Times New Roman"/>
          <w:sz w:val="24"/>
          <w:szCs w:val="24"/>
        </w:rPr>
      </w:pPr>
    </w:p>
    <w:p w14:paraId="1EF0EAD8"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Prema rezultatima sustavnog istraživanja statističkih ljetopisa i stručne procjene nedostajućih podataka, stambeni nacionalni fond zgrada Republike Hrvatske čini 762.397 zgrada, ukupne površine 142.176.678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 čega je 290.689 višestambenih zgrada ukupne površine 55.438.063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a 471.708 obiteljskih kuća ukupne površine 86.738.615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p w14:paraId="1B6E1BE4" w14:textId="77777777" w:rsidR="001804D4" w:rsidRPr="009C52C4" w:rsidRDefault="001804D4" w:rsidP="001804D4">
      <w:pPr>
        <w:rPr>
          <w:rFonts w:ascii="Times New Roman" w:hAnsi="Times New Roman" w:cs="Times New Roman"/>
          <w:sz w:val="24"/>
          <w:szCs w:val="24"/>
        </w:rPr>
      </w:pPr>
    </w:p>
    <w:p w14:paraId="6A30AEE0"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lastRenderedPageBreak/>
        <w:t>Nestambeni nacionalni fond zgrada Republike Hrvatske čini 124.924 zgrada, ukupne površine 50.342.361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 čega je 44.728 zgrada komercijalne namjene ukupne površine 36.540.459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a 80.196 zgrada javne namjene ukupne površine 13.801.902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p w14:paraId="68B1B84A" w14:textId="77777777" w:rsidR="001804D4" w:rsidRPr="009C52C4" w:rsidRDefault="001804D4" w:rsidP="001804D4">
      <w:pPr>
        <w:rPr>
          <w:rFonts w:ascii="Times New Roman" w:hAnsi="Times New Roman" w:cs="Times New Roman"/>
          <w:sz w:val="24"/>
          <w:szCs w:val="24"/>
        </w:rPr>
      </w:pPr>
    </w:p>
    <w:p w14:paraId="04F7E4D3" w14:textId="77777777"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Iz provedenih analiza slijedi zaključak da sadašnji nacionalni fond zgrada Republike Hrvatske čini 887.321 zgrada, ukupne površine 192.519.039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p w14:paraId="35122262" w14:textId="77777777" w:rsidR="002F1F4B" w:rsidRPr="009C52C4" w:rsidRDefault="002F1F4B" w:rsidP="001804D4">
      <w:pPr>
        <w:rPr>
          <w:rFonts w:ascii="Times New Roman" w:hAnsi="Times New Roman" w:cs="Times New Roman"/>
          <w:sz w:val="24"/>
          <w:szCs w:val="24"/>
        </w:rPr>
      </w:pPr>
    </w:p>
    <w:p w14:paraId="13BDD821" w14:textId="09FB1283"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sz w:val="24"/>
          <w:szCs w:val="24"/>
        </w:rPr>
        <w:t xml:space="preserve">S obzirom da su unutar tri godine od izrade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do danas provođeni programi energetske obnove zgrada, ukupna površina nacionalnog fonda zgrada koju je potrebno obnoviti od 2017. nadalje ažurirana je sukladno </w:t>
      </w:r>
      <w:r w:rsidR="003E2084" w:rsidRPr="009C52C4">
        <w:rPr>
          <w:rFonts w:ascii="Times New Roman" w:hAnsi="Times New Roman" w:cs="Times New Roman"/>
          <w:sz w:val="24"/>
          <w:szCs w:val="24"/>
        </w:rPr>
        <w:t>Izvješću</w:t>
      </w:r>
      <w:r w:rsidRPr="009C52C4">
        <w:rPr>
          <w:rFonts w:ascii="Times New Roman" w:hAnsi="Times New Roman" w:cs="Times New Roman"/>
          <w:sz w:val="24"/>
          <w:szCs w:val="24"/>
        </w:rPr>
        <w:t xml:space="preserve">. Sukladno Izvješću u kojem je dan pregled ostvarenih kumulativnih ušteda u </w:t>
      </w:r>
      <w:r w:rsidR="00170CB0" w:rsidRPr="009C52C4">
        <w:rPr>
          <w:rFonts w:ascii="Times New Roman" w:hAnsi="Times New Roman" w:cs="Times New Roman"/>
          <w:sz w:val="24"/>
          <w:szCs w:val="24"/>
        </w:rPr>
        <w:t xml:space="preserve">razdoblju </w:t>
      </w:r>
      <w:r w:rsidRPr="009C52C4">
        <w:rPr>
          <w:rFonts w:ascii="Times New Roman" w:hAnsi="Times New Roman" w:cs="Times New Roman"/>
          <w:sz w:val="24"/>
          <w:szCs w:val="24"/>
        </w:rPr>
        <w:t>od 2014. do 2016. godine, procijenjena je ukupna površina obnovljenog fonda zgrada (</w:t>
      </w:r>
      <w:r w:rsidRPr="009C52C4">
        <w:rPr>
          <w:rFonts w:ascii="Times New Roman" w:hAnsi="Times New Roman" w:cs="Times New Roman"/>
          <w:sz w:val="24"/>
          <w:szCs w:val="24"/>
          <w:highlight w:val="yellow"/>
        </w:rPr>
        <w:fldChar w:fldCharType="begin"/>
      </w:r>
      <w:r w:rsidRPr="009C52C4">
        <w:rPr>
          <w:rFonts w:ascii="Times New Roman" w:hAnsi="Times New Roman" w:cs="Times New Roman"/>
          <w:sz w:val="24"/>
          <w:szCs w:val="24"/>
        </w:rPr>
        <w:instrText xml:space="preserve"> REF _Ref483400319 \h </w:instrText>
      </w:r>
      <w:r w:rsidR="00873572" w:rsidRPr="009C52C4">
        <w:rPr>
          <w:rFonts w:ascii="Times New Roman" w:hAnsi="Times New Roman" w:cs="Times New Roman"/>
          <w:sz w:val="24"/>
          <w:szCs w:val="24"/>
          <w:highlight w:val="yellow"/>
        </w:rPr>
        <w:instrText xml:space="preserve"> \* MERGEFORMAT </w:instrText>
      </w:r>
      <w:r w:rsidRPr="009C52C4">
        <w:rPr>
          <w:rFonts w:ascii="Times New Roman" w:hAnsi="Times New Roman" w:cs="Times New Roman"/>
          <w:sz w:val="24"/>
          <w:szCs w:val="24"/>
          <w:highlight w:val="yellow"/>
        </w:rPr>
      </w:r>
      <w:r w:rsidRPr="009C52C4">
        <w:rPr>
          <w:rFonts w:ascii="Times New Roman" w:hAnsi="Times New Roman" w:cs="Times New Roman"/>
          <w:sz w:val="24"/>
          <w:szCs w:val="24"/>
          <w:highlight w:val="yellow"/>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3</w:t>
      </w:r>
      <w:r w:rsidRPr="009C52C4">
        <w:rPr>
          <w:rFonts w:ascii="Times New Roman" w:hAnsi="Times New Roman" w:cs="Times New Roman"/>
          <w:sz w:val="24"/>
          <w:szCs w:val="24"/>
          <w:highlight w:val="yellow"/>
        </w:rPr>
        <w:fldChar w:fldCharType="end"/>
      </w:r>
      <w:r w:rsidRPr="009C52C4">
        <w:rPr>
          <w:rFonts w:ascii="Times New Roman" w:hAnsi="Times New Roman" w:cs="Times New Roman"/>
          <w:sz w:val="24"/>
          <w:szCs w:val="24"/>
        </w:rPr>
        <w:t xml:space="preserve">). </w:t>
      </w:r>
    </w:p>
    <w:p w14:paraId="75192B3F" w14:textId="2C0058B4" w:rsidR="001804D4" w:rsidRPr="009C52C4" w:rsidRDefault="001804D4" w:rsidP="001804D4">
      <w:pPr>
        <w:rPr>
          <w:rFonts w:ascii="Times New Roman" w:hAnsi="Times New Roman" w:cs="Times New Roman"/>
          <w:sz w:val="24"/>
          <w:szCs w:val="24"/>
        </w:rPr>
      </w:pPr>
      <w:r w:rsidRPr="009C52C4">
        <w:rPr>
          <w:rFonts w:ascii="Times New Roman" w:hAnsi="Times New Roman" w:cs="Times New Roman"/>
          <w:iCs/>
          <w:sz w:val="24"/>
          <w:szCs w:val="24"/>
        </w:rPr>
        <w:t xml:space="preserve">Ostvarene uštede kroz programe energetske obnove zgrada u </w:t>
      </w:r>
      <w:r w:rsidR="00170CB0" w:rsidRPr="009C52C4">
        <w:rPr>
          <w:rFonts w:ascii="Times New Roman" w:hAnsi="Times New Roman" w:cs="Times New Roman"/>
          <w:iCs/>
          <w:sz w:val="24"/>
          <w:szCs w:val="24"/>
        </w:rPr>
        <w:t xml:space="preserve">razdoblju </w:t>
      </w:r>
      <w:r w:rsidRPr="009C52C4">
        <w:rPr>
          <w:rFonts w:ascii="Times New Roman" w:hAnsi="Times New Roman" w:cs="Times New Roman"/>
          <w:iCs/>
          <w:sz w:val="24"/>
          <w:szCs w:val="24"/>
        </w:rPr>
        <w:t>od 2014. do 2016. godine prema Izvješću iznose 1</w:t>
      </w:r>
      <w:r w:rsidRPr="009C52C4">
        <w:rPr>
          <w:rFonts w:ascii="Times New Roman" w:hAnsi="Times New Roman" w:cs="Times New Roman"/>
          <w:bCs/>
          <w:sz w:val="24"/>
          <w:szCs w:val="24"/>
        </w:rPr>
        <w:t xml:space="preserve">,72767 PJ (479.908.333,30 kWh). </w:t>
      </w:r>
      <w:r w:rsidR="00F378F5" w:rsidRPr="009C52C4">
        <w:rPr>
          <w:rFonts w:ascii="Times New Roman" w:hAnsi="Times New Roman" w:cs="Times New Roman"/>
          <w:bCs/>
          <w:sz w:val="24"/>
          <w:szCs w:val="24"/>
        </w:rPr>
        <w:t>Budući da se podaci o uštedama dobivaju iz Sustava za mjerenje, praćenje i verifikaciju ušteda energije</w:t>
      </w:r>
      <w:r w:rsidR="00CC62DD" w:rsidRPr="009C52C4">
        <w:rPr>
          <w:rStyle w:val="FootnoteReference"/>
          <w:rFonts w:ascii="Times New Roman" w:hAnsi="Times New Roman" w:cs="Times New Roman"/>
          <w:bCs/>
          <w:sz w:val="24"/>
          <w:szCs w:val="24"/>
        </w:rPr>
        <w:footnoteReference w:id="23"/>
      </w:r>
      <w:r w:rsidR="00CC62DD" w:rsidRPr="009C52C4">
        <w:rPr>
          <w:rFonts w:ascii="Times New Roman" w:hAnsi="Times New Roman" w:cs="Times New Roman"/>
          <w:bCs/>
          <w:sz w:val="24"/>
          <w:szCs w:val="24"/>
        </w:rPr>
        <w:t>,</w:t>
      </w:r>
      <w:r w:rsidR="00F378F5" w:rsidRPr="009C52C4">
        <w:rPr>
          <w:rFonts w:ascii="Times New Roman" w:hAnsi="Times New Roman" w:cs="Times New Roman"/>
          <w:bCs/>
          <w:sz w:val="24"/>
          <w:szCs w:val="24"/>
        </w:rPr>
        <w:t xml:space="preserve"> pri čemu se podatak o korisnoj površini zgrade unosi od strane korisnika jedino u slučaju integralne obnove, dok se isti ne unosi u slučaju obnove pojedinih dijelova ovojnice zgrade, potrebno je procijeniti ekvivalent korisne površine obnovljenih zgrada u razdoblju od 2014. do 2016. godine. S</w:t>
      </w:r>
      <w:r w:rsidR="00322BC9" w:rsidRPr="009C52C4">
        <w:rPr>
          <w:rFonts w:ascii="Times New Roman" w:hAnsi="Times New Roman" w:cs="Times New Roman"/>
          <w:bCs/>
          <w:sz w:val="24"/>
          <w:szCs w:val="24"/>
        </w:rPr>
        <w:t>ukladno popratnim dokumentima Izvješća,</w:t>
      </w:r>
      <w:r w:rsidRPr="009C52C4">
        <w:rPr>
          <w:rFonts w:ascii="Times New Roman" w:hAnsi="Times New Roman" w:cs="Times New Roman"/>
          <w:bCs/>
          <w:sz w:val="24"/>
          <w:szCs w:val="24"/>
        </w:rPr>
        <w:t xml:space="preserve"> </w:t>
      </w:r>
      <w:r w:rsidRPr="009C52C4">
        <w:rPr>
          <w:rFonts w:ascii="Times New Roman" w:hAnsi="Times New Roman" w:cs="Times New Roman"/>
          <w:sz w:val="24"/>
          <w:szCs w:val="24"/>
        </w:rPr>
        <w:t xml:space="preserve">navodi da se </w:t>
      </w:r>
      <w:r w:rsidR="00322BC9" w:rsidRPr="009C52C4">
        <w:rPr>
          <w:rFonts w:ascii="Times New Roman" w:hAnsi="Times New Roman" w:cs="Times New Roman"/>
          <w:sz w:val="24"/>
          <w:szCs w:val="24"/>
        </w:rPr>
        <w:t xml:space="preserve">integralnom </w:t>
      </w:r>
      <w:r w:rsidRPr="009C52C4">
        <w:rPr>
          <w:rFonts w:ascii="Times New Roman" w:hAnsi="Times New Roman" w:cs="Times New Roman"/>
          <w:sz w:val="24"/>
          <w:szCs w:val="24"/>
        </w:rPr>
        <w:t xml:space="preserve">obnovom površine zgrada </w:t>
      </w:r>
      <w:r w:rsidR="00322BC9" w:rsidRPr="009C52C4">
        <w:rPr>
          <w:rFonts w:ascii="Times New Roman" w:hAnsi="Times New Roman" w:cs="Times New Roman"/>
          <w:sz w:val="24"/>
          <w:szCs w:val="24"/>
        </w:rPr>
        <w:t>iznosa 84.022,49</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postiže ušteda od 1</w:t>
      </w:r>
      <w:r w:rsidR="00322BC9" w:rsidRPr="009C52C4">
        <w:rPr>
          <w:rFonts w:ascii="Times New Roman" w:hAnsi="Times New Roman" w:cs="Times New Roman"/>
          <w:sz w:val="24"/>
          <w:szCs w:val="24"/>
        </w:rPr>
        <w:t>5</w:t>
      </w:r>
      <w:r w:rsidRPr="009C52C4">
        <w:rPr>
          <w:rFonts w:ascii="Times New Roman" w:hAnsi="Times New Roman" w:cs="Times New Roman"/>
          <w:sz w:val="24"/>
          <w:szCs w:val="24"/>
        </w:rPr>
        <w:t>.</w:t>
      </w:r>
      <w:r w:rsidR="00322BC9" w:rsidRPr="009C52C4">
        <w:rPr>
          <w:rFonts w:ascii="Times New Roman" w:hAnsi="Times New Roman" w:cs="Times New Roman"/>
          <w:sz w:val="24"/>
          <w:szCs w:val="24"/>
        </w:rPr>
        <w:t>023</w:t>
      </w:r>
      <w:r w:rsidRPr="009C52C4">
        <w:rPr>
          <w:rFonts w:ascii="Times New Roman" w:hAnsi="Times New Roman" w:cs="Times New Roman"/>
          <w:sz w:val="24"/>
          <w:szCs w:val="24"/>
        </w:rPr>
        <w:t>.</w:t>
      </w:r>
      <w:r w:rsidR="00322BC9" w:rsidRPr="009C52C4">
        <w:rPr>
          <w:rFonts w:ascii="Times New Roman" w:hAnsi="Times New Roman" w:cs="Times New Roman"/>
          <w:sz w:val="24"/>
          <w:szCs w:val="24"/>
        </w:rPr>
        <w:t>645</w:t>
      </w:r>
      <w:r w:rsidRPr="009C52C4">
        <w:rPr>
          <w:rFonts w:ascii="Times New Roman" w:hAnsi="Times New Roman" w:cs="Times New Roman"/>
          <w:sz w:val="24"/>
          <w:szCs w:val="24"/>
        </w:rPr>
        <w:t>,</w:t>
      </w:r>
      <w:r w:rsidR="00322BC9" w:rsidRPr="009C52C4">
        <w:rPr>
          <w:rFonts w:ascii="Times New Roman" w:hAnsi="Times New Roman" w:cs="Times New Roman"/>
          <w:sz w:val="24"/>
          <w:szCs w:val="24"/>
        </w:rPr>
        <w:t>26</w:t>
      </w:r>
      <w:r w:rsidRPr="009C52C4">
        <w:rPr>
          <w:rFonts w:ascii="Times New Roman" w:hAnsi="Times New Roman" w:cs="Times New Roman"/>
          <w:sz w:val="24"/>
          <w:szCs w:val="24"/>
        </w:rPr>
        <w:t xml:space="preserve"> kWh</w:t>
      </w:r>
      <w:r w:rsidR="00322BC9" w:rsidRPr="009C52C4">
        <w:rPr>
          <w:rFonts w:ascii="Times New Roman" w:hAnsi="Times New Roman" w:cs="Times New Roman"/>
          <w:sz w:val="24"/>
          <w:szCs w:val="24"/>
        </w:rPr>
        <w:t xml:space="preserve"> u 2016. godini</w:t>
      </w:r>
      <w:r w:rsidRPr="009C52C4">
        <w:rPr>
          <w:rFonts w:ascii="Times New Roman" w:hAnsi="Times New Roman" w:cs="Times New Roman"/>
          <w:sz w:val="24"/>
          <w:szCs w:val="24"/>
        </w:rPr>
        <w:t xml:space="preserve">, dijeljenjem </w:t>
      </w:r>
      <w:r w:rsidR="00322BC9" w:rsidRPr="009C52C4">
        <w:rPr>
          <w:rFonts w:ascii="Times New Roman" w:hAnsi="Times New Roman" w:cs="Times New Roman"/>
          <w:sz w:val="24"/>
          <w:szCs w:val="24"/>
        </w:rPr>
        <w:t xml:space="preserve">razlike ukupnih ušteda u 2016. godini i </w:t>
      </w:r>
      <w:r w:rsidR="005200E7" w:rsidRPr="009C52C4">
        <w:rPr>
          <w:rFonts w:ascii="Times New Roman" w:hAnsi="Times New Roman" w:cs="Times New Roman"/>
          <w:sz w:val="24"/>
          <w:szCs w:val="24"/>
        </w:rPr>
        <w:t xml:space="preserve">ušteda postignutih integralnom obnovom s omjerom površine zgrada podvrgnutih integralnoj obnovi i pritom dobivenih ušteda, dolazi se do ekvivalenta površine obnovljenih zgrada podvrgnutih integralnoj obnovi s obzirom na ukupne uštede. Na jedak način dolazi se do ekvivalenta površine zgrada podvrgnutih integralnoj obnovi za razdoblje od 2014. do 2015. godine. Izračun rezultira </w:t>
      </w:r>
      <w:r w:rsidRPr="009C52C4">
        <w:rPr>
          <w:rFonts w:ascii="Times New Roman" w:hAnsi="Times New Roman" w:cs="Times New Roman"/>
          <w:sz w:val="24"/>
          <w:szCs w:val="24"/>
        </w:rPr>
        <w:t>procjen</w:t>
      </w:r>
      <w:r w:rsidR="005200E7" w:rsidRPr="009C52C4">
        <w:rPr>
          <w:rFonts w:ascii="Times New Roman" w:hAnsi="Times New Roman" w:cs="Times New Roman"/>
          <w:sz w:val="24"/>
          <w:szCs w:val="24"/>
        </w:rPr>
        <w:t>om</w:t>
      </w:r>
      <w:r w:rsidRPr="009C52C4">
        <w:rPr>
          <w:rFonts w:ascii="Times New Roman" w:hAnsi="Times New Roman" w:cs="Times New Roman"/>
          <w:sz w:val="24"/>
          <w:szCs w:val="24"/>
        </w:rPr>
        <w:t xml:space="preserve"> površin</w:t>
      </w:r>
      <w:r w:rsidR="005200E7" w:rsidRPr="009C52C4">
        <w:rPr>
          <w:rFonts w:ascii="Times New Roman" w:hAnsi="Times New Roman" w:cs="Times New Roman"/>
          <w:sz w:val="24"/>
          <w:szCs w:val="24"/>
        </w:rPr>
        <w:t>e</w:t>
      </w:r>
      <w:r w:rsidRPr="009C52C4">
        <w:rPr>
          <w:rFonts w:ascii="Times New Roman" w:hAnsi="Times New Roman" w:cs="Times New Roman"/>
          <w:sz w:val="24"/>
          <w:szCs w:val="24"/>
        </w:rPr>
        <w:t xml:space="preserve"> obnovljenog fonda zgrada programima energetske obnove u iznosu od </w:t>
      </w:r>
      <w:r w:rsidR="005200E7" w:rsidRPr="009C52C4">
        <w:rPr>
          <w:rFonts w:ascii="Times New Roman" w:hAnsi="Times New Roman" w:cs="Times New Roman"/>
          <w:sz w:val="24"/>
          <w:szCs w:val="24"/>
        </w:rPr>
        <w:t>2.172.440</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Oduzimanjem površine obnovljenog fonda zgrada od ukupnog nacionalnog fonda zgrada: (192.519.</w:t>
      </w:r>
      <w:r w:rsidR="00987079" w:rsidRPr="009C52C4">
        <w:rPr>
          <w:rFonts w:ascii="Times New Roman" w:hAnsi="Times New Roman" w:cs="Times New Roman"/>
          <w:sz w:val="24"/>
          <w:szCs w:val="24"/>
        </w:rPr>
        <w:t>039</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ažurirana površina nacionalnog fonda zgrada koja podliježe obnovi iznosi </w:t>
      </w:r>
      <w:r w:rsidR="005200E7" w:rsidRPr="009C52C4">
        <w:rPr>
          <w:rFonts w:ascii="Times New Roman" w:hAnsi="Times New Roman" w:cs="Times New Roman"/>
          <w:sz w:val="24"/>
          <w:szCs w:val="24"/>
        </w:rPr>
        <w:t>190.346.560</w:t>
      </w:r>
      <w:r w:rsidRPr="009C52C4">
        <w:rPr>
          <w:rFonts w:ascii="Times New Roman" w:hAnsi="Times New Roman" w:cs="Times New Roman"/>
          <w:sz w:val="24"/>
          <w:szCs w:val="24"/>
        </w:rPr>
        <w:t xml:space="preserve">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r w:rsidR="005200E7" w:rsidRPr="009C52C4">
        <w:rPr>
          <w:rFonts w:ascii="Times New Roman" w:hAnsi="Times New Roman" w:cs="Times New Roman"/>
          <w:sz w:val="24"/>
          <w:szCs w:val="24"/>
        </w:rPr>
        <w:t xml:space="preserve"> Budući da se radi o procjeni, u tablici u nastavku dana je ukupna procjena površine obnovljenih zgrada, bez raspodjele </w:t>
      </w:r>
      <w:r w:rsidR="00E04208" w:rsidRPr="009C52C4">
        <w:rPr>
          <w:rFonts w:ascii="Times New Roman" w:hAnsi="Times New Roman" w:cs="Times New Roman"/>
          <w:sz w:val="24"/>
          <w:szCs w:val="24"/>
        </w:rPr>
        <w:t>po kategorijama zgrada.</w:t>
      </w:r>
    </w:p>
    <w:p w14:paraId="619D181B" w14:textId="77777777" w:rsidR="001804D4" w:rsidRPr="009C52C4" w:rsidRDefault="001804D4" w:rsidP="001804D4">
      <w:pPr>
        <w:rPr>
          <w:rFonts w:ascii="Times New Roman" w:hAnsi="Times New Roman" w:cs="Times New Roman"/>
          <w:sz w:val="24"/>
          <w:szCs w:val="24"/>
        </w:rPr>
      </w:pPr>
    </w:p>
    <w:p w14:paraId="2AE183B3" w14:textId="7B1C64E9" w:rsidR="00825592" w:rsidRPr="009C52C4" w:rsidRDefault="00825592" w:rsidP="001804D4">
      <w:pPr>
        <w:pStyle w:val="Caption"/>
        <w:rPr>
          <w:rFonts w:ascii="Times New Roman" w:hAnsi="Times New Roman" w:cs="Times New Roman"/>
          <w:b w:val="0"/>
          <w:sz w:val="24"/>
          <w:szCs w:val="24"/>
        </w:rPr>
      </w:pPr>
      <w:bookmarkStart w:id="20" w:name="_Ref483400319"/>
      <w:r w:rsidRPr="009C52C4">
        <w:rPr>
          <w:rFonts w:ascii="Times New Roman" w:hAnsi="Times New Roman" w:cs="Times New Roman"/>
          <w:sz w:val="24"/>
          <w:szCs w:val="24"/>
        </w:rPr>
        <w:t xml:space="preserve"> </w:t>
      </w:r>
      <w:bookmarkStart w:id="21" w:name="_Toc2681296"/>
      <w:r w:rsidR="001804D4"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bookmarkEnd w:id="20"/>
      <w:r w:rsidR="001804D4" w:rsidRPr="009C52C4">
        <w:rPr>
          <w:rFonts w:ascii="Times New Roman" w:hAnsi="Times New Roman" w:cs="Times New Roman"/>
          <w:sz w:val="24"/>
          <w:szCs w:val="24"/>
        </w:rPr>
        <w:t xml:space="preserve"> </w:t>
      </w:r>
      <w:r w:rsidR="001804D4" w:rsidRPr="009C52C4">
        <w:rPr>
          <w:rFonts w:ascii="Times New Roman" w:hAnsi="Times New Roman" w:cs="Times New Roman"/>
          <w:b w:val="0"/>
          <w:sz w:val="24"/>
          <w:szCs w:val="24"/>
        </w:rPr>
        <w:t xml:space="preserve">Ostvarene kumulativne uštede i procjena površine obnovljenog fonda </w:t>
      </w:r>
      <w:r w:rsidR="006107D4" w:rsidRPr="009C52C4">
        <w:rPr>
          <w:rFonts w:ascii="Times New Roman" w:hAnsi="Times New Roman" w:cs="Times New Roman"/>
          <w:b w:val="0"/>
          <w:sz w:val="24"/>
          <w:szCs w:val="24"/>
        </w:rPr>
        <w:t>zgrada</w:t>
      </w:r>
      <w:r w:rsidR="001804D4" w:rsidRPr="009C52C4">
        <w:rPr>
          <w:rFonts w:ascii="Times New Roman" w:hAnsi="Times New Roman" w:cs="Times New Roman"/>
          <w:b w:val="0"/>
          <w:sz w:val="24"/>
          <w:szCs w:val="24"/>
        </w:rPr>
        <w:t xml:space="preserve"> u</w:t>
      </w:r>
      <w:bookmarkEnd w:id="21"/>
    </w:p>
    <w:p w14:paraId="62B2A656" w14:textId="419E908E" w:rsidR="001804D4" w:rsidRPr="009C52C4" w:rsidRDefault="001804D4" w:rsidP="001804D4">
      <w:pPr>
        <w:pStyle w:val="Caption"/>
        <w:rPr>
          <w:rFonts w:ascii="Times New Roman" w:hAnsi="Times New Roman" w:cs="Times New Roman"/>
          <w:sz w:val="24"/>
          <w:szCs w:val="24"/>
        </w:rPr>
      </w:pPr>
      <w:r w:rsidRPr="009C52C4">
        <w:rPr>
          <w:rFonts w:ascii="Times New Roman" w:hAnsi="Times New Roman" w:cs="Times New Roman"/>
          <w:b w:val="0"/>
          <w:sz w:val="24"/>
          <w:szCs w:val="24"/>
        </w:rPr>
        <w:t xml:space="preserve"> </w:t>
      </w:r>
      <w:r w:rsidR="00170CB0" w:rsidRPr="009C52C4">
        <w:rPr>
          <w:rFonts w:ascii="Times New Roman" w:hAnsi="Times New Roman" w:cs="Times New Roman"/>
          <w:b w:val="0"/>
          <w:sz w:val="24"/>
          <w:szCs w:val="24"/>
        </w:rPr>
        <w:t xml:space="preserve">razdoblju </w:t>
      </w:r>
      <w:r w:rsidRPr="009C52C4">
        <w:rPr>
          <w:rFonts w:ascii="Times New Roman" w:hAnsi="Times New Roman" w:cs="Times New Roman"/>
          <w:b w:val="0"/>
          <w:sz w:val="24"/>
          <w:szCs w:val="24"/>
        </w:rPr>
        <w:t>od 2014. do 2016. godine</w:t>
      </w:r>
    </w:p>
    <w:tbl>
      <w:tblPr>
        <w:tblW w:w="908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15"/>
        <w:gridCol w:w="851"/>
        <w:gridCol w:w="1559"/>
        <w:gridCol w:w="1559"/>
      </w:tblGrid>
      <w:tr w:rsidR="001804D4" w:rsidRPr="009C52C4" w14:paraId="71EE8AB8" w14:textId="77777777" w:rsidTr="0058206D">
        <w:trPr>
          <w:trHeight w:val="806"/>
        </w:trPr>
        <w:tc>
          <w:tcPr>
            <w:tcW w:w="5115" w:type="dxa"/>
            <w:shd w:val="clear" w:color="auto" w:fill="C2D69B"/>
            <w:tcMar>
              <w:left w:w="115" w:type="dxa"/>
              <w:right w:w="115" w:type="dxa"/>
            </w:tcMar>
            <w:vAlign w:val="center"/>
          </w:tcPr>
          <w:p w14:paraId="7AA42BF9"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Naziv mjere</w:t>
            </w:r>
          </w:p>
        </w:tc>
        <w:tc>
          <w:tcPr>
            <w:tcW w:w="851" w:type="dxa"/>
            <w:shd w:val="clear" w:color="auto" w:fill="C2D69B"/>
            <w:tcMar>
              <w:left w:w="115" w:type="dxa"/>
              <w:right w:w="115" w:type="dxa"/>
            </w:tcMar>
            <w:vAlign w:val="center"/>
          </w:tcPr>
          <w:p w14:paraId="0737DD88" w14:textId="77777777" w:rsidR="001804D4" w:rsidRPr="009C52C4" w:rsidRDefault="009C11B8" w:rsidP="00BD461D">
            <w:pPr>
              <w:rPr>
                <w:rFonts w:ascii="Times New Roman" w:hAnsi="Times New Roman" w:cs="Times New Roman"/>
                <w:sz w:val="24"/>
                <w:szCs w:val="24"/>
              </w:rPr>
            </w:pPr>
            <w:r w:rsidRPr="009C52C4">
              <w:rPr>
                <w:rFonts w:ascii="Times New Roman" w:hAnsi="Times New Roman" w:cs="Times New Roman"/>
                <w:sz w:val="24"/>
                <w:szCs w:val="24"/>
              </w:rPr>
              <w:t>Ušteda [PJ]</w:t>
            </w:r>
          </w:p>
        </w:tc>
        <w:tc>
          <w:tcPr>
            <w:tcW w:w="1559" w:type="dxa"/>
            <w:shd w:val="clear" w:color="auto" w:fill="C2D69B" w:themeFill="accent3" w:themeFillTint="99"/>
            <w:tcMar>
              <w:left w:w="115" w:type="dxa"/>
              <w:right w:w="115" w:type="dxa"/>
            </w:tcMar>
            <w:vAlign w:val="center"/>
          </w:tcPr>
          <w:p w14:paraId="053A5771" w14:textId="77777777" w:rsidR="001804D4" w:rsidRPr="009C52C4" w:rsidRDefault="009C11B8" w:rsidP="00BD461D">
            <w:pPr>
              <w:rPr>
                <w:rFonts w:ascii="Times New Roman" w:hAnsi="Times New Roman" w:cs="Times New Roman"/>
                <w:sz w:val="24"/>
                <w:szCs w:val="24"/>
              </w:rPr>
            </w:pPr>
            <w:r w:rsidRPr="009C52C4">
              <w:rPr>
                <w:rFonts w:ascii="Times New Roman" w:hAnsi="Times New Roman" w:cs="Times New Roman"/>
                <w:sz w:val="24"/>
                <w:szCs w:val="24"/>
              </w:rPr>
              <w:t>Ukupni iznos investicije [HRK]</w:t>
            </w:r>
          </w:p>
        </w:tc>
        <w:tc>
          <w:tcPr>
            <w:tcW w:w="1559" w:type="dxa"/>
            <w:shd w:val="clear" w:color="auto" w:fill="C2D69B" w:themeFill="accent3" w:themeFillTint="99"/>
            <w:vAlign w:val="center"/>
          </w:tcPr>
          <w:p w14:paraId="2A3943E6" w14:textId="77777777" w:rsidR="001804D4" w:rsidRPr="009C52C4" w:rsidRDefault="001804D4" w:rsidP="00BD461D">
            <w:pPr>
              <w:jc w:val="left"/>
              <w:rPr>
                <w:rFonts w:ascii="Times New Roman" w:hAnsi="Times New Roman" w:cs="Times New Roman"/>
                <w:sz w:val="24"/>
                <w:szCs w:val="24"/>
              </w:rPr>
            </w:pPr>
            <w:r w:rsidRPr="009C52C4">
              <w:rPr>
                <w:rFonts w:ascii="Times New Roman" w:hAnsi="Times New Roman" w:cs="Times New Roman"/>
                <w:sz w:val="24"/>
                <w:szCs w:val="24"/>
              </w:rPr>
              <w:t>Procjena pov</w:t>
            </w:r>
            <w:r w:rsidR="009C11B8" w:rsidRPr="009C52C4">
              <w:rPr>
                <w:rFonts w:ascii="Times New Roman" w:hAnsi="Times New Roman" w:cs="Times New Roman"/>
                <w:sz w:val="24"/>
                <w:szCs w:val="24"/>
              </w:rPr>
              <w:t>ršine obnovljenog fonda zgrada [</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1804D4" w:rsidRPr="009C52C4" w14:paraId="3D07280A" w14:textId="77777777" w:rsidTr="0058206D">
        <w:trPr>
          <w:trHeight w:val="20"/>
        </w:trPr>
        <w:tc>
          <w:tcPr>
            <w:tcW w:w="5115" w:type="dxa"/>
            <w:shd w:val="clear" w:color="auto" w:fill="EAF1DD"/>
            <w:tcMar>
              <w:left w:w="115" w:type="dxa"/>
              <w:right w:w="115" w:type="dxa"/>
            </w:tcMar>
            <w:vAlign w:val="bottom"/>
          </w:tcPr>
          <w:p w14:paraId="674CAF93"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Program energetske obnove obiteljskih kuća 2014. - 2016.</w:t>
            </w:r>
          </w:p>
        </w:tc>
        <w:tc>
          <w:tcPr>
            <w:tcW w:w="851" w:type="dxa"/>
            <w:shd w:val="clear" w:color="auto" w:fill="EAF1DD"/>
            <w:tcMar>
              <w:left w:w="115" w:type="dxa"/>
              <w:right w:w="115" w:type="dxa"/>
            </w:tcMar>
            <w:vAlign w:val="center"/>
          </w:tcPr>
          <w:p w14:paraId="03F888A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1,10438</w:t>
            </w:r>
          </w:p>
        </w:tc>
        <w:tc>
          <w:tcPr>
            <w:tcW w:w="1559" w:type="dxa"/>
            <w:shd w:val="clear" w:color="auto" w:fill="EAF1DD"/>
            <w:tcMar>
              <w:left w:w="115" w:type="dxa"/>
              <w:right w:w="115" w:type="dxa"/>
            </w:tcMar>
            <w:vAlign w:val="center"/>
          </w:tcPr>
          <w:p w14:paraId="709E1D04"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778.492.028,45</w:t>
            </w:r>
          </w:p>
        </w:tc>
        <w:tc>
          <w:tcPr>
            <w:tcW w:w="1559" w:type="dxa"/>
            <w:shd w:val="clear" w:color="auto" w:fill="EAF1DD"/>
            <w:vAlign w:val="center"/>
          </w:tcPr>
          <w:p w14:paraId="7CCC19CF" w14:textId="77777777" w:rsidR="001804D4" w:rsidRPr="009C52C4" w:rsidRDefault="001804D4" w:rsidP="00BD461D">
            <w:pPr>
              <w:jc w:val="center"/>
              <w:rPr>
                <w:rFonts w:ascii="Times New Roman" w:hAnsi="Times New Roman" w:cs="Times New Roman"/>
                <w:sz w:val="24"/>
                <w:szCs w:val="24"/>
              </w:rPr>
            </w:pPr>
          </w:p>
        </w:tc>
      </w:tr>
      <w:tr w:rsidR="001804D4" w:rsidRPr="009C52C4" w14:paraId="2CA972DA" w14:textId="77777777" w:rsidTr="0058206D">
        <w:trPr>
          <w:trHeight w:val="20"/>
        </w:trPr>
        <w:tc>
          <w:tcPr>
            <w:tcW w:w="5115" w:type="dxa"/>
            <w:shd w:val="clear" w:color="auto" w:fill="EAF1DD"/>
            <w:tcMar>
              <w:left w:w="115" w:type="dxa"/>
              <w:right w:w="115" w:type="dxa"/>
            </w:tcMar>
            <w:vAlign w:val="bottom"/>
          </w:tcPr>
          <w:p w14:paraId="5697DBA0"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Program energetske obnove višestambenih zgrada</w:t>
            </w:r>
          </w:p>
        </w:tc>
        <w:tc>
          <w:tcPr>
            <w:tcW w:w="851" w:type="dxa"/>
            <w:shd w:val="clear" w:color="auto" w:fill="EAF1DD"/>
            <w:tcMar>
              <w:left w:w="115" w:type="dxa"/>
              <w:right w:w="115" w:type="dxa"/>
            </w:tcMar>
            <w:vAlign w:val="center"/>
          </w:tcPr>
          <w:p w14:paraId="1AD17AB8"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0,25131</w:t>
            </w:r>
          </w:p>
        </w:tc>
        <w:tc>
          <w:tcPr>
            <w:tcW w:w="1559" w:type="dxa"/>
            <w:shd w:val="clear" w:color="auto" w:fill="EAF1DD"/>
            <w:tcMar>
              <w:left w:w="115" w:type="dxa"/>
              <w:right w:w="115" w:type="dxa"/>
            </w:tcMar>
            <w:vAlign w:val="center"/>
          </w:tcPr>
          <w:p w14:paraId="715DA667"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154.535.990,29</w:t>
            </w:r>
          </w:p>
        </w:tc>
        <w:tc>
          <w:tcPr>
            <w:tcW w:w="1559" w:type="dxa"/>
            <w:shd w:val="clear" w:color="auto" w:fill="EAF1DD"/>
            <w:vAlign w:val="center"/>
          </w:tcPr>
          <w:p w14:paraId="30C5BB26" w14:textId="77777777" w:rsidR="001804D4" w:rsidRPr="009C52C4" w:rsidRDefault="001804D4" w:rsidP="00BD461D">
            <w:pPr>
              <w:jc w:val="center"/>
              <w:rPr>
                <w:rFonts w:ascii="Times New Roman" w:hAnsi="Times New Roman" w:cs="Times New Roman"/>
                <w:sz w:val="24"/>
                <w:szCs w:val="24"/>
              </w:rPr>
            </w:pPr>
          </w:p>
        </w:tc>
      </w:tr>
      <w:tr w:rsidR="001804D4" w:rsidRPr="009C52C4" w14:paraId="7237C73F" w14:textId="77777777" w:rsidTr="0058206D">
        <w:trPr>
          <w:trHeight w:val="20"/>
        </w:trPr>
        <w:tc>
          <w:tcPr>
            <w:tcW w:w="5115" w:type="dxa"/>
            <w:shd w:val="clear" w:color="auto" w:fill="EAF1DD"/>
            <w:tcMar>
              <w:left w:w="115" w:type="dxa"/>
              <w:right w:w="115" w:type="dxa"/>
            </w:tcMar>
            <w:vAlign w:val="bottom"/>
          </w:tcPr>
          <w:p w14:paraId="7BA7EB0F"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Program energetske obnove zgrada javnog sektora (2014. -2015.)</w:t>
            </w:r>
          </w:p>
        </w:tc>
        <w:tc>
          <w:tcPr>
            <w:tcW w:w="851" w:type="dxa"/>
            <w:shd w:val="clear" w:color="auto" w:fill="EAF1DD"/>
            <w:tcMar>
              <w:left w:w="115" w:type="dxa"/>
              <w:right w:w="115" w:type="dxa"/>
            </w:tcMar>
            <w:vAlign w:val="center"/>
          </w:tcPr>
          <w:p w14:paraId="73F1A4CB"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0,30125</w:t>
            </w:r>
          </w:p>
        </w:tc>
        <w:tc>
          <w:tcPr>
            <w:tcW w:w="1559" w:type="dxa"/>
            <w:shd w:val="clear" w:color="auto" w:fill="EAF1DD"/>
            <w:tcMar>
              <w:left w:w="115" w:type="dxa"/>
              <w:right w:w="115" w:type="dxa"/>
            </w:tcMar>
            <w:vAlign w:val="center"/>
          </w:tcPr>
          <w:p w14:paraId="184BF3D0"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344.258.164,79</w:t>
            </w:r>
          </w:p>
        </w:tc>
        <w:tc>
          <w:tcPr>
            <w:tcW w:w="1559" w:type="dxa"/>
            <w:shd w:val="clear" w:color="auto" w:fill="EAF1DD"/>
            <w:vAlign w:val="center"/>
          </w:tcPr>
          <w:p w14:paraId="34D533FA" w14:textId="77777777" w:rsidR="001804D4" w:rsidRPr="009C52C4" w:rsidRDefault="001804D4" w:rsidP="00BD461D">
            <w:pPr>
              <w:jc w:val="center"/>
              <w:rPr>
                <w:rFonts w:ascii="Times New Roman" w:hAnsi="Times New Roman" w:cs="Times New Roman"/>
                <w:sz w:val="24"/>
                <w:szCs w:val="24"/>
              </w:rPr>
            </w:pPr>
          </w:p>
        </w:tc>
      </w:tr>
      <w:tr w:rsidR="001804D4" w:rsidRPr="009C52C4" w14:paraId="2F1DCC28" w14:textId="77777777" w:rsidTr="0058206D">
        <w:trPr>
          <w:trHeight w:val="20"/>
        </w:trPr>
        <w:tc>
          <w:tcPr>
            <w:tcW w:w="5115" w:type="dxa"/>
            <w:shd w:val="clear" w:color="auto" w:fill="EAF1DD"/>
            <w:tcMar>
              <w:left w:w="115" w:type="dxa"/>
              <w:right w:w="115" w:type="dxa"/>
            </w:tcMar>
            <w:vAlign w:val="bottom"/>
          </w:tcPr>
          <w:p w14:paraId="60E3BC63"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Program energetske obnove komercijalnih nestambenih zgrada</w:t>
            </w:r>
          </w:p>
        </w:tc>
        <w:tc>
          <w:tcPr>
            <w:tcW w:w="851" w:type="dxa"/>
            <w:shd w:val="clear" w:color="auto" w:fill="EAF1DD"/>
            <w:tcMar>
              <w:left w:w="115" w:type="dxa"/>
              <w:right w:w="115" w:type="dxa"/>
            </w:tcMar>
            <w:vAlign w:val="center"/>
          </w:tcPr>
          <w:p w14:paraId="1BBF0F96"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0,07073</w:t>
            </w:r>
          </w:p>
        </w:tc>
        <w:tc>
          <w:tcPr>
            <w:tcW w:w="1559" w:type="dxa"/>
            <w:shd w:val="clear" w:color="auto" w:fill="EAF1DD"/>
            <w:tcMar>
              <w:left w:w="115" w:type="dxa"/>
              <w:right w:w="115" w:type="dxa"/>
            </w:tcMar>
            <w:vAlign w:val="center"/>
          </w:tcPr>
          <w:p w14:paraId="0BC5BD5F"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49.781.776,24</w:t>
            </w:r>
          </w:p>
        </w:tc>
        <w:tc>
          <w:tcPr>
            <w:tcW w:w="1559" w:type="dxa"/>
            <w:shd w:val="clear" w:color="auto" w:fill="EAF1DD"/>
            <w:vAlign w:val="center"/>
          </w:tcPr>
          <w:p w14:paraId="3BFE8AC0" w14:textId="77777777" w:rsidR="001804D4" w:rsidRPr="009C52C4" w:rsidRDefault="001804D4" w:rsidP="00BD461D">
            <w:pPr>
              <w:jc w:val="center"/>
              <w:rPr>
                <w:rFonts w:ascii="Times New Roman" w:hAnsi="Times New Roman" w:cs="Times New Roman"/>
                <w:sz w:val="24"/>
                <w:szCs w:val="24"/>
              </w:rPr>
            </w:pPr>
          </w:p>
        </w:tc>
      </w:tr>
      <w:tr w:rsidR="001804D4" w:rsidRPr="009C52C4" w14:paraId="220ACB8E" w14:textId="77777777" w:rsidTr="0058206D">
        <w:trPr>
          <w:trHeight w:val="20"/>
        </w:trPr>
        <w:tc>
          <w:tcPr>
            <w:tcW w:w="5115" w:type="dxa"/>
            <w:shd w:val="clear" w:color="auto" w:fill="EAF1DD"/>
            <w:tcMar>
              <w:left w:w="115" w:type="dxa"/>
              <w:right w:w="115" w:type="dxa"/>
            </w:tcMar>
            <w:vAlign w:val="bottom"/>
          </w:tcPr>
          <w:p w14:paraId="252DDD4B" w14:textId="77777777" w:rsidR="001804D4" w:rsidRPr="009C52C4" w:rsidRDefault="001804D4"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851" w:type="dxa"/>
            <w:shd w:val="clear" w:color="auto" w:fill="EAF1DD"/>
            <w:tcMar>
              <w:left w:w="115" w:type="dxa"/>
              <w:right w:w="115" w:type="dxa"/>
            </w:tcMar>
            <w:vAlign w:val="center"/>
          </w:tcPr>
          <w:p w14:paraId="6B8F5A03"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t>1,727</w:t>
            </w:r>
            <w:r w:rsidRPr="009C52C4">
              <w:rPr>
                <w:rFonts w:ascii="Times New Roman" w:hAnsi="Times New Roman" w:cs="Times New Roman"/>
                <w:sz w:val="24"/>
                <w:szCs w:val="24"/>
              </w:rPr>
              <w:lastRenderedPageBreak/>
              <w:t>67</w:t>
            </w:r>
          </w:p>
        </w:tc>
        <w:tc>
          <w:tcPr>
            <w:tcW w:w="1559" w:type="dxa"/>
            <w:shd w:val="clear" w:color="auto" w:fill="EAF1DD"/>
            <w:tcMar>
              <w:left w:w="115" w:type="dxa"/>
              <w:right w:w="115" w:type="dxa"/>
            </w:tcMar>
            <w:vAlign w:val="center"/>
          </w:tcPr>
          <w:p w14:paraId="757D2823" w14:textId="77777777" w:rsidR="001804D4" w:rsidRPr="009C52C4" w:rsidRDefault="001804D4" w:rsidP="00BD461D">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1.327.067.95</w:t>
            </w:r>
            <w:r w:rsidRPr="009C52C4">
              <w:rPr>
                <w:rFonts w:ascii="Times New Roman" w:hAnsi="Times New Roman" w:cs="Times New Roman"/>
                <w:sz w:val="24"/>
                <w:szCs w:val="24"/>
              </w:rPr>
              <w:lastRenderedPageBreak/>
              <w:t>9,77</w:t>
            </w:r>
          </w:p>
        </w:tc>
        <w:tc>
          <w:tcPr>
            <w:tcW w:w="1559" w:type="dxa"/>
            <w:shd w:val="clear" w:color="auto" w:fill="EAF1DD"/>
            <w:vAlign w:val="center"/>
          </w:tcPr>
          <w:p w14:paraId="5D79BB14" w14:textId="77777777" w:rsidR="001804D4" w:rsidRPr="009C52C4" w:rsidRDefault="005200E7" w:rsidP="005200E7">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2</w:t>
            </w:r>
            <w:r w:rsidR="001804D4" w:rsidRPr="009C52C4">
              <w:rPr>
                <w:rFonts w:ascii="Times New Roman" w:hAnsi="Times New Roman" w:cs="Times New Roman"/>
                <w:sz w:val="24"/>
                <w:szCs w:val="24"/>
              </w:rPr>
              <w:t>.</w:t>
            </w:r>
            <w:r w:rsidRPr="009C52C4">
              <w:rPr>
                <w:rFonts w:ascii="Times New Roman" w:hAnsi="Times New Roman" w:cs="Times New Roman"/>
                <w:sz w:val="24"/>
                <w:szCs w:val="24"/>
              </w:rPr>
              <w:t>172</w:t>
            </w:r>
            <w:r w:rsidR="001804D4" w:rsidRPr="009C52C4">
              <w:rPr>
                <w:rFonts w:ascii="Times New Roman" w:hAnsi="Times New Roman" w:cs="Times New Roman"/>
                <w:sz w:val="24"/>
                <w:szCs w:val="24"/>
              </w:rPr>
              <w:t>.4</w:t>
            </w:r>
            <w:r w:rsidRPr="009C52C4">
              <w:rPr>
                <w:rFonts w:ascii="Times New Roman" w:hAnsi="Times New Roman" w:cs="Times New Roman"/>
                <w:sz w:val="24"/>
                <w:szCs w:val="24"/>
              </w:rPr>
              <w:t>40</w:t>
            </w:r>
          </w:p>
        </w:tc>
      </w:tr>
    </w:tbl>
    <w:p w14:paraId="132FBF89" w14:textId="0B5829DF" w:rsidR="002F1F4B" w:rsidRPr="009C52C4" w:rsidRDefault="00825592" w:rsidP="001804D4">
      <w:pPr>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r w:rsidR="002F1F4B" w:rsidRPr="009C52C4">
        <w:rPr>
          <w:rFonts w:ascii="Times New Roman" w:hAnsi="Times New Roman" w:cs="Times New Roman"/>
          <w:sz w:val="24"/>
          <w:szCs w:val="24"/>
        </w:rPr>
        <w:br w:type="page"/>
      </w:r>
    </w:p>
    <w:p w14:paraId="29D3A00C"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22" w:name="h.2s8eyo1" w:colFirst="0" w:colLast="0"/>
      <w:bookmarkStart w:id="23" w:name="_Toc3277899"/>
      <w:bookmarkEnd w:id="22"/>
      <w:r w:rsidRPr="009C52C4">
        <w:rPr>
          <w:rFonts w:ascii="Times New Roman" w:hAnsi="Times New Roman" w:cs="Times New Roman"/>
          <w:sz w:val="24"/>
          <w:szCs w:val="24"/>
        </w:rPr>
        <w:lastRenderedPageBreak/>
        <w:t>Pregled nacionalnog fonda zgrada prema klimatskim zonama</w:t>
      </w:r>
      <w:bookmarkEnd w:id="23"/>
    </w:p>
    <w:p w14:paraId="36AFA575" w14:textId="77777777" w:rsidR="00B122B4" w:rsidRPr="009C52C4" w:rsidRDefault="00B122B4">
      <w:pPr>
        <w:ind w:right="708"/>
        <w:rPr>
          <w:rFonts w:ascii="Times New Roman" w:hAnsi="Times New Roman" w:cs="Times New Roman"/>
          <w:sz w:val="24"/>
          <w:szCs w:val="24"/>
        </w:rPr>
      </w:pPr>
    </w:p>
    <w:p w14:paraId="0B6B3CB8"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Prema članku 18. Pravilnika o energetskom pregledu zgrade i energetskom certificiranju</w:t>
      </w:r>
      <w:r w:rsidR="004D4EE2" w:rsidRPr="009C52C4">
        <w:rPr>
          <w:rFonts w:ascii="Times New Roman" w:hAnsi="Times New Roman" w:cs="Times New Roman"/>
          <w:sz w:val="24"/>
          <w:szCs w:val="24"/>
        </w:rPr>
        <w:t xml:space="preserve"> (NN 48/14, 150/14, 133/15, 22/16, 49/16, 87/16, 17/17)</w:t>
      </w:r>
      <w:r w:rsidRPr="009C52C4">
        <w:rPr>
          <w:rFonts w:ascii="Times New Roman" w:hAnsi="Times New Roman" w:cs="Times New Roman"/>
          <w:sz w:val="24"/>
          <w:szCs w:val="24"/>
          <w:vertAlign w:val="superscript"/>
        </w:rPr>
        <w:footnoteReference w:id="24"/>
      </w:r>
      <w:r w:rsidRPr="009C52C4">
        <w:rPr>
          <w:rFonts w:ascii="Times New Roman" w:hAnsi="Times New Roman" w:cs="Times New Roman"/>
          <w:sz w:val="24"/>
          <w:szCs w:val="24"/>
        </w:rPr>
        <w:t xml:space="preserve"> Republika Hrvatska je u ovisnosti o srednjoj mjesečnoj temperaturi vanjskog zraka najhladnijeg mjeseca na lokaciji zgrade podijeljena na dvije klimatske zone:</w:t>
      </w:r>
    </w:p>
    <w:p w14:paraId="2C050FB3" w14:textId="77777777" w:rsidR="00BD461D" w:rsidRPr="009C52C4" w:rsidRDefault="00BD461D" w:rsidP="00853BC8">
      <w:pPr>
        <w:numPr>
          <w:ilvl w:val="0"/>
          <w:numId w:val="5"/>
        </w:numPr>
        <w:ind w:right="708" w:hanging="359"/>
        <w:rPr>
          <w:rFonts w:ascii="Times New Roman" w:hAnsi="Times New Roman" w:cs="Times New Roman"/>
          <w:sz w:val="24"/>
          <w:szCs w:val="24"/>
        </w:rPr>
      </w:pPr>
      <w:r w:rsidRPr="009C52C4">
        <w:rPr>
          <w:rFonts w:ascii="Times New Roman" w:hAnsi="Times New Roman" w:cs="Times New Roman"/>
          <w:sz w:val="24"/>
          <w:szCs w:val="24"/>
        </w:rPr>
        <w:t>Kontinentalnu Hrvatsku - gradovi i mjesta kod kojih je srednja mjesečna temperatura vanjskog zraka najhladnijeg mjeseca na lokaciji zgrade ≤ 3 °C;</w:t>
      </w:r>
    </w:p>
    <w:p w14:paraId="593809FC" w14:textId="77777777" w:rsidR="00BD461D" w:rsidRPr="009C52C4" w:rsidRDefault="00BD461D" w:rsidP="00853BC8">
      <w:pPr>
        <w:numPr>
          <w:ilvl w:val="0"/>
          <w:numId w:val="5"/>
        </w:numPr>
        <w:ind w:right="708" w:hanging="359"/>
        <w:rPr>
          <w:rFonts w:ascii="Times New Roman" w:hAnsi="Times New Roman" w:cs="Times New Roman"/>
          <w:sz w:val="24"/>
          <w:szCs w:val="24"/>
        </w:rPr>
      </w:pPr>
      <w:r w:rsidRPr="009C52C4">
        <w:rPr>
          <w:rFonts w:ascii="Times New Roman" w:hAnsi="Times New Roman" w:cs="Times New Roman"/>
          <w:sz w:val="24"/>
          <w:szCs w:val="24"/>
        </w:rPr>
        <w:t>Primorsku Hrvatsku - gradovi i mjesta kod kojih je srednja mjesečna temperatura vanjskog zraka najhladnijeg mjeseca na lokaciji zgrade &gt; 3 °C.</w:t>
      </w:r>
    </w:p>
    <w:p w14:paraId="55E3FF15" w14:textId="77777777" w:rsidR="00BD461D" w:rsidRPr="009C52C4" w:rsidRDefault="00BD461D" w:rsidP="00BD461D">
      <w:pPr>
        <w:ind w:right="708"/>
        <w:rPr>
          <w:rFonts w:ascii="Times New Roman" w:hAnsi="Times New Roman" w:cs="Times New Roman"/>
          <w:sz w:val="24"/>
          <w:szCs w:val="24"/>
        </w:rPr>
      </w:pPr>
    </w:p>
    <w:p w14:paraId="26BDB01B"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Pregled nacionalnog fonda zgrada prema klimatskim zonama je baziran na podacima iz sljedećih izvora:</w:t>
      </w:r>
    </w:p>
    <w:p w14:paraId="5619CFBA" w14:textId="75F3E4FD" w:rsidR="00BD461D" w:rsidRPr="009C52C4" w:rsidRDefault="00BD461D"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Statističkih godišnjih ljetopisa Državnog zavoda za statistiku Republike Hrvatske</w:t>
      </w:r>
    </w:p>
    <w:p w14:paraId="3742FD32" w14:textId="0E98D034" w:rsidR="00BD461D" w:rsidRPr="009C52C4" w:rsidRDefault="00BD461D"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 xml:space="preserve">Programa energetske obnove komercijalnih </w:t>
      </w:r>
      <w:r w:rsidR="008A147C" w:rsidRPr="009C52C4">
        <w:rPr>
          <w:rFonts w:ascii="Times New Roman" w:hAnsi="Times New Roman" w:cs="Times New Roman"/>
          <w:sz w:val="24"/>
          <w:szCs w:val="24"/>
        </w:rPr>
        <w:t xml:space="preserve">nestambenih </w:t>
      </w:r>
      <w:r w:rsidRPr="009C52C4">
        <w:rPr>
          <w:rFonts w:ascii="Times New Roman" w:hAnsi="Times New Roman" w:cs="Times New Roman"/>
          <w:sz w:val="24"/>
          <w:szCs w:val="24"/>
        </w:rPr>
        <w:t>zgrada za razdoblje od 201</w:t>
      </w:r>
      <w:r w:rsidR="008A147C" w:rsidRPr="009C52C4">
        <w:rPr>
          <w:rFonts w:ascii="Times New Roman" w:hAnsi="Times New Roman" w:cs="Times New Roman"/>
          <w:sz w:val="24"/>
          <w:szCs w:val="24"/>
        </w:rPr>
        <w:t>4</w:t>
      </w:r>
      <w:r w:rsidRPr="009C52C4">
        <w:rPr>
          <w:rFonts w:ascii="Times New Roman" w:hAnsi="Times New Roman" w:cs="Times New Roman"/>
          <w:sz w:val="24"/>
          <w:szCs w:val="24"/>
        </w:rPr>
        <w:t>. do 2020. godine</w:t>
      </w:r>
      <w:r w:rsidR="0080171E" w:rsidRPr="009C52C4">
        <w:rPr>
          <w:rFonts w:ascii="Times New Roman" w:hAnsi="Times New Roman" w:cs="Times New Roman"/>
          <w:sz w:val="24"/>
          <w:szCs w:val="24"/>
        </w:rPr>
        <w:t xml:space="preserve"> s detaljnim planom energetske obnove komercijalnih </w:t>
      </w:r>
      <w:r w:rsidR="008A147C" w:rsidRPr="009C52C4">
        <w:rPr>
          <w:rFonts w:ascii="Times New Roman" w:hAnsi="Times New Roman" w:cs="Times New Roman"/>
          <w:sz w:val="24"/>
          <w:szCs w:val="24"/>
        </w:rPr>
        <w:t xml:space="preserve">nestambenih </w:t>
      </w:r>
      <w:r w:rsidR="0080171E" w:rsidRPr="009C52C4">
        <w:rPr>
          <w:rFonts w:ascii="Times New Roman" w:hAnsi="Times New Roman" w:cs="Times New Roman"/>
          <w:sz w:val="24"/>
          <w:szCs w:val="24"/>
        </w:rPr>
        <w:t>zgrada za razdoblje 201</w:t>
      </w:r>
      <w:r w:rsidR="008A147C" w:rsidRPr="009C52C4">
        <w:rPr>
          <w:rFonts w:ascii="Times New Roman" w:hAnsi="Times New Roman" w:cs="Times New Roman"/>
          <w:sz w:val="24"/>
          <w:szCs w:val="24"/>
        </w:rPr>
        <w:t>4</w:t>
      </w:r>
      <w:r w:rsidR="0080171E" w:rsidRPr="009C52C4">
        <w:rPr>
          <w:rFonts w:ascii="Times New Roman" w:hAnsi="Times New Roman" w:cs="Times New Roman"/>
          <w:sz w:val="24"/>
          <w:szCs w:val="24"/>
        </w:rPr>
        <w:t>.-2016.</w:t>
      </w:r>
    </w:p>
    <w:p w14:paraId="1FF82CDA" w14:textId="4F751A71" w:rsidR="00BD461D" w:rsidRPr="009C52C4" w:rsidRDefault="00BD461D" w:rsidP="00853BC8">
      <w:pPr>
        <w:numPr>
          <w:ilvl w:val="0"/>
          <w:numId w:val="3"/>
        </w:numPr>
        <w:ind w:hanging="359"/>
        <w:rPr>
          <w:rFonts w:ascii="Times New Roman" w:hAnsi="Times New Roman" w:cs="Times New Roman"/>
          <w:sz w:val="24"/>
          <w:szCs w:val="24"/>
        </w:rPr>
      </w:pPr>
      <w:r w:rsidRPr="009C52C4">
        <w:rPr>
          <w:rFonts w:ascii="Times New Roman" w:hAnsi="Times New Roman" w:cs="Times New Roman"/>
          <w:sz w:val="24"/>
          <w:szCs w:val="24"/>
        </w:rPr>
        <w:t>Registra javnih zgrada središnje države i izračuna ciljeva prema Direktivi 2012/27/EU</w:t>
      </w:r>
    </w:p>
    <w:p w14:paraId="0EDD57D4" w14:textId="77777777" w:rsidR="00BD461D" w:rsidRPr="009C52C4" w:rsidRDefault="00BD461D" w:rsidP="00BD461D">
      <w:pPr>
        <w:rPr>
          <w:rFonts w:ascii="Times New Roman" w:hAnsi="Times New Roman" w:cs="Times New Roman"/>
          <w:sz w:val="24"/>
          <w:szCs w:val="24"/>
        </w:rPr>
      </w:pPr>
    </w:p>
    <w:p w14:paraId="5C7F0F12" w14:textId="74388DAF"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Tablicama u nastavku dan je pregled nacionalnog stambenog fonda zgrada i nacionalnog nestambenog fonda prema klimatskim zonama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_Ref483400497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4</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i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_Ref483400504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5</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p>
    <w:p w14:paraId="11720214" w14:textId="77777777" w:rsidR="00B122B4" w:rsidRPr="009C52C4" w:rsidRDefault="00B122B4">
      <w:pPr>
        <w:rPr>
          <w:rFonts w:ascii="Times New Roman" w:hAnsi="Times New Roman" w:cs="Times New Roman"/>
          <w:sz w:val="24"/>
          <w:szCs w:val="24"/>
        </w:rPr>
      </w:pPr>
    </w:p>
    <w:p w14:paraId="5DC67941" w14:textId="504B00CA" w:rsidR="006730B1" w:rsidRPr="009C52C4" w:rsidRDefault="00825592" w:rsidP="006730B1">
      <w:pPr>
        <w:pStyle w:val="Caption"/>
        <w:rPr>
          <w:rFonts w:ascii="Times New Roman" w:hAnsi="Times New Roman" w:cs="Times New Roman"/>
          <w:sz w:val="24"/>
          <w:szCs w:val="24"/>
        </w:rPr>
      </w:pPr>
      <w:bookmarkStart w:id="24" w:name="h.17dp8vu" w:colFirst="0" w:colLast="0"/>
      <w:bookmarkStart w:id="25" w:name="h.3rdcrjn" w:colFirst="0" w:colLast="0"/>
      <w:bookmarkStart w:id="26" w:name="h.26in1rg" w:colFirst="0" w:colLast="0"/>
      <w:bookmarkStart w:id="27" w:name="_Ref483400497"/>
      <w:bookmarkEnd w:id="24"/>
      <w:bookmarkEnd w:id="25"/>
      <w:bookmarkEnd w:id="26"/>
      <w:r w:rsidRPr="009C52C4">
        <w:rPr>
          <w:rFonts w:ascii="Times New Roman" w:hAnsi="Times New Roman" w:cs="Times New Roman"/>
          <w:sz w:val="24"/>
          <w:szCs w:val="24"/>
        </w:rPr>
        <w:t xml:space="preserve"> </w:t>
      </w:r>
      <w:bookmarkStart w:id="28" w:name="_Toc2681297"/>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bookmarkEnd w:id="27"/>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stambenog fonda zgrada prema klimatskim zonama</w:t>
      </w:r>
      <w:bookmarkEnd w:id="28"/>
    </w:p>
    <w:tbl>
      <w:tblPr>
        <w:tblW w:w="922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6"/>
        <w:gridCol w:w="1145"/>
        <w:gridCol w:w="1276"/>
        <w:gridCol w:w="1134"/>
        <w:gridCol w:w="1275"/>
        <w:gridCol w:w="1134"/>
        <w:gridCol w:w="1276"/>
      </w:tblGrid>
      <w:tr w:rsidR="00BD461D" w:rsidRPr="009C52C4" w14:paraId="47C3CE47" w14:textId="77777777" w:rsidTr="00BD461D">
        <w:trPr>
          <w:trHeight w:val="113"/>
        </w:trPr>
        <w:tc>
          <w:tcPr>
            <w:tcW w:w="1986" w:type="dxa"/>
            <w:vMerge w:val="restart"/>
            <w:shd w:val="clear" w:color="auto" w:fill="C2D69B"/>
            <w:tcMar>
              <w:left w:w="115" w:type="dxa"/>
              <w:right w:w="115" w:type="dxa"/>
            </w:tcMar>
            <w:vAlign w:val="center"/>
          </w:tcPr>
          <w:p w14:paraId="2226911A" w14:textId="77777777" w:rsidR="00BD461D" w:rsidRPr="009C52C4" w:rsidRDefault="00BD461D" w:rsidP="00BD461D">
            <w:pPr>
              <w:jc w:val="left"/>
              <w:rPr>
                <w:rFonts w:ascii="Times New Roman" w:hAnsi="Times New Roman" w:cs="Times New Roman"/>
                <w:sz w:val="24"/>
                <w:szCs w:val="24"/>
              </w:rPr>
            </w:pPr>
            <w:r w:rsidRPr="009C52C4">
              <w:rPr>
                <w:rFonts w:ascii="Times New Roman" w:hAnsi="Times New Roman" w:cs="Times New Roman"/>
                <w:sz w:val="24"/>
                <w:szCs w:val="24"/>
              </w:rPr>
              <w:t>Klimatske zone</w:t>
            </w:r>
          </w:p>
        </w:tc>
        <w:tc>
          <w:tcPr>
            <w:tcW w:w="2421" w:type="dxa"/>
            <w:gridSpan w:val="2"/>
            <w:shd w:val="clear" w:color="auto" w:fill="C2D69B"/>
            <w:tcMar>
              <w:left w:w="115" w:type="dxa"/>
              <w:right w:w="115" w:type="dxa"/>
            </w:tcMar>
            <w:vAlign w:val="center"/>
          </w:tcPr>
          <w:p w14:paraId="3C9947C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Višestambene zgrade</w:t>
            </w:r>
          </w:p>
        </w:tc>
        <w:tc>
          <w:tcPr>
            <w:tcW w:w="2409" w:type="dxa"/>
            <w:gridSpan w:val="2"/>
            <w:shd w:val="clear" w:color="auto" w:fill="C2D69B" w:themeFill="accent3" w:themeFillTint="99"/>
            <w:tcMar>
              <w:left w:w="115" w:type="dxa"/>
              <w:right w:w="115" w:type="dxa"/>
            </w:tcMar>
            <w:vAlign w:val="center"/>
          </w:tcPr>
          <w:p w14:paraId="5F641D2C"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c>
          <w:tcPr>
            <w:tcW w:w="2410" w:type="dxa"/>
            <w:gridSpan w:val="2"/>
            <w:shd w:val="clear" w:color="auto" w:fill="C2D69B" w:themeFill="accent3" w:themeFillTint="99"/>
          </w:tcPr>
          <w:p w14:paraId="1EC00671"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Ukupno</w:t>
            </w:r>
          </w:p>
        </w:tc>
      </w:tr>
      <w:tr w:rsidR="00BD461D" w:rsidRPr="009C52C4" w14:paraId="452EE364" w14:textId="77777777" w:rsidTr="00DE4140">
        <w:trPr>
          <w:trHeight w:val="113"/>
        </w:trPr>
        <w:tc>
          <w:tcPr>
            <w:tcW w:w="1986" w:type="dxa"/>
            <w:vMerge/>
            <w:shd w:val="clear" w:color="auto" w:fill="EAF1DD"/>
            <w:tcMar>
              <w:left w:w="115" w:type="dxa"/>
              <w:right w:w="115" w:type="dxa"/>
            </w:tcMar>
            <w:vAlign w:val="center"/>
          </w:tcPr>
          <w:p w14:paraId="3DCD6098" w14:textId="77777777" w:rsidR="00BD461D" w:rsidRPr="009C52C4" w:rsidRDefault="00BD461D" w:rsidP="00BD461D">
            <w:pPr>
              <w:rPr>
                <w:rFonts w:ascii="Times New Roman" w:hAnsi="Times New Roman" w:cs="Times New Roman"/>
                <w:sz w:val="24"/>
                <w:szCs w:val="24"/>
              </w:rPr>
            </w:pPr>
          </w:p>
        </w:tc>
        <w:tc>
          <w:tcPr>
            <w:tcW w:w="1145" w:type="dxa"/>
            <w:shd w:val="clear" w:color="auto" w:fill="EAF1DD"/>
            <w:tcMar>
              <w:left w:w="115" w:type="dxa"/>
              <w:right w:w="115" w:type="dxa"/>
            </w:tcMar>
            <w:vAlign w:val="center"/>
          </w:tcPr>
          <w:p w14:paraId="0AFF892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6" w:type="dxa"/>
            <w:shd w:val="clear" w:color="auto" w:fill="EAF1DD"/>
            <w:tcMar>
              <w:left w:w="115" w:type="dxa"/>
              <w:right w:w="115" w:type="dxa"/>
            </w:tcMar>
            <w:vAlign w:val="center"/>
          </w:tcPr>
          <w:p w14:paraId="083D6028"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134" w:type="dxa"/>
            <w:shd w:val="clear" w:color="auto" w:fill="EAF1DD"/>
            <w:tcMar>
              <w:left w:w="115" w:type="dxa"/>
              <w:right w:w="115" w:type="dxa"/>
            </w:tcMar>
            <w:vAlign w:val="center"/>
          </w:tcPr>
          <w:p w14:paraId="359EA0D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5" w:type="dxa"/>
            <w:shd w:val="clear" w:color="auto" w:fill="EAF1DD"/>
            <w:tcMar>
              <w:left w:w="115" w:type="dxa"/>
              <w:right w:w="115" w:type="dxa"/>
            </w:tcMar>
            <w:vAlign w:val="center"/>
          </w:tcPr>
          <w:p w14:paraId="218D4ECB"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134" w:type="dxa"/>
            <w:shd w:val="clear" w:color="auto" w:fill="EAF1DD"/>
            <w:vAlign w:val="center"/>
          </w:tcPr>
          <w:p w14:paraId="451490C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6" w:type="dxa"/>
            <w:shd w:val="clear" w:color="auto" w:fill="EAF1DD"/>
            <w:vAlign w:val="center"/>
          </w:tcPr>
          <w:p w14:paraId="4103ADCA"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BD461D" w:rsidRPr="009C52C4" w14:paraId="4FF74C58" w14:textId="77777777" w:rsidTr="00DE4140">
        <w:trPr>
          <w:trHeight w:val="113"/>
        </w:trPr>
        <w:tc>
          <w:tcPr>
            <w:tcW w:w="1986" w:type="dxa"/>
            <w:shd w:val="clear" w:color="auto" w:fill="EAF1DD"/>
            <w:tcMar>
              <w:left w:w="115" w:type="dxa"/>
              <w:right w:w="115" w:type="dxa"/>
            </w:tcMar>
            <w:vAlign w:val="center"/>
          </w:tcPr>
          <w:p w14:paraId="32D65855"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Kontinentalna Hrvatska</w:t>
            </w:r>
          </w:p>
        </w:tc>
        <w:tc>
          <w:tcPr>
            <w:tcW w:w="1145" w:type="dxa"/>
            <w:shd w:val="clear" w:color="auto" w:fill="EAF1DD"/>
            <w:tcMar>
              <w:left w:w="115" w:type="dxa"/>
              <w:right w:w="115" w:type="dxa"/>
            </w:tcMar>
            <w:vAlign w:val="center"/>
          </w:tcPr>
          <w:p w14:paraId="6407890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186.922</w:t>
            </w:r>
          </w:p>
        </w:tc>
        <w:tc>
          <w:tcPr>
            <w:tcW w:w="1276" w:type="dxa"/>
            <w:shd w:val="clear" w:color="auto" w:fill="EAF1DD"/>
            <w:tcMar>
              <w:left w:w="115" w:type="dxa"/>
              <w:right w:w="115" w:type="dxa"/>
            </w:tcMar>
            <w:vAlign w:val="center"/>
          </w:tcPr>
          <w:p w14:paraId="1020845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35.648.303</w:t>
            </w:r>
          </w:p>
        </w:tc>
        <w:tc>
          <w:tcPr>
            <w:tcW w:w="1134" w:type="dxa"/>
            <w:shd w:val="clear" w:color="auto" w:fill="EAF1DD"/>
            <w:tcMar>
              <w:left w:w="115" w:type="dxa"/>
              <w:right w:w="115" w:type="dxa"/>
            </w:tcMar>
            <w:vAlign w:val="center"/>
          </w:tcPr>
          <w:p w14:paraId="4A8203A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303.322</w:t>
            </w:r>
          </w:p>
        </w:tc>
        <w:tc>
          <w:tcPr>
            <w:tcW w:w="1275" w:type="dxa"/>
            <w:shd w:val="clear" w:color="auto" w:fill="EAF1DD"/>
            <w:tcMar>
              <w:left w:w="115" w:type="dxa"/>
              <w:right w:w="115" w:type="dxa"/>
            </w:tcMar>
            <w:vAlign w:val="center"/>
          </w:tcPr>
          <w:p w14:paraId="78D2F5C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55.775.475</w:t>
            </w:r>
          </w:p>
        </w:tc>
        <w:tc>
          <w:tcPr>
            <w:tcW w:w="1134" w:type="dxa"/>
            <w:shd w:val="clear" w:color="auto" w:fill="EAF1DD"/>
            <w:vAlign w:val="center"/>
          </w:tcPr>
          <w:p w14:paraId="502BEAD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490.244</w:t>
            </w:r>
          </w:p>
        </w:tc>
        <w:tc>
          <w:tcPr>
            <w:tcW w:w="1276" w:type="dxa"/>
            <w:shd w:val="clear" w:color="auto" w:fill="EAF1DD"/>
            <w:vAlign w:val="center"/>
          </w:tcPr>
          <w:p w14:paraId="3FDE588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91.423.778</w:t>
            </w:r>
          </w:p>
        </w:tc>
      </w:tr>
      <w:tr w:rsidR="00BD461D" w:rsidRPr="009C52C4" w14:paraId="0D7D52AD" w14:textId="77777777" w:rsidTr="00DE4140">
        <w:trPr>
          <w:trHeight w:val="113"/>
        </w:trPr>
        <w:tc>
          <w:tcPr>
            <w:tcW w:w="1986" w:type="dxa"/>
            <w:shd w:val="clear" w:color="auto" w:fill="EAF1DD"/>
            <w:tcMar>
              <w:left w:w="115" w:type="dxa"/>
              <w:right w:w="115" w:type="dxa"/>
            </w:tcMar>
            <w:vAlign w:val="center"/>
          </w:tcPr>
          <w:p w14:paraId="5D38BE3C"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Primorska Hrvatska</w:t>
            </w:r>
          </w:p>
        </w:tc>
        <w:tc>
          <w:tcPr>
            <w:tcW w:w="1145" w:type="dxa"/>
            <w:shd w:val="clear" w:color="auto" w:fill="EAF1DD"/>
            <w:tcMar>
              <w:left w:w="115" w:type="dxa"/>
              <w:right w:w="115" w:type="dxa"/>
            </w:tcMar>
            <w:vAlign w:val="center"/>
          </w:tcPr>
          <w:p w14:paraId="64E6DDB5"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103.767</w:t>
            </w:r>
          </w:p>
        </w:tc>
        <w:tc>
          <w:tcPr>
            <w:tcW w:w="1276" w:type="dxa"/>
            <w:shd w:val="clear" w:color="auto" w:fill="EAF1DD"/>
            <w:tcMar>
              <w:left w:w="115" w:type="dxa"/>
              <w:right w:w="115" w:type="dxa"/>
            </w:tcMar>
            <w:vAlign w:val="center"/>
          </w:tcPr>
          <w:p w14:paraId="07D467C3"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19.789.760</w:t>
            </w:r>
          </w:p>
        </w:tc>
        <w:tc>
          <w:tcPr>
            <w:tcW w:w="1134" w:type="dxa"/>
            <w:shd w:val="clear" w:color="auto" w:fill="EAF1DD"/>
            <w:tcMar>
              <w:left w:w="115" w:type="dxa"/>
              <w:right w:w="115" w:type="dxa"/>
            </w:tcMar>
            <w:vAlign w:val="center"/>
          </w:tcPr>
          <w:p w14:paraId="7A9D52B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168.386</w:t>
            </w:r>
          </w:p>
        </w:tc>
        <w:tc>
          <w:tcPr>
            <w:tcW w:w="1275" w:type="dxa"/>
            <w:shd w:val="clear" w:color="auto" w:fill="EAF1DD"/>
            <w:tcMar>
              <w:left w:w="115" w:type="dxa"/>
              <w:right w:w="115" w:type="dxa"/>
            </w:tcMar>
            <w:vAlign w:val="center"/>
          </w:tcPr>
          <w:p w14:paraId="007C37F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30.963.140</w:t>
            </w:r>
          </w:p>
        </w:tc>
        <w:tc>
          <w:tcPr>
            <w:tcW w:w="1134" w:type="dxa"/>
            <w:shd w:val="clear" w:color="auto" w:fill="EAF1DD"/>
            <w:vAlign w:val="center"/>
          </w:tcPr>
          <w:p w14:paraId="387CAD3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272.153</w:t>
            </w:r>
          </w:p>
        </w:tc>
        <w:tc>
          <w:tcPr>
            <w:tcW w:w="1276" w:type="dxa"/>
            <w:shd w:val="clear" w:color="auto" w:fill="EAF1DD"/>
            <w:vAlign w:val="center"/>
          </w:tcPr>
          <w:p w14:paraId="220DFBB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50.752.900</w:t>
            </w:r>
          </w:p>
        </w:tc>
      </w:tr>
      <w:tr w:rsidR="00BD461D" w:rsidRPr="009C52C4" w14:paraId="3760EADD" w14:textId="77777777" w:rsidTr="00DE4140">
        <w:trPr>
          <w:trHeight w:val="113"/>
        </w:trPr>
        <w:tc>
          <w:tcPr>
            <w:tcW w:w="1986" w:type="dxa"/>
            <w:shd w:val="clear" w:color="auto" w:fill="EAF1DD"/>
            <w:tcMar>
              <w:left w:w="115" w:type="dxa"/>
              <w:right w:w="115" w:type="dxa"/>
            </w:tcMar>
            <w:vAlign w:val="center"/>
          </w:tcPr>
          <w:p w14:paraId="1BD9721E"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145" w:type="dxa"/>
            <w:shd w:val="clear" w:color="auto" w:fill="EAF1DD"/>
            <w:tcMar>
              <w:left w:w="115" w:type="dxa"/>
              <w:right w:w="115" w:type="dxa"/>
            </w:tcMar>
            <w:vAlign w:val="center"/>
          </w:tcPr>
          <w:p w14:paraId="7FFBB65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290.689</w:t>
            </w:r>
          </w:p>
        </w:tc>
        <w:tc>
          <w:tcPr>
            <w:tcW w:w="1276" w:type="dxa"/>
            <w:shd w:val="clear" w:color="auto" w:fill="EAF1DD"/>
            <w:tcMar>
              <w:left w:w="115" w:type="dxa"/>
              <w:right w:w="115" w:type="dxa"/>
            </w:tcMar>
            <w:vAlign w:val="center"/>
          </w:tcPr>
          <w:p w14:paraId="769053A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55.438.063</w:t>
            </w:r>
          </w:p>
        </w:tc>
        <w:tc>
          <w:tcPr>
            <w:tcW w:w="1134" w:type="dxa"/>
            <w:shd w:val="clear" w:color="auto" w:fill="EAF1DD"/>
            <w:tcMar>
              <w:left w:w="115" w:type="dxa"/>
              <w:right w:w="115" w:type="dxa"/>
            </w:tcMar>
            <w:vAlign w:val="center"/>
          </w:tcPr>
          <w:p w14:paraId="19E6BC63"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471.708</w:t>
            </w:r>
          </w:p>
        </w:tc>
        <w:tc>
          <w:tcPr>
            <w:tcW w:w="1275" w:type="dxa"/>
            <w:shd w:val="clear" w:color="auto" w:fill="EAF1DD"/>
            <w:tcMar>
              <w:left w:w="115" w:type="dxa"/>
              <w:right w:w="115" w:type="dxa"/>
            </w:tcMar>
            <w:vAlign w:val="center"/>
          </w:tcPr>
          <w:p w14:paraId="43D5DFC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86.738.615</w:t>
            </w:r>
          </w:p>
        </w:tc>
        <w:tc>
          <w:tcPr>
            <w:tcW w:w="1134" w:type="dxa"/>
            <w:shd w:val="clear" w:color="auto" w:fill="EAF1DD"/>
            <w:vAlign w:val="center"/>
          </w:tcPr>
          <w:p w14:paraId="7EF6CFD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762.397</w:t>
            </w:r>
          </w:p>
        </w:tc>
        <w:tc>
          <w:tcPr>
            <w:tcW w:w="1276" w:type="dxa"/>
            <w:shd w:val="clear" w:color="auto" w:fill="EAF1DD"/>
            <w:vAlign w:val="center"/>
          </w:tcPr>
          <w:p w14:paraId="5D91A482" w14:textId="6E1522AA"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142.176.6</w:t>
            </w:r>
            <w:r w:rsidR="003E2084" w:rsidRPr="009C52C4">
              <w:rPr>
                <w:rFonts w:ascii="Times New Roman" w:hAnsi="Times New Roman" w:cs="Times New Roman"/>
                <w:sz w:val="24"/>
                <w:szCs w:val="24"/>
              </w:rPr>
              <w:t>7</w:t>
            </w:r>
            <w:r w:rsidRPr="009C52C4">
              <w:rPr>
                <w:rFonts w:ascii="Times New Roman" w:hAnsi="Times New Roman" w:cs="Times New Roman"/>
                <w:sz w:val="24"/>
                <w:szCs w:val="24"/>
              </w:rPr>
              <w:t>8</w:t>
            </w:r>
          </w:p>
        </w:tc>
      </w:tr>
    </w:tbl>
    <w:p w14:paraId="1C1EFFBF" w14:textId="4BA9AEF4" w:rsidR="006730B1" w:rsidRPr="009C52C4" w:rsidRDefault="00825592">
      <w:pPr>
        <w:ind w:right="708"/>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6C460598" w14:textId="77777777" w:rsidR="000B57C1" w:rsidRPr="009C52C4" w:rsidRDefault="000B57C1">
      <w:pPr>
        <w:ind w:right="708"/>
        <w:rPr>
          <w:rFonts w:ascii="Times New Roman" w:hAnsi="Times New Roman" w:cs="Times New Roman"/>
          <w:sz w:val="24"/>
          <w:szCs w:val="24"/>
        </w:rPr>
      </w:pPr>
    </w:p>
    <w:p w14:paraId="555195CC" w14:textId="686A28BC" w:rsidR="006730B1" w:rsidRPr="009C52C4" w:rsidRDefault="00825592" w:rsidP="006730B1">
      <w:pPr>
        <w:pStyle w:val="Caption"/>
        <w:rPr>
          <w:rFonts w:ascii="Times New Roman" w:hAnsi="Times New Roman" w:cs="Times New Roman"/>
          <w:sz w:val="24"/>
          <w:szCs w:val="24"/>
        </w:rPr>
      </w:pPr>
      <w:bookmarkStart w:id="29" w:name="h.lnxbz9" w:colFirst="0" w:colLast="0"/>
      <w:bookmarkStart w:id="30" w:name="_Ref483400504"/>
      <w:bookmarkEnd w:id="29"/>
      <w:r w:rsidRPr="009C52C4">
        <w:rPr>
          <w:rFonts w:ascii="Times New Roman" w:hAnsi="Times New Roman" w:cs="Times New Roman"/>
          <w:sz w:val="24"/>
          <w:szCs w:val="24"/>
        </w:rPr>
        <w:t xml:space="preserve"> </w:t>
      </w:r>
      <w:bookmarkStart w:id="31" w:name="_Toc2681298"/>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bookmarkEnd w:id="30"/>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nestambenog fonda zgrada prema klimatskim zonama</w:t>
      </w:r>
      <w:bookmarkEnd w:id="31"/>
    </w:p>
    <w:tbl>
      <w:tblPr>
        <w:tblW w:w="923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95"/>
        <w:gridCol w:w="1141"/>
        <w:gridCol w:w="1276"/>
        <w:gridCol w:w="1134"/>
        <w:gridCol w:w="1275"/>
        <w:gridCol w:w="1134"/>
        <w:gridCol w:w="1276"/>
      </w:tblGrid>
      <w:tr w:rsidR="00BD461D" w:rsidRPr="009C52C4" w14:paraId="65423B43" w14:textId="77777777" w:rsidTr="00BD461D">
        <w:trPr>
          <w:trHeight w:val="344"/>
        </w:trPr>
        <w:tc>
          <w:tcPr>
            <w:tcW w:w="1995" w:type="dxa"/>
            <w:vMerge w:val="restart"/>
            <w:shd w:val="clear" w:color="auto" w:fill="C2D69B"/>
            <w:tcMar>
              <w:left w:w="115" w:type="dxa"/>
              <w:right w:w="115" w:type="dxa"/>
            </w:tcMar>
            <w:vAlign w:val="center"/>
          </w:tcPr>
          <w:p w14:paraId="35EC9D6F" w14:textId="77777777" w:rsidR="00BD461D" w:rsidRPr="009C52C4" w:rsidRDefault="00BD461D" w:rsidP="00BD461D">
            <w:pPr>
              <w:jc w:val="left"/>
              <w:rPr>
                <w:rFonts w:ascii="Times New Roman" w:hAnsi="Times New Roman" w:cs="Times New Roman"/>
                <w:sz w:val="24"/>
                <w:szCs w:val="24"/>
              </w:rPr>
            </w:pPr>
            <w:r w:rsidRPr="009C52C4">
              <w:rPr>
                <w:rFonts w:ascii="Times New Roman" w:hAnsi="Times New Roman" w:cs="Times New Roman"/>
                <w:sz w:val="24"/>
                <w:szCs w:val="24"/>
              </w:rPr>
              <w:t>Klimatske zone</w:t>
            </w:r>
          </w:p>
        </w:tc>
        <w:tc>
          <w:tcPr>
            <w:tcW w:w="2417" w:type="dxa"/>
            <w:gridSpan w:val="2"/>
            <w:shd w:val="clear" w:color="auto" w:fill="C2D69B"/>
            <w:tcMar>
              <w:left w:w="115" w:type="dxa"/>
              <w:right w:w="115" w:type="dxa"/>
            </w:tcMar>
            <w:vAlign w:val="center"/>
          </w:tcPr>
          <w:p w14:paraId="51607B7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Zgrade komercijalne namjene</w:t>
            </w:r>
          </w:p>
        </w:tc>
        <w:tc>
          <w:tcPr>
            <w:tcW w:w="2409" w:type="dxa"/>
            <w:gridSpan w:val="2"/>
            <w:shd w:val="clear" w:color="auto" w:fill="C2D69B" w:themeFill="accent3" w:themeFillTint="99"/>
            <w:tcMar>
              <w:left w:w="115" w:type="dxa"/>
              <w:right w:w="115" w:type="dxa"/>
            </w:tcMar>
            <w:vAlign w:val="center"/>
          </w:tcPr>
          <w:p w14:paraId="7D6E9E9C"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c>
          <w:tcPr>
            <w:tcW w:w="2410" w:type="dxa"/>
            <w:gridSpan w:val="2"/>
            <w:shd w:val="clear" w:color="auto" w:fill="C2D69B" w:themeFill="accent3" w:themeFillTint="99"/>
            <w:vAlign w:val="center"/>
          </w:tcPr>
          <w:p w14:paraId="17C7C0F5"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Ukupno</w:t>
            </w:r>
          </w:p>
        </w:tc>
      </w:tr>
      <w:tr w:rsidR="00BD461D" w:rsidRPr="009C52C4" w14:paraId="6B8B567E" w14:textId="77777777" w:rsidTr="00DE4140">
        <w:trPr>
          <w:trHeight w:val="20"/>
        </w:trPr>
        <w:tc>
          <w:tcPr>
            <w:tcW w:w="1995" w:type="dxa"/>
            <w:vMerge/>
            <w:shd w:val="clear" w:color="auto" w:fill="EAF1DD"/>
            <w:tcMar>
              <w:left w:w="115" w:type="dxa"/>
              <w:right w:w="115" w:type="dxa"/>
            </w:tcMar>
            <w:vAlign w:val="center"/>
          </w:tcPr>
          <w:p w14:paraId="38E86563" w14:textId="77777777" w:rsidR="00BD461D" w:rsidRPr="009C52C4" w:rsidRDefault="00BD461D" w:rsidP="00BD461D">
            <w:pPr>
              <w:rPr>
                <w:rFonts w:ascii="Times New Roman" w:hAnsi="Times New Roman" w:cs="Times New Roman"/>
                <w:sz w:val="24"/>
                <w:szCs w:val="24"/>
              </w:rPr>
            </w:pPr>
          </w:p>
        </w:tc>
        <w:tc>
          <w:tcPr>
            <w:tcW w:w="1141" w:type="dxa"/>
            <w:shd w:val="clear" w:color="auto" w:fill="EAF1DD"/>
            <w:tcMar>
              <w:left w:w="115" w:type="dxa"/>
              <w:right w:w="115" w:type="dxa"/>
            </w:tcMar>
            <w:vAlign w:val="center"/>
          </w:tcPr>
          <w:p w14:paraId="46865DF5"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6" w:type="dxa"/>
            <w:shd w:val="clear" w:color="auto" w:fill="EAF1DD"/>
            <w:tcMar>
              <w:left w:w="115" w:type="dxa"/>
              <w:right w:w="115" w:type="dxa"/>
            </w:tcMar>
            <w:vAlign w:val="center"/>
          </w:tcPr>
          <w:p w14:paraId="2BCF556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134" w:type="dxa"/>
            <w:shd w:val="clear" w:color="auto" w:fill="EAF1DD"/>
            <w:tcMar>
              <w:left w:w="115" w:type="dxa"/>
              <w:right w:w="115" w:type="dxa"/>
            </w:tcMar>
            <w:vAlign w:val="center"/>
          </w:tcPr>
          <w:p w14:paraId="4C0CECC5"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5" w:type="dxa"/>
            <w:shd w:val="clear" w:color="auto" w:fill="EAF1DD"/>
            <w:tcMar>
              <w:left w:w="115" w:type="dxa"/>
              <w:right w:w="115" w:type="dxa"/>
            </w:tcMar>
            <w:vAlign w:val="center"/>
          </w:tcPr>
          <w:p w14:paraId="26E427E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134" w:type="dxa"/>
            <w:shd w:val="clear" w:color="auto" w:fill="EAF1DD"/>
            <w:vAlign w:val="center"/>
          </w:tcPr>
          <w:p w14:paraId="19DC40D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276" w:type="dxa"/>
            <w:shd w:val="clear" w:color="auto" w:fill="EAF1DD"/>
            <w:vAlign w:val="center"/>
          </w:tcPr>
          <w:p w14:paraId="31B0ED46"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BD461D" w:rsidRPr="009C52C4" w14:paraId="53C84DD3" w14:textId="77777777" w:rsidTr="00DE4140">
        <w:trPr>
          <w:trHeight w:val="20"/>
        </w:trPr>
        <w:tc>
          <w:tcPr>
            <w:tcW w:w="1995" w:type="dxa"/>
            <w:shd w:val="clear" w:color="auto" w:fill="EAF1DD"/>
            <w:tcMar>
              <w:left w:w="115" w:type="dxa"/>
              <w:right w:w="115" w:type="dxa"/>
            </w:tcMar>
            <w:vAlign w:val="center"/>
          </w:tcPr>
          <w:p w14:paraId="5B82053A"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Kontinentalna Hrvatska</w:t>
            </w:r>
          </w:p>
        </w:tc>
        <w:tc>
          <w:tcPr>
            <w:tcW w:w="1141" w:type="dxa"/>
            <w:shd w:val="clear" w:color="auto" w:fill="EAF1DD"/>
            <w:tcMar>
              <w:left w:w="115" w:type="dxa"/>
              <w:right w:w="115" w:type="dxa"/>
            </w:tcMar>
            <w:vAlign w:val="center"/>
          </w:tcPr>
          <w:p w14:paraId="260F59D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29.968</w:t>
            </w:r>
          </w:p>
        </w:tc>
        <w:tc>
          <w:tcPr>
            <w:tcW w:w="1276" w:type="dxa"/>
            <w:shd w:val="clear" w:color="auto" w:fill="EAF1DD"/>
            <w:tcMar>
              <w:left w:w="115" w:type="dxa"/>
              <w:right w:w="115" w:type="dxa"/>
            </w:tcMar>
            <w:vAlign w:val="center"/>
          </w:tcPr>
          <w:p w14:paraId="35F54EF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24.482.108</w:t>
            </w:r>
          </w:p>
        </w:tc>
        <w:tc>
          <w:tcPr>
            <w:tcW w:w="1134" w:type="dxa"/>
            <w:shd w:val="clear" w:color="auto" w:fill="EAF1DD"/>
            <w:tcMar>
              <w:left w:w="115" w:type="dxa"/>
              <w:right w:w="115" w:type="dxa"/>
            </w:tcMar>
            <w:vAlign w:val="center"/>
          </w:tcPr>
          <w:p w14:paraId="1EE226E1"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53.731</w:t>
            </w:r>
          </w:p>
        </w:tc>
        <w:tc>
          <w:tcPr>
            <w:tcW w:w="1275" w:type="dxa"/>
            <w:shd w:val="clear" w:color="auto" w:fill="EAF1DD"/>
            <w:tcMar>
              <w:left w:w="115" w:type="dxa"/>
              <w:right w:w="115" w:type="dxa"/>
            </w:tcMar>
            <w:vAlign w:val="center"/>
          </w:tcPr>
          <w:p w14:paraId="64FA497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9.247.275</w:t>
            </w:r>
          </w:p>
        </w:tc>
        <w:tc>
          <w:tcPr>
            <w:tcW w:w="1134" w:type="dxa"/>
            <w:shd w:val="clear" w:color="auto" w:fill="EAF1DD"/>
            <w:vAlign w:val="center"/>
          </w:tcPr>
          <w:p w14:paraId="70E1889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83.699</w:t>
            </w:r>
          </w:p>
        </w:tc>
        <w:tc>
          <w:tcPr>
            <w:tcW w:w="1276" w:type="dxa"/>
            <w:shd w:val="clear" w:color="auto" w:fill="EAF1DD"/>
            <w:vAlign w:val="center"/>
          </w:tcPr>
          <w:p w14:paraId="1741D65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33.729.383</w:t>
            </w:r>
          </w:p>
        </w:tc>
      </w:tr>
      <w:tr w:rsidR="00BD461D" w:rsidRPr="009C52C4" w14:paraId="7DA58A85" w14:textId="77777777" w:rsidTr="00DE4140">
        <w:trPr>
          <w:trHeight w:val="20"/>
        </w:trPr>
        <w:tc>
          <w:tcPr>
            <w:tcW w:w="1995" w:type="dxa"/>
            <w:shd w:val="clear" w:color="auto" w:fill="EAF1DD"/>
            <w:tcMar>
              <w:left w:w="115" w:type="dxa"/>
              <w:right w:w="115" w:type="dxa"/>
            </w:tcMar>
            <w:vAlign w:val="center"/>
          </w:tcPr>
          <w:p w14:paraId="465E746A"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Primorska Hrvatska</w:t>
            </w:r>
          </w:p>
        </w:tc>
        <w:tc>
          <w:tcPr>
            <w:tcW w:w="1141" w:type="dxa"/>
            <w:shd w:val="clear" w:color="auto" w:fill="EAF1DD"/>
            <w:tcMar>
              <w:left w:w="115" w:type="dxa"/>
              <w:right w:w="115" w:type="dxa"/>
            </w:tcMar>
            <w:vAlign w:val="center"/>
          </w:tcPr>
          <w:p w14:paraId="30A4DB6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14.760</w:t>
            </w:r>
          </w:p>
        </w:tc>
        <w:tc>
          <w:tcPr>
            <w:tcW w:w="1276" w:type="dxa"/>
            <w:shd w:val="clear" w:color="auto" w:fill="EAF1DD"/>
            <w:tcMar>
              <w:left w:w="115" w:type="dxa"/>
              <w:right w:w="115" w:type="dxa"/>
            </w:tcMar>
            <w:vAlign w:val="center"/>
          </w:tcPr>
          <w:p w14:paraId="3F81D08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12.058.351</w:t>
            </w:r>
          </w:p>
        </w:tc>
        <w:tc>
          <w:tcPr>
            <w:tcW w:w="1134" w:type="dxa"/>
            <w:shd w:val="clear" w:color="auto" w:fill="EAF1DD"/>
            <w:tcMar>
              <w:left w:w="115" w:type="dxa"/>
              <w:right w:w="115" w:type="dxa"/>
            </w:tcMar>
            <w:vAlign w:val="center"/>
          </w:tcPr>
          <w:p w14:paraId="722A1AF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26.465</w:t>
            </w:r>
          </w:p>
        </w:tc>
        <w:tc>
          <w:tcPr>
            <w:tcW w:w="1275" w:type="dxa"/>
            <w:shd w:val="clear" w:color="auto" w:fill="EAF1DD"/>
            <w:tcMar>
              <w:left w:w="115" w:type="dxa"/>
              <w:right w:w="115" w:type="dxa"/>
            </w:tcMar>
            <w:vAlign w:val="center"/>
          </w:tcPr>
          <w:p w14:paraId="545977F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4.554.628</w:t>
            </w:r>
          </w:p>
        </w:tc>
        <w:tc>
          <w:tcPr>
            <w:tcW w:w="1134" w:type="dxa"/>
            <w:shd w:val="clear" w:color="auto" w:fill="EAF1DD"/>
            <w:vAlign w:val="center"/>
          </w:tcPr>
          <w:p w14:paraId="075BC02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41.225</w:t>
            </w:r>
          </w:p>
        </w:tc>
        <w:tc>
          <w:tcPr>
            <w:tcW w:w="1276" w:type="dxa"/>
            <w:shd w:val="clear" w:color="auto" w:fill="EAF1DD"/>
            <w:vAlign w:val="center"/>
          </w:tcPr>
          <w:p w14:paraId="65E7835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16.612.979</w:t>
            </w:r>
          </w:p>
        </w:tc>
      </w:tr>
      <w:tr w:rsidR="00BD461D" w:rsidRPr="009C52C4" w14:paraId="10BDB17A" w14:textId="77777777" w:rsidTr="00DE4140">
        <w:trPr>
          <w:trHeight w:val="20"/>
        </w:trPr>
        <w:tc>
          <w:tcPr>
            <w:tcW w:w="1995" w:type="dxa"/>
            <w:shd w:val="clear" w:color="auto" w:fill="EAF1DD"/>
            <w:tcMar>
              <w:left w:w="115" w:type="dxa"/>
              <w:right w:w="115" w:type="dxa"/>
            </w:tcMar>
            <w:vAlign w:val="center"/>
          </w:tcPr>
          <w:p w14:paraId="52C0173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141" w:type="dxa"/>
            <w:shd w:val="clear" w:color="auto" w:fill="EAF1DD"/>
            <w:tcMar>
              <w:left w:w="115" w:type="dxa"/>
              <w:right w:w="115" w:type="dxa"/>
            </w:tcMar>
            <w:vAlign w:val="center"/>
          </w:tcPr>
          <w:p w14:paraId="2E46647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44.728</w:t>
            </w:r>
          </w:p>
        </w:tc>
        <w:tc>
          <w:tcPr>
            <w:tcW w:w="1276" w:type="dxa"/>
            <w:shd w:val="clear" w:color="auto" w:fill="EAF1DD"/>
            <w:tcMar>
              <w:left w:w="115" w:type="dxa"/>
              <w:right w:w="115" w:type="dxa"/>
            </w:tcMar>
            <w:vAlign w:val="center"/>
          </w:tcPr>
          <w:p w14:paraId="5D898691"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36.540.459</w:t>
            </w:r>
          </w:p>
        </w:tc>
        <w:tc>
          <w:tcPr>
            <w:tcW w:w="1134" w:type="dxa"/>
            <w:shd w:val="clear" w:color="auto" w:fill="EAF1DD"/>
            <w:tcMar>
              <w:left w:w="115" w:type="dxa"/>
              <w:right w:w="115" w:type="dxa"/>
            </w:tcMar>
            <w:vAlign w:val="center"/>
          </w:tcPr>
          <w:p w14:paraId="7FFC583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80.196</w:t>
            </w:r>
          </w:p>
        </w:tc>
        <w:tc>
          <w:tcPr>
            <w:tcW w:w="1275" w:type="dxa"/>
            <w:shd w:val="clear" w:color="auto" w:fill="EAF1DD"/>
            <w:tcMar>
              <w:left w:w="115" w:type="dxa"/>
              <w:right w:w="115" w:type="dxa"/>
            </w:tcMar>
            <w:vAlign w:val="center"/>
          </w:tcPr>
          <w:p w14:paraId="0ED22E20" w14:textId="42C9903F"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13.801.90</w:t>
            </w:r>
            <w:r w:rsidR="003E2084" w:rsidRPr="009C52C4">
              <w:rPr>
                <w:rFonts w:ascii="Times New Roman" w:hAnsi="Times New Roman" w:cs="Times New Roman"/>
                <w:sz w:val="24"/>
                <w:szCs w:val="24"/>
              </w:rPr>
              <w:t>3</w:t>
            </w:r>
          </w:p>
        </w:tc>
        <w:tc>
          <w:tcPr>
            <w:tcW w:w="1134" w:type="dxa"/>
            <w:shd w:val="clear" w:color="auto" w:fill="EAF1DD"/>
            <w:vAlign w:val="center"/>
          </w:tcPr>
          <w:p w14:paraId="30402EC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124.924</w:t>
            </w:r>
          </w:p>
        </w:tc>
        <w:tc>
          <w:tcPr>
            <w:tcW w:w="1276" w:type="dxa"/>
            <w:shd w:val="clear" w:color="auto" w:fill="EAF1DD"/>
            <w:vAlign w:val="center"/>
          </w:tcPr>
          <w:p w14:paraId="295082F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51.342.362</w:t>
            </w:r>
          </w:p>
        </w:tc>
      </w:tr>
    </w:tbl>
    <w:p w14:paraId="584E4413" w14:textId="47A9ADBE" w:rsidR="00B122B4" w:rsidRPr="009C52C4" w:rsidRDefault="00825592">
      <w:pPr>
        <w:ind w:right="708"/>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4D9673EE" w14:textId="77777777" w:rsidR="000B57C1" w:rsidRPr="009C52C4" w:rsidRDefault="000B57C1">
      <w:pPr>
        <w:ind w:right="708"/>
        <w:rPr>
          <w:rFonts w:ascii="Times New Roman" w:hAnsi="Times New Roman" w:cs="Times New Roman"/>
          <w:sz w:val="24"/>
          <w:szCs w:val="24"/>
        </w:rPr>
      </w:pPr>
    </w:p>
    <w:p w14:paraId="1FEA41F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Pregled stambenog nacionalnog fonda zgrada Republike Hrvatske prema klimatskim zonama pokazuje da se 490.244 zgrada ukupne površine 91.423.778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kontinentalnoj Hrvatskoj a 272.153 zgrada ukupne površine 50.752.900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primorskoj Hrvatskoj.</w:t>
      </w:r>
    </w:p>
    <w:p w14:paraId="78F04ACF" w14:textId="77777777" w:rsidR="00BD461D" w:rsidRPr="009C52C4" w:rsidRDefault="00BD461D" w:rsidP="00BD461D">
      <w:pPr>
        <w:rPr>
          <w:rFonts w:ascii="Times New Roman" w:hAnsi="Times New Roman" w:cs="Times New Roman"/>
          <w:sz w:val="24"/>
          <w:szCs w:val="24"/>
        </w:rPr>
      </w:pPr>
    </w:p>
    <w:p w14:paraId="3572D10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Pregled nestambenog nacionalnog fonda zgrada Republike Hrvatske prema klimatskim zonama pokazuje da se 83.699 zgrada ukupne površine 33.729.383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kontinentalnoj Hrvatskoj a 41.225 zgrada ukupne površine 16.612.979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primorskoj Hrvatskoj.</w:t>
      </w:r>
    </w:p>
    <w:p w14:paraId="10C8B2C3" w14:textId="77777777" w:rsidR="00BD461D" w:rsidRPr="009C52C4" w:rsidRDefault="00BD461D" w:rsidP="00BD461D">
      <w:pPr>
        <w:rPr>
          <w:rFonts w:ascii="Times New Roman" w:hAnsi="Times New Roman" w:cs="Times New Roman"/>
          <w:sz w:val="24"/>
          <w:szCs w:val="24"/>
        </w:rPr>
      </w:pPr>
    </w:p>
    <w:p w14:paraId="7E7E9A6F"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Iz gore navedenog slijedi zaključak da se od sadašnjeg nacionalnog fonda zgrada Republike Hrvatske 573.943 zgrada ukupne površine 125.153.161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kontinentalnoj Hrvatskoj a 313.378 zgrada ukupne površine 67.365.879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primorskoj Hrvatskoj. </w:t>
      </w:r>
    </w:p>
    <w:p w14:paraId="59F78BFC" w14:textId="77777777" w:rsidR="00BD461D" w:rsidRPr="009C52C4" w:rsidRDefault="00BD461D" w:rsidP="00BD461D">
      <w:pPr>
        <w:ind w:right="708"/>
        <w:rPr>
          <w:rFonts w:ascii="Times New Roman" w:hAnsi="Times New Roman" w:cs="Times New Roman"/>
          <w:sz w:val="24"/>
          <w:szCs w:val="24"/>
        </w:rPr>
      </w:pPr>
    </w:p>
    <w:p w14:paraId="08C21F89"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32" w:name="h.35nkun2" w:colFirst="0" w:colLast="0"/>
      <w:bookmarkStart w:id="33" w:name="_Toc3277900"/>
      <w:bookmarkEnd w:id="32"/>
      <w:r w:rsidRPr="009C52C4">
        <w:rPr>
          <w:rFonts w:ascii="Times New Roman" w:hAnsi="Times New Roman" w:cs="Times New Roman"/>
          <w:sz w:val="24"/>
          <w:szCs w:val="24"/>
        </w:rPr>
        <w:t>Pregled nacionalnog fonda zgrada prema vlasništvu</w:t>
      </w:r>
      <w:bookmarkEnd w:id="33"/>
    </w:p>
    <w:p w14:paraId="1A408E35" w14:textId="77777777" w:rsidR="00B122B4" w:rsidRPr="009C52C4" w:rsidRDefault="00B122B4">
      <w:pPr>
        <w:rPr>
          <w:rFonts w:ascii="Times New Roman" w:hAnsi="Times New Roman" w:cs="Times New Roman"/>
          <w:sz w:val="24"/>
          <w:szCs w:val="24"/>
        </w:rPr>
      </w:pPr>
    </w:p>
    <w:p w14:paraId="399C4D03" w14:textId="7ECA692D" w:rsidR="00BD461D" w:rsidRPr="009C52C4" w:rsidRDefault="00BD461D" w:rsidP="00BD461D">
      <w:pPr>
        <w:rPr>
          <w:rFonts w:ascii="Times New Roman" w:hAnsi="Times New Roman" w:cs="Times New Roman"/>
          <w:sz w:val="24"/>
          <w:szCs w:val="24"/>
        </w:rPr>
      </w:pPr>
      <w:bookmarkStart w:id="34" w:name="h.1ksv4uv" w:colFirst="0" w:colLast="0"/>
      <w:bookmarkStart w:id="35" w:name="h.44sinio" w:colFirst="0" w:colLast="0"/>
      <w:bookmarkEnd w:id="34"/>
      <w:bookmarkEnd w:id="35"/>
      <w:r w:rsidRPr="009C52C4">
        <w:rPr>
          <w:rFonts w:ascii="Times New Roman" w:hAnsi="Times New Roman" w:cs="Times New Roman"/>
          <w:sz w:val="24"/>
          <w:szCs w:val="24"/>
        </w:rPr>
        <w:t xml:space="preserve">Pregled nacionalnog fonda zgrada prema vlasništvu se bazira na podacima dobivenim sustavnim pretraživanjem Statističkih godišnjih ljetopisa Državnog zavoda za statistiku Republike Hrvatske. Kako prvi dostupni službeni statistički podaci o izgradnji i površini zgrada datiraju iz 1952. godine, a promatrano su razdoblje obilježile velike društvene promjene, razlike u kategorizaciji zgrada prema vlasništvu su značajne. Imajući u vidu da su u razdoblju samoupravnog socijalizma do 1991. godine gotovo sve zgrade (osim obiteljskih kuća) bile isključivo društveno vlasništvo i kao takve se vodile u Statističkim ljetopisima,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_Ref483403736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i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_Ref483403743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daju procjenu nacionalnog fonda zgrada prema vlasništvu, baziranu na pretpostavci da je u razdoblju od 1991. do danas oko 99% stambenog fonda Republike Hrvatske prešlo iz društvenog u privatno vlasništvo.</w:t>
      </w:r>
    </w:p>
    <w:p w14:paraId="3C434A0D" w14:textId="77777777" w:rsidR="00B122B4" w:rsidRPr="009C52C4" w:rsidRDefault="00B122B4">
      <w:pPr>
        <w:jc w:val="left"/>
        <w:rPr>
          <w:rFonts w:ascii="Times New Roman" w:hAnsi="Times New Roman" w:cs="Times New Roman"/>
          <w:sz w:val="24"/>
          <w:szCs w:val="24"/>
        </w:rPr>
      </w:pPr>
    </w:p>
    <w:p w14:paraId="7C7CA604" w14:textId="537B2977" w:rsidR="006730B1" w:rsidRPr="009C52C4" w:rsidRDefault="00825592" w:rsidP="006730B1">
      <w:pPr>
        <w:pStyle w:val="Caption"/>
        <w:rPr>
          <w:rFonts w:ascii="Times New Roman" w:hAnsi="Times New Roman" w:cs="Times New Roman"/>
          <w:sz w:val="24"/>
          <w:szCs w:val="24"/>
        </w:rPr>
      </w:pPr>
      <w:bookmarkStart w:id="36" w:name="_Ref483403736"/>
      <w:r w:rsidRPr="009C52C4">
        <w:rPr>
          <w:rFonts w:ascii="Times New Roman" w:hAnsi="Times New Roman" w:cs="Times New Roman"/>
          <w:sz w:val="24"/>
          <w:szCs w:val="24"/>
        </w:rPr>
        <w:t xml:space="preserve"> </w:t>
      </w:r>
      <w:bookmarkStart w:id="37" w:name="_Toc2681299"/>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bookmarkEnd w:id="36"/>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stambenog fonda zgrada prema vlasništvu</w:t>
      </w:r>
      <w:bookmarkEnd w:id="37"/>
    </w:p>
    <w:tbl>
      <w:tblPr>
        <w:tblW w:w="918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68"/>
        <w:gridCol w:w="1636"/>
        <w:gridCol w:w="2122"/>
        <w:gridCol w:w="1636"/>
        <w:gridCol w:w="2122"/>
      </w:tblGrid>
      <w:tr w:rsidR="00BD461D" w:rsidRPr="009C52C4" w14:paraId="12BADA33" w14:textId="77777777" w:rsidTr="00BD461D">
        <w:trPr>
          <w:trHeight w:val="113"/>
        </w:trPr>
        <w:tc>
          <w:tcPr>
            <w:tcW w:w="1668" w:type="dxa"/>
            <w:vMerge w:val="restart"/>
            <w:shd w:val="clear" w:color="auto" w:fill="C2D69B"/>
            <w:tcMar>
              <w:left w:w="115" w:type="dxa"/>
              <w:right w:w="115" w:type="dxa"/>
            </w:tcMar>
            <w:vAlign w:val="center"/>
          </w:tcPr>
          <w:p w14:paraId="54F9EABA" w14:textId="77777777" w:rsidR="00BD461D" w:rsidRPr="009C52C4" w:rsidRDefault="00BD461D" w:rsidP="00BD461D">
            <w:pPr>
              <w:jc w:val="left"/>
              <w:rPr>
                <w:rFonts w:ascii="Times New Roman" w:hAnsi="Times New Roman" w:cs="Times New Roman"/>
                <w:sz w:val="24"/>
                <w:szCs w:val="24"/>
              </w:rPr>
            </w:pPr>
            <w:r w:rsidRPr="009C52C4">
              <w:rPr>
                <w:rFonts w:ascii="Times New Roman" w:hAnsi="Times New Roman" w:cs="Times New Roman"/>
                <w:sz w:val="24"/>
                <w:szCs w:val="24"/>
              </w:rPr>
              <w:t>Vlasništvo</w:t>
            </w:r>
          </w:p>
        </w:tc>
        <w:tc>
          <w:tcPr>
            <w:tcW w:w="3758" w:type="dxa"/>
            <w:gridSpan w:val="2"/>
            <w:shd w:val="clear" w:color="auto" w:fill="C2D69B"/>
            <w:tcMar>
              <w:left w:w="115" w:type="dxa"/>
              <w:right w:w="115" w:type="dxa"/>
            </w:tcMar>
            <w:vAlign w:val="center"/>
          </w:tcPr>
          <w:p w14:paraId="12AEC46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Višestambene zgrade</w:t>
            </w:r>
          </w:p>
        </w:tc>
        <w:tc>
          <w:tcPr>
            <w:tcW w:w="3758" w:type="dxa"/>
            <w:gridSpan w:val="2"/>
            <w:shd w:val="clear" w:color="auto" w:fill="C2D69B" w:themeFill="accent3" w:themeFillTint="99"/>
            <w:tcMar>
              <w:left w:w="115" w:type="dxa"/>
              <w:right w:w="115" w:type="dxa"/>
            </w:tcMar>
          </w:tcPr>
          <w:p w14:paraId="55B16D4C"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r>
      <w:tr w:rsidR="00BD461D" w:rsidRPr="009C52C4" w14:paraId="661ED111" w14:textId="77777777" w:rsidTr="00BD461D">
        <w:trPr>
          <w:trHeight w:val="113"/>
        </w:trPr>
        <w:tc>
          <w:tcPr>
            <w:tcW w:w="1668" w:type="dxa"/>
            <w:vMerge/>
            <w:shd w:val="clear" w:color="auto" w:fill="EAF1DD"/>
            <w:tcMar>
              <w:left w:w="115" w:type="dxa"/>
              <w:right w:w="115" w:type="dxa"/>
            </w:tcMar>
            <w:vAlign w:val="center"/>
          </w:tcPr>
          <w:p w14:paraId="255184FC" w14:textId="77777777" w:rsidR="00BD461D" w:rsidRPr="009C52C4" w:rsidRDefault="00BD461D" w:rsidP="00BD461D">
            <w:pPr>
              <w:rPr>
                <w:rFonts w:ascii="Times New Roman" w:hAnsi="Times New Roman" w:cs="Times New Roman"/>
                <w:sz w:val="24"/>
                <w:szCs w:val="24"/>
              </w:rPr>
            </w:pPr>
          </w:p>
        </w:tc>
        <w:tc>
          <w:tcPr>
            <w:tcW w:w="1636" w:type="dxa"/>
            <w:shd w:val="clear" w:color="auto" w:fill="EAF1DD"/>
            <w:tcMar>
              <w:left w:w="115" w:type="dxa"/>
              <w:right w:w="115" w:type="dxa"/>
            </w:tcMar>
            <w:vAlign w:val="center"/>
          </w:tcPr>
          <w:p w14:paraId="436782B3"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122" w:type="dxa"/>
            <w:shd w:val="clear" w:color="auto" w:fill="EAF1DD"/>
            <w:tcMar>
              <w:left w:w="115" w:type="dxa"/>
              <w:right w:w="115" w:type="dxa"/>
            </w:tcMar>
            <w:vAlign w:val="center"/>
          </w:tcPr>
          <w:p w14:paraId="750DEDFB" w14:textId="77777777" w:rsidR="00BD461D" w:rsidRPr="009C52C4" w:rsidRDefault="009C11B8"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 [</w:t>
            </w:r>
            <w:r w:rsidR="00BD461D" w:rsidRPr="009C52C4">
              <w:rPr>
                <w:rFonts w:ascii="Times New Roman" w:hAnsi="Times New Roman" w:cs="Times New Roman"/>
                <w:sz w:val="24"/>
                <w:szCs w:val="24"/>
              </w:rPr>
              <w:t>m</w:t>
            </w:r>
            <w:r w:rsidR="00BD461D"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tc>
        <w:tc>
          <w:tcPr>
            <w:tcW w:w="1636" w:type="dxa"/>
            <w:shd w:val="clear" w:color="auto" w:fill="EAF1DD"/>
            <w:tcMar>
              <w:left w:w="115" w:type="dxa"/>
              <w:right w:w="115" w:type="dxa"/>
            </w:tcMar>
            <w:vAlign w:val="center"/>
          </w:tcPr>
          <w:p w14:paraId="326FB80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122" w:type="dxa"/>
            <w:shd w:val="clear" w:color="auto" w:fill="EAF1DD"/>
            <w:tcMar>
              <w:left w:w="115" w:type="dxa"/>
              <w:right w:w="115" w:type="dxa"/>
            </w:tcMar>
            <w:vAlign w:val="center"/>
          </w:tcPr>
          <w:p w14:paraId="02F402DF"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BD461D" w:rsidRPr="009C52C4" w14:paraId="238B9351" w14:textId="77777777" w:rsidTr="00BD461D">
        <w:trPr>
          <w:trHeight w:val="113"/>
        </w:trPr>
        <w:tc>
          <w:tcPr>
            <w:tcW w:w="1668" w:type="dxa"/>
            <w:shd w:val="clear" w:color="auto" w:fill="EAF1DD"/>
            <w:tcMar>
              <w:left w:w="115" w:type="dxa"/>
              <w:right w:w="115" w:type="dxa"/>
            </w:tcMar>
            <w:vAlign w:val="center"/>
          </w:tcPr>
          <w:p w14:paraId="474771E3"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Privatno</w:t>
            </w:r>
          </w:p>
        </w:tc>
        <w:tc>
          <w:tcPr>
            <w:tcW w:w="1636" w:type="dxa"/>
            <w:shd w:val="clear" w:color="auto" w:fill="EAF1DD"/>
            <w:tcMar>
              <w:left w:w="115" w:type="dxa"/>
              <w:right w:w="115" w:type="dxa"/>
            </w:tcMar>
            <w:vAlign w:val="center"/>
          </w:tcPr>
          <w:p w14:paraId="1AE8F3D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287.783</w:t>
            </w:r>
          </w:p>
        </w:tc>
        <w:tc>
          <w:tcPr>
            <w:tcW w:w="2122" w:type="dxa"/>
            <w:shd w:val="clear" w:color="auto" w:fill="EAF1DD"/>
            <w:tcMar>
              <w:left w:w="115" w:type="dxa"/>
              <w:right w:w="115" w:type="dxa"/>
            </w:tcMar>
            <w:vAlign w:val="center"/>
          </w:tcPr>
          <w:p w14:paraId="75DF9243"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54.883.682</w:t>
            </w:r>
          </w:p>
        </w:tc>
        <w:tc>
          <w:tcPr>
            <w:tcW w:w="1636" w:type="dxa"/>
            <w:shd w:val="clear" w:color="auto" w:fill="EAF1DD"/>
            <w:tcMar>
              <w:left w:w="115" w:type="dxa"/>
              <w:right w:w="115" w:type="dxa"/>
            </w:tcMar>
            <w:vAlign w:val="center"/>
          </w:tcPr>
          <w:p w14:paraId="1CFB0AA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466.991</w:t>
            </w:r>
          </w:p>
        </w:tc>
        <w:tc>
          <w:tcPr>
            <w:tcW w:w="2122" w:type="dxa"/>
            <w:shd w:val="clear" w:color="auto" w:fill="EAF1DD"/>
            <w:tcMar>
              <w:left w:w="115" w:type="dxa"/>
              <w:right w:w="115" w:type="dxa"/>
            </w:tcMar>
            <w:vAlign w:val="center"/>
          </w:tcPr>
          <w:p w14:paraId="65D47B5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85.871.229</w:t>
            </w:r>
          </w:p>
        </w:tc>
      </w:tr>
      <w:tr w:rsidR="00BD461D" w:rsidRPr="009C52C4" w14:paraId="35C42774" w14:textId="77777777" w:rsidTr="00BD461D">
        <w:trPr>
          <w:trHeight w:val="113"/>
        </w:trPr>
        <w:tc>
          <w:tcPr>
            <w:tcW w:w="1668" w:type="dxa"/>
            <w:shd w:val="clear" w:color="auto" w:fill="EAF1DD"/>
            <w:tcMar>
              <w:left w:w="115" w:type="dxa"/>
              <w:right w:w="115" w:type="dxa"/>
            </w:tcMar>
            <w:vAlign w:val="center"/>
          </w:tcPr>
          <w:p w14:paraId="3C9F4971"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Javno</w:t>
            </w:r>
          </w:p>
        </w:tc>
        <w:tc>
          <w:tcPr>
            <w:tcW w:w="1636" w:type="dxa"/>
            <w:shd w:val="clear" w:color="auto" w:fill="EAF1DD"/>
            <w:tcMar>
              <w:left w:w="115" w:type="dxa"/>
              <w:right w:w="115" w:type="dxa"/>
            </w:tcMar>
            <w:vAlign w:val="center"/>
          </w:tcPr>
          <w:p w14:paraId="45D144A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2.907</w:t>
            </w:r>
          </w:p>
        </w:tc>
        <w:tc>
          <w:tcPr>
            <w:tcW w:w="2122" w:type="dxa"/>
            <w:shd w:val="clear" w:color="auto" w:fill="EAF1DD"/>
            <w:tcMar>
              <w:left w:w="115" w:type="dxa"/>
              <w:right w:w="115" w:type="dxa"/>
            </w:tcMar>
            <w:vAlign w:val="center"/>
          </w:tcPr>
          <w:p w14:paraId="08446569"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554.381</w:t>
            </w:r>
          </w:p>
        </w:tc>
        <w:tc>
          <w:tcPr>
            <w:tcW w:w="1636" w:type="dxa"/>
            <w:shd w:val="clear" w:color="auto" w:fill="EAF1DD"/>
            <w:tcMar>
              <w:left w:w="115" w:type="dxa"/>
              <w:right w:w="115" w:type="dxa"/>
            </w:tcMar>
            <w:vAlign w:val="center"/>
          </w:tcPr>
          <w:p w14:paraId="42F3285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4.717</w:t>
            </w:r>
          </w:p>
        </w:tc>
        <w:tc>
          <w:tcPr>
            <w:tcW w:w="2122" w:type="dxa"/>
            <w:shd w:val="clear" w:color="auto" w:fill="EAF1DD"/>
            <w:tcMar>
              <w:left w:w="115" w:type="dxa"/>
              <w:right w:w="115" w:type="dxa"/>
            </w:tcMar>
            <w:vAlign w:val="center"/>
          </w:tcPr>
          <w:p w14:paraId="055F581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867.386</w:t>
            </w:r>
          </w:p>
        </w:tc>
      </w:tr>
      <w:tr w:rsidR="00BD461D" w:rsidRPr="009C52C4" w14:paraId="121FE5AD" w14:textId="77777777" w:rsidTr="00BD461D">
        <w:trPr>
          <w:trHeight w:val="113"/>
        </w:trPr>
        <w:tc>
          <w:tcPr>
            <w:tcW w:w="1668" w:type="dxa"/>
            <w:shd w:val="clear" w:color="auto" w:fill="EAF1DD"/>
            <w:tcMar>
              <w:left w:w="115" w:type="dxa"/>
              <w:right w:w="115" w:type="dxa"/>
            </w:tcMar>
            <w:vAlign w:val="center"/>
          </w:tcPr>
          <w:p w14:paraId="412A5B97"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636" w:type="dxa"/>
            <w:shd w:val="clear" w:color="auto" w:fill="EAF1DD"/>
            <w:tcMar>
              <w:left w:w="115" w:type="dxa"/>
              <w:right w:w="115" w:type="dxa"/>
            </w:tcMar>
            <w:vAlign w:val="center"/>
          </w:tcPr>
          <w:p w14:paraId="1108908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290.689</w:t>
            </w:r>
          </w:p>
        </w:tc>
        <w:tc>
          <w:tcPr>
            <w:tcW w:w="2122" w:type="dxa"/>
            <w:shd w:val="clear" w:color="auto" w:fill="EAF1DD"/>
            <w:tcMar>
              <w:left w:w="115" w:type="dxa"/>
              <w:right w:w="115" w:type="dxa"/>
            </w:tcMar>
            <w:vAlign w:val="center"/>
          </w:tcPr>
          <w:p w14:paraId="109CD792"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55.438.063</w:t>
            </w:r>
          </w:p>
        </w:tc>
        <w:tc>
          <w:tcPr>
            <w:tcW w:w="1636" w:type="dxa"/>
            <w:shd w:val="clear" w:color="auto" w:fill="EAF1DD"/>
            <w:tcMar>
              <w:left w:w="115" w:type="dxa"/>
              <w:right w:w="115" w:type="dxa"/>
            </w:tcMar>
            <w:vAlign w:val="center"/>
          </w:tcPr>
          <w:p w14:paraId="6C06B7A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471.708</w:t>
            </w:r>
          </w:p>
        </w:tc>
        <w:tc>
          <w:tcPr>
            <w:tcW w:w="2122" w:type="dxa"/>
            <w:shd w:val="clear" w:color="auto" w:fill="EAF1DD"/>
            <w:tcMar>
              <w:left w:w="115" w:type="dxa"/>
              <w:right w:w="115" w:type="dxa"/>
            </w:tcMar>
            <w:vAlign w:val="center"/>
          </w:tcPr>
          <w:p w14:paraId="58C17E8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86.738.615</w:t>
            </w:r>
          </w:p>
        </w:tc>
      </w:tr>
    </w:tbl>
    <w:p w14:paraId="6CBACF26" w14:textId="1301E9E5" w:rsidR="00B122B4" w:rsidRPr="009C52C4" w:rsidRDefault="00825592">
      <w:pPr>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55A9D293" w14:textId="77777777" w:rsidR="000B57C1" w:rsidRPr="009C52C4" w:rsidRDefault="000B57C1">
      <w:pPr>
        <w:rPr>
          <w:rFonts w:ascii="Times New Roman" w:hAnsi="Times New Roman" w:cs="Times New Roman"/>
          <w:sz w:val="24"/>
          <w:szCs w:val="24"/>
        </w:rPr>
      </w:pPr>
    </w:p>
    <w:p w14:paraId="6F002F49" w14:textId="36F29319" w:rsidR="006730B1" w:rsidRPr="009C52C4" w:rsidRDefault="00825592" w:rsidP="006730B1">
      <w:pPr>
        <w:pStyle w:val="Caption"/>
        <w:rPr>
          <w:rFonts w:ascii="Times New Roman" w:hAnsi="Times New Roman" w:cs="Times New Roman"/>
          <w:sz w:val="24"/>
          <w:szCs w:val="24"/>
        </w:rPr>
      </w:pPr>
      <w:bookmarkStart w:id="38" w:name="h.2jxsxqh" w:colFirst="0" w:colLast="0"/>
      <w:bookmarkStart w:id="39" w:name="_Ref483403743"/>
      <w:bookmarkEnd w:id="38"/>
      <w:r w:rsidRPr="009C52C4">
        <w:rPr>
          <w:rFonts w:ascii="Times New Roman" w:hAnsi="Times New Roman" w:cs="Times New Roman"/>
          <w:sz w:val="24"/>
          <w:szCs w:val="24"/>
        </w:rPr>
        <w:t xml:space="preserve"> </w:t>
      </w:r>
      <w:bookmarkStart w:id="40" w:name="_Toc2681300"/>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7</w:t>
      </w:r>
      <w:r w:rsidR="00B6149D" w:rsidRPr="009C52C4">
        <w:rPr>
          <w:rFonts w:ascii="Times New Roman" w:hAnsi="Times New Roman" w:cs="Times New Roman"/>
          <w:noProof/>
          <w:sz w:val="24"/>
          <w:szCs w:val="24"/>
        </w:rPr>
        <w:fldChar w:fldCharType="end"/>
      </w:r>
      <w:bookmarkEnd w:id="39"/>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nestambenog fonda zgrada prema vlasništvu</w:t>
      </w:r>
      <w:bookmarkEnd w:id="40"/>
    </w:p>
    <w:tbl>
      <w:tblPr>
        <w:tblW w:w="919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42"/>
        <w:gridCol w:w="1508"/>
        <w:gridCol w:w="2216"/>
        <w:gridCol w:w="1508"/>
        <w:gridCol w:w="2216"/>
      </w:tblGrid>
      <w:tr w:rsidR="00BD461D" w:rsidRPr="009C52C4" w14:paraId="0D8DDC1D" w14:textId="77777777" w:rsidTr="00BD461D">
        <w:trPr>
          <w:trHeight w:val="20"/>
        </w:trPr>
        <w:tc>
          <w:tcPr>
            <w:tcW w:w="1742" w:type="dxa"/>
            <w:vMerge w:val="restart"/>
            <w:shd w:val="clear" w:color="auto" w:fill="C2D69B"/>
            <w:tcMar>
              <w:left w:w="115" w:type="dxa"/>
              <w:right w:w="115" w:type="dxa"/>
            </w:tcMar>
            <w:vAlign w:val="center"/>
          </w:tcPr>
          <w:p w14:paraId="7522F435" w14:textId="77777777" w:rsidR="00BD461D" w:rsidRPr="009C52C4" w:rsidRDefault="00BD461D" w:rsidP="00BD461D">
            <w:pPr>
              <w:jc w:val="left"/>
              <w:rPr>
                <w:rFonts w:ascii="Times New Roman" w:hAnsi="Times New Roman" w:cs="Times New Roman"/>
                <w:sz w:val="24"/>
                <w:szCs w:val="24"/>
              </w:rPr>
            </w:pPr>
            <w:r w:rsidRPr="009C52C4">
              <w:rPr>
                <w:rFonts w:ascii="Times New Roman" w:hAnsi="Times New Roman" w:cs="Times New Roman"/>
                <w:sz w:val="24"/>
                <w:szCs w:val="24"/>
              </w:rPr>
              <w:t>Vlasništvo</w:t>
            </w:r>
          </w:p>
        </w:tc>
        <w:tc>
          <w:tcPr>
            <w:tcW w:w="3724" w:type="dxa"/>
            <w:gridSpan w:val="2"/>
            <w:shd w:val="clear" w:color="auto" w:fill="C2D69B"/>
            <w:tcMar>
              <w:left w:w="115" w:type="dxa"/>
              <w:right w:w="115" w:type="dxa"/>
            </w:tcMar>
            <w:vAlign w:val="center"/>
          </w:tcPr>
          <w:p w14:paraId="58FF9CA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Zgrade komercijalne namjene</w:t>
            </w:r>
          </w:p>
        </w:tc>
        <w:tc>
          <w:tcPr>
            <w:tcW w:w="3724" w:type="dxa"/>
            <w:gridSpan w:val="2"/>
            <w:shd w:val="clear" w:color="auto" w:fill="C2D69B" w:themeFill="accent3" w:themeFillTint="99"/>
            <w:tcMar>
              <w:left w:w="115" w:type="dxa"/>
              <w:right w:w="115" w:type="dxa"/>
            </w:tcMar>
            <w:vAlign w:val="center"/>
          </w:tcPr>
          <w:p w14:paraId="61296ED5"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r>
      <w:tr w:rsidR="00BD461D" w:rsidRPr="009C52C4" w14:paraId="09BE9E49" w14:textId="77777777" w:rsidTr="00BD461D">
        <w:trPr>
          <w:trHeight w:val="20"/>
        </w:trPr>
        <w:tc>
          <w:tcPr>
            <w:tcW w:w="1742" w:type="dxa"/>
            <w:vMerge/>
            <w:shd w:val="clear" w:color="auto" w:fill="EAF1DD"/>
            <w:tcMar>
              <w:left w:w="115" w:type="dxa"/>
              <w:right w:w="115" w:type="dxa"/>
            </w:tcMar>
            <w:vAlign w:val="center"/>
          </w:tcPr>
          <w:p w14:paraId="16420C3F" w14:textId="77777777" w:rsidR="00BD461D" w:rsidRPr="009C52C4" w:rsidRDefault="00BD461D" w:rsidP="00BD461D">
            <w:pPr>
              <w:rPr>
                <w:rFonts w:ascii="Times New Roman" w:hAnsi="Times New Roman" w:cs="Times New Roman"/>
                <w:sz w:val="24"/>
                <w:szCs w:val="24"/>
              </w:rPr>
            </w:pPr>
          </w:p>
        </w:tc>
        <w:tc>
          <w:tcPr>
            <w:tcW w:w="1508" w:type="dxa"/>
            <w:shd w:val="clear" w:color="auto" w:fill="EAF1DD"/>
            <w:tcMar>
              <w:left w:w="115" w:type="dxa"/>
              <w:right w:w="115" w:type="dxa"/>
            </w:tcMar>
            <w:vAlign w:val="center"/>
          </w:tcPr>
          <w:p w14:paraId="7EDC79D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216" w:type="dxa"/>
            <w:shd w:val="clear" w:color="auto" w:fill="EAF1DD"/>
            <w:tcMar>
              <w:left w:w="115" w:type="dxa"/>
              <w:right w:w="115" w:type="dxa"/>
            </w:tcMar>
            <w:vAlign w:val="center"/>
          </w:tcPr>
          <w:p w14:paraId="6B3B2CB5" w14:textId="77777777" w:rsidR="00BD461D" w:rsidRPr="009C52C4" w:rsidRDefault="009C11B8"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 [</w:t>
            </w:r>
            <w:r w:rsidR="00BD461D" w:rsidRPr="009C52C4">
              <w:rPr>
                <w:rFonts w:ascii="Times New Roman" w:hAnsi="Times New Roman" w:cs="Times New Roman"/>
                <w:sz w:val="24"/>
                <w:szCs w:val="24"/>
              </w:rPr>
              <w:t>m</w:t>
            </w:r>
            <w:r w:rsidR="00BD461D"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tc>
        <w:tc>
          <w:tcPr>
            <w:tcW w:w="1508" w:type="dxa"/>
            <w:shd w:val="clear" w:color="auto" w:fill="EAF1DD"/>
            <w:tcMar>
              <w:left w:w="115" w:type="dxa"/>
              <w:right w:w="115" w:type="dxa"/>
            </w:tcMar>
            <w:vAlign w:val="center"/>
          </w:tcPr>
          <w:p w14:paraId="582F027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216" w:type="dxa"/>
            <w:shd w:val="clear" w:color="auto" w:fill="EAF1DD"/>
            <w:tcMar>
              <w:left w:w="115" w:type="dxa"/>
              <w:right w:w="115" w:type="dxa"/>
            </w:tcMar>
            <w:vAlign w:val="center"/>
          </w:tcPr>
          <w:p w14:paraId="1E7F03B9" w14:textId="77777777" w:rsidR="00BD461D" w:rsidRPr="009C52C4" w:rsidRDefault="009C11B8" w:rsidP="00BD461D">
            <w:pPr>
              <w:jc w:val="center"/>
              <w:rPr>
                <w:rFonts w:ascii="Times New Roman" w:hAnsi="Times New Roman" w:cs="Times New Roman"/>
                <w:sz w:val="24"/>
                <w:szCs w:val="24"/>
              </w:rPr>
            </w:pPr>
            <w:r w:rsidRPr="009C52C4">
              <w:rPr>
                <w:rFonts w:ascii="Times New Roman" w:hAnsi="Times New Roman" w:cs="Times New Roman"/>
                <w:sz w:val="24"/>
                <w:szCs w:val="24"/>
              </w:rPr>
              <w:t>Površina [</w:t>
            </w:r>
            <w:r w:rsidR="00BD461D" w:rsidRPr="009C52C4">
              <w:rPr>
                <w:rFonts w:ascii="Times New Roman" w:hAnsi="Times New Roman" w:cs="Times New Roman"/>
                <w:sz w:val="24"/>
                <w:szCs w:val="24"/>
              </w:rPr>
              <w:t>m</w:t>
            </w:r>
            <w:r w:rsidR="00BD461D"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w:t>
            </w:r>
          </w:p>
        </w:tc>
      </w:tr>
      <w:tr w:rsidR="00BD461D" w:rsidRPr="009C52C4" w14:paraId="761D8B2A" w14:textId="77777777" w:rsidTr="00BD461D">
        <w:trPr>
          <w:trHeight w:val="20"/>
        </w:trPr>
        <w:tc>
          <w:tcPr>
            <w:tcW w:w="1742" w:type="dxa"/>
            <w:shd w:val="clear" w:color="auto" w:fill="EAF1DD"/>
            <w:tcMar>
              <w:left w:w="115" w:type="dxa"/>
              <w:right w:w="115" w:type="dxa"/>
            </w:tcMar>
            <w:vAlign w:val="center"/>
          </w:tcPr>
          <w:p w14:paraId="70CB1455"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Privatno</w:t>
            </w:r>
          </w:p>
        </w:tc>
        <w:tc>
          <w:tcPr>
            <w:tcW w:w="1508" w:type="dxa"/>
            <w:shd w:val="clear" w:color="auto" w:fill="EAF1DD"/>
            <w:tcMar>
              <w:left w:w="115" w:type="dxa"/>
              <w:right w:w="115" w:type="dxa"/>
            </w:tcMar>
            <w:vAlign w:val="center"/>
          </w:tcPr>
          <w:p w14:paraId="39D7FB7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44.728</w:t>
            </w:r>
          </w:p>
        </w:tc>
        <w:tc>
          <w:tcPr>
            <w:tcW w:w="2216" w:type="dxa"/>
            <w:shd w:val="clear" w:color="auto" w:fill="EAF1DD"/>
            <w:tcMar>
              <w:left w:w="115" w:type="dxa"/>
              <w:right w:w="115" w:type="dxa"/>
            </w:tcMar>
            <w:vAlign w:val="center"/>
          </w:tcPr>
          <w:p w14:paraId="2DD6BE0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36.540.459</w:t>
            </w:r>
          </w:p>
        </w:tc>
        <w:tc>
          <w:tcPr>
            <w:tcW w:w="1508" w:type="dxa"/>
            <w:shd w:val="clear" w:color="auto" w:fill="EAF1DD"/>
            <w:tcMar>
              <w:left w:w="115" w:type="dxa"/>
              <w:right w:w="115" w:type="dxa"/>
            </w:tcMar>
            <w:vAlign w:val="center"/>
          </w:tcPr>
          <w:p w14:paraId="2243E191"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0</w:t>
            </w:r>
          </w:p>
        </w:tc>
        <w:tc>
          <w:tcPr>
            <w:tcW w:w="2216" w:type="dxa"/>
            <w:shd w:val="clear" w:color="auto" w:fill="EAF1DD"/>
            <w:tcMar>
              <w:left w:w="115" w:type="dxa"/>
              <w:right w:w="115" w:type="dxa"/>
            </w:tcMar>
            <w:vAlign w:val="center"/>
          </w:tcPr>
          <w:p w14:paraId="213129C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0</w:t>
            </w:r>
          </w:p>
        </w:tc>
      </w:tr>
      <w:tr w:rsidR="00BD461D" w:rsidRPr="009C52C4" w14:paraId="51506F5C" w14:textId="77777777" w:rsidTr="00BD461D">
        <w:trPr>
          <w:trHeight w:val="20"/>
        </w:trPr>
        <w:tc>
          <w:tcPr>
            <w:tcW w:w="1742" w:type="dxa"/>
            <w:shd w:val="clear" w:color="auto" w:fill="EAF1DD"/>
            <w:tcMar>
              <w:left w:w="115" w:type="dxa"/>
              <w:right w:w="115" w:type="dxa"/>
            </w:tcMar>
            <w:vAlign w:val="center"/>
          </w:tcPr>
          <w:p w14:paraId="6670C776"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Javno</w:t>
            </w:r>
          </w:p>
        </w:tc>
        <w:tc>
          <w:tcPr>
            <w:tcW w:w="1508" w:type="dxa"/>
            <w:shd w:val="clear" w:color="auto" w:fill="EAF1DD"/>
            <w:tcMar>
              <w:left w:w="115" w:type="dxa"/>
              <w:right w:w="115" w:type="dxa"/>
            </w:tcMar>
            <w:vAlign w:val="center"/>
          </w:tcPr>
          <w:p w14:paraId="0FA0E7C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0</w:t>
            </w:r>
          </w:p>
        </w:tc>
        <w:tc>
          <w:tcPr>
            <w:tcW w:w="2216" w:type="dxa"/>
            <w:shd w:val="clear" w:color="auto" w:fill="EAF1DD"/>
            <w:tcMar>
              <w:left w:w="115" w:type="dxa"/>
              <w:right w:w="115" w:type="dxa"/>
            </w:tcMar>
            <w:vAlign w:val="center"/>
          </w:tcPr>
          <w:p w14:paraId="2AE8F5C5"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0</w:t>
            </w:r>
          </w:p>
        </w:tc>
        <w:tc>
          <w:tcPr>
            <w:tcW w:w="1508" w:type="dxa"/>
            <w:shd w:val="clear" w:color="auto" w:fill="EAF1DD"/>
            <w:tcMar>
              <w:left w:w="115" w:type="dxa"/>
              <w:right w:w="115" w:type="dxa"/>
            </w:tcMar>
            <w:vAlign w:val="center"/>
          </w:tcPr>
          <w:p w14:paraId="462941A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80.196</w:t>
            </w:r>
          </w:p>
        </w:tc>
        <w:tc>
          <w:tcPr>
            <w:tcW w:w="2216" w:type="dxa"/>
            <w:shd w:val="clear" w:color="auto" w:fill="EAF1DD"/>
            <w:tcMar>
              <w:left w:w="115" w:type="dxa"/>
              <w:right w:w="115" w:type="dxa"/>
            </w:tcMar>
            <w:vAlign w:val="center"/>
          </w:tcPr>
          <w:p w14:paraId="37C9BC7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13.801.902</w:t>
            </w:r>
          </w:p>
        </w:tc>
      </w:tr>
      <w:tr w:rsidR="00BD461D" w:rsidRPr="009C52C4" w14:paraId="0EC81CE0" w14:textId="77777777" w:rsidTr="00BD461D">
        <w:trPr>
          <w:trHeight w:val="20"/>
        </w:trPr>
        <w:tc>
          <w:tcPr>
            <w:tcW w:w="1742" w:type="dxa"/>
            <w:shd w:val="clear" w:color="auto" w:fill="EAF1DD"/>
            <w:tcMar>
              <w:left w:w="115" w:type="dxa"/>
              <w:right w:w="115" w:type="dxa"/>
            </w:tcMar>
            <w:vAlign w:val="center"/>
          </w:tcPr>
          <w:p w14:paraId="15CCEA8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508" w:type="dxa"/>
            <w:shd w:val="clear" w:color="auto" w:fill="EAF1DD"/>
            <w:tcMar>
              <w:left w:w="115" w:type="dxa"/>
              <w:right w:w="115" w:type="dxa"/>
            </w:tcMar>
            <w:vAlign w:val="center"/>
          </w:tcPr>
          <w:p w14:paraId="714CEE5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44.728</w:t>
            </w:r>
          </w:p>
        </w:tc>
        <w:tc>
          <w:tcPr>
            <w:tcW w:w="2216" w:type="dxa"/>
            <w:shd w:val="clear" w:color="auto" w:fill="EAF1DD"/>
            <w:tcMar>
              <w:left w:w="115" w:type="dxa"/>
              <w:right w:w="115" w:type="dxa"/>
            </w:tcMar>
            <w:vAlign w:val="center"/>
          </w:tcPr>
          <w:p w14:paraId="2F5F6DA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36.540.459</w:t>
            </w:r>
          </w:p>
        </w:tc>
        <w:tc>
          <w:tcPr>
            <w:tcW w:w="1508" w:type="dxa"/>
            <w:shd w:val="clear" w:color="auto" w:fill="EAF1DD"/>
            <w:tcMar>
              <w:left w:w="115" w:type="dxa"/>
              <w:right w:w="115" w:type="dxa"/>
            </w:tcMar>
            <w:vAlign w:val="center"/>
          </w:tcPr>
          <w:p w14:paraId="7AFE3312"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80.196</w:t>
            </w:r>
          </w:p>
        </w:tc>
        <w:tc>
          <w:tcPr>
            <w:tcW w:w="2216" w:type="dxa"/>
            <w:shd w:val="clear" w:color="auto" w:fill="EAF1DD"/>
            <w:tcMar>
              <w:left w:w="115" w:type="dxa"/>
              <w:right w:w="115" w:type="dxa"/>
            </w:tcMar>
            <w:vAlign w:val="center"/>
          </w:tcPr>
          <w:p w14:paraId="04FA3B7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13.801.902</w:t>
            </w:r>
          </w:p>
        </w:tc>
      </w:tr>
    </w:tbl>
    <w:p w14:paraId="2E086C48" w14:textId="4311BCD9" w:rsidR="00B122B4" w:rsidRPr="009C52C4" w:rsidRDefault="007C2814">
      <w:pPr>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142ED4C2" w14:textId="77777777" w:rsidR="000B57C1" w:rsidRPr="009C52C4" w:rsidRDefault="000B57C1">
      <w:pPr>
        <w:rPr>
          <w:rFonts w:ascii="Times New Roman" w:hAnsi="Times New Roman" w:cs="Times New Roman"/>
          <w:sz w:val="24"/>
          <w:szCs w:val="24"/>
        </w:rPr>
      </w:pPr>
    </w:p>
    <w:p w14:paraId="63A4DEB5"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Pregled nacionalnog fonda zgrada Republike Hrvatske prema vlasništvu pokazuje da je 799.502 zgrada ukupne površine 177.295.370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privatnom a 87.820 zgrada ukupne površine 15.223.669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javnom vlasništvu.</w:t>
      </w:r>
    </w:p>
    <w:p w14:paraId="4700A37D" w14:textId="77777777" w:rsidR="006730B1" w:rsidRPr="009C52C4" w:rsidRDefault="006730B1" w:rsidP="006730B1">
      <w:pPr>
        <w:rPr>
          <w:rFonts w:ascii="Times New Roman" w:hAnsi="Times New Roman" w:cs="Times New Roman"/>
          <w:sz w:val="24"/>
          <w:szCs w:val="24"/>
        </w:rPr>
      </w:pPr>
      <w:r w:rsidRPr="009C52C4">
        <w:rPr>
          <w:rFonts w:ascii="Times New Roman" w:hAnsi="Times New Roman" w:cs="Times New Roman"/>
          <w:sz w:val="24"/>
          <w:szCs w:val="24"/>
        </w:rPr>
        <w:br w:type="page"/>
      </w:r>
    </w:p>
    <w:p w14:paraId="7E8CD52A"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41" w:name="h.3j2qqm3" w:colFirst="0" w:colLast="0"/>
      <w:bookmarkStart w:id="42" w:name="_Toc3277901"/>
      <w:bookmarkEnd w:id="41"/>
      <w:r w:rsidRPr="009C52C4">
        <w:rPr>
          <w:rFonts w:ascii="Times New Roman" w:hAnsi="Times New Roman" w:cs="Times New Roman"/>
          <w:sz w:val="24"/>
          <w:szCs w:val="24"/>
        </w:rPr>
        <w:lastRenderedPageBreak/>
        <w:t>Pregled nacionalnog fonda zgrada prema području (urbano/ruralno)</w:t>
      </w:r>
      <w:bookmarkEnd w:id="42"/>
    </w:p>
    <w:p w14:paraId="7BDA9587" w14:textId="77777777" w:rsidR="00B122B4" w:rsidRPr="009C52C4" w:rsidRDefault="00B122B4">
      <w:pPr>
        <w:rPr>
          <w:rFonts w:ascii="Times New Roman" w:hAnsi="Times New Roman" w:cs="Times New Roman"/>
          <w:sz w:val="24"/>
          <w:szCs w:val="24"/>
        </w:rPr>
      </w:pPr>
    </w:p>
    <w:p w14:paraId="0BA76431" w14:textId="155A701D"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Raspodjela nacionalnog fonda zgrada prema području (urbano/ruralno) provedena je prema Modelu diferencijacije urbanih, ruralnih i prijelaznih naselja u Republici Hrvatskoj</w:t>
      </w:r>
      <w:r w:rsidRPr="009C52C4">
        <w:rPr>
          <w:rFonts w:ascii="Times New Roman" w:hAnsi="Times New Roman" w:cs="Times New Roman"/>
          <w:sz w:val="24"/>
          <w:szCs w:val="24"/>
          <w:vertAlign w:val="superscript"/>
        </w:rPr>
        <w:footnoteReference w:id="25"/>
      </w:r>
      <w:r w:rsidRPr="009C52C4">
        <w:rPr>
          <w:rFonts w:ascii="Times New Roman" w:hAnsi="Times New Roman" w:cs="Times New Roman"/>
          <w:sz w:val="24"/>
          <w:szCs w:val="24"/>
        </w:rPr>
        <w:t>, koje urbano područje definiraju kao jedinicu lokalne samouprave u kojoj je sjedište županije te svako mjesto koje ima više od 10</w:t>
      </w:r>
      <w:r w:rsidR="003E2084" w:rsidRPr="009C52C4">
        <w:rPr>
          <w:rFonts w:ascii="Times New Roman" w:hAnsi="Times New Roman" w:cs="Times New Roman"/>
          <w:sz w:val="24"/>
          <w:szCs w:val="24"/>
        </w:rPr>
        <w:t>.</w:t>
      </w:r>
      <w:r w:rsidRPr="009C52C4">
        <w:rPr>
          <w:rFonts w:ascii="Times New Roman" w:hAnsi="Times New Roman" w:cs="Times New Roman"/>
          <w:sz w:val="24"/>
          <w:szCs w:val="24"/>
        </w:rPr>
        <w:t>000 stanovnika a predstavlja urbanu, povijesnu, prirodnu, gospodarsku i društvenu cjelinu.</w:t>
      </w:r>
    </w:p>
    <w:p w14:paraId="2FBB60ED" w14:textId="33078924" w:rsidR="00BD461D" w:rsidRPr="009C52C4" w:rsidRDefault="00F77044" w:rsidP="00BD461D">
      <w:pPr>
        <w:rPr>
          <w:rFonts w:ascii="Times New Roman" w:hAnsi="Times New Roman" w:cs="Times New Roman"/>
          <w:sz w:val="24"/>
          <w:szCs w:val="24"/>
        </w:rPr>
      </w:pPr>
      <w:r w:rsidRPr="009C52C4">
        <w:rPr>
          <w:rFonts w:ascii="Times New Roman" w:hAnsi="Times New Roman" w:cs="Times New Roman"/>
          <w:sz w:val="24"/>
          <w:szCs w:val="24"/>
        </w:rPr>
        <w:t xml:space="preserve">Tablicama u nastavku </w:t>
      </w:r>
      <w:r w:rsidR="00BD461D" w:rsidRPr="009C52C4">
        <w:rPr>
          <w:rFonts w:ascii="Times New Roman" w:hAnsi="Times New Roman" w:cs="Times New Roman"/>
          <w:sz w:val="24"/>
          <w:szCs w:val="24"/>
        </w:rPr>
        <w:t xml:space="preserve">dana </w:t>
      </w:r>
      <w:r w:rsidRPr="009C52C4">
        <w:rPr>
          <w:rFonts w:ascii="Times New Roman" w:hAnsi="Times New Roman" w:cs="Times New Roman"/>
          <w:sz w:val="24"/>
          <w:szCs w:val="24"/>
        </w:rPr>
        <w:t xml:space="preserve">je </w:t>
      </w:r>
      <w:r w:rsidR="00BD461D" w:rsidRPr="009C52C4">
        <w:rPr>
          <w:rFonts w:ascii="Times New Roman" w:hAnsi="Times New Roman" w:cs="Times New Roman"/>
          <w:sz w:val="24"/>
          <w:szCs w:val="24"/>
        </w:rPr>
        <w:t>procjena nacionalnog stambenog i nestambenog fonda zgrada prema području gradnje</w:t>
      </w:r>
      <w:r w:rsidRPr="009C52C4">
        <w:rPr>
          <w:rFonts w:ascii="Times New Roman" w:hAnsi="Times New Roman" w:cs="Times New Roman"/>
          <w:sz w:val="24"/>
          <w:szCs w:val="24"/>
        </w:rPr>
        <w:t xml:space="preserve">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_Ref483403810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8</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i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_Ref483403816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9</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r w:rsidR="00BD461D" w:rsidRPr="009C52C4">
        <w:rPr>
          <w:rFonts w:ascii="Times New Roman" w:hAnsi="Times New Roman" w:cs="Times New Roman"/>
          <w:sz w:val="24"/>
          <w:szCs w:val="24"/>
        </w:rPr>
        <w:t>.</w:t>
      </w:r>
    </w:p>
    <w:p w14:paraId="4282359F" w14:textId="77777777" w:rsidR="00B122B4" w:rsidRPr="009C52C4" w:rsidRDefault="00B122B4">
      <w:pPr>
        <w:ind w:right="708"/>
        <w:rPr>
          <w:rFonts w:ascii="Times New Roman" w:hAnsi="Times New Roman" w:cs="Times New Roman"/>
          <w:sz w:val="24"/>
          <w:szCs w:val="24"/>
        </w:rPr>
      </w:pPr>
    </w:p>
    <w:p w14:paraId="184FE038" w14:textId="6F45452E" w:rsidR="006730B1" w:rsidRPr="009C52C4" w:rsidRDefault="007C2814" w:rsidP="006730B1">
      <w:pPr>
        <w:pStyle w:val="Caption"/>
        <w:rPr>
          <w:rFonts w:ascii="Times New Roman" w:hAnsi="Times New Roman" w:cs="Times New Roman"/>
          <w:sz w:val="24"/>
          <w:szCs w:val="24"/>
        </w:rPr>
      </w:pPr>
      <w:bookmarkStart w:id="43" w:name="h.1y810tw" w:colFirst="0" w:colLast="0"/>
      <w:bookmarkStart w:id="44" w:name="_Ref483403810"/>
      <w:bookmarkEnd w:id="43"/>
      <w:r w:rsidRPr="009C52C4">
        <w:rPr>
          <w:rFonts w:ascii="Times New Roman" w:hAnsi="Times New Roman" w:cs="Times New Roman"/>
          <w:sz w:val="24"/>
          <w:szCs w:val="24"/>
        </w:rPr>
        <w:t xml:space="preserve"> </w:t>
      </w:r>
      <w:bookmarkStart w:id="45" w:name="_Toc2681301"/>
      <w:r w:rsidR="006130B9" w:rsidRPr="009C52C4">
        <w:rPr>
          <w:rFonts w:ascii="Times New Roman" w:hAnsi="Times New Roman" w:cs="Times New Roman"/>
          <w:sz w:val="24"/>
          <w:szCs w:val="24"/>
        </w:rPr>
        <w:t xml:space="preserve"> </w:t>
      </w:r>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8</w:t>
      </w:r>
      <w:r w:rsidR="00B6149D" w:rsidRPr="009C52C4">
        <w:rPr>
          <w:rFonts w:ascii="Times New Roman" w:hAnsi="Times New Roman" w:cs="Times New Roman"/>
          <w:noProof/>
          <w:sz w:val="24"/>
          <w:szCs w:val="24"/>
        </w:rPr>
        <w:fldChar w:fldCharType="end"/>
      </w:r>
      <w:bookmarkEnd w:id="44"/>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stambenog fonda zgrada prema području</w:t>
      </w:r>
      <w:bookmarkEnd w:id="45"/>
    </w:p>
    <w:tbl>
      <w:tblPr>
        <w:tblW w:w="9194"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18"/>
        <w:gridCol w:w="1774"/>
        <w:gridCol w:w="2195"/>
        <w:gridCol w:w="1701"/>
        <w:gridCol w:w="1806"/>
      </w:tblGrid>
      <w:tr w:rsidR="00BD461D" w:rsidRPr="009C52C4" w14:paraId="3A348994" w14:textId="77777777" w:rsidTr="00DE4140">
        <w:trPr>
          <w:trHeight w:val="170"/>
        </w:trPr>
        <w:tc>
          <w:tcPr>
            <w:tcW w:w="1718" w:type="dxa"/>
            <w:vMerge w:val="restart"/>
            <w:shd w:val="clear" w:color="auto" w:fill="C2D69B"/>
            <w:tcMar>
              <w:left w:w="115" w:type="dxa"/>
              <w:right w:w="115" w:type="dxa"/>
            </w:tcMar>
            <w:vAlign w:val="center"/>
          </w:tcPr>
          <w:p w14:paraId="4B597473"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Područje</w:t>
            </w:r>
          </w:p>
        </w:tc>
        <w:tc>
          <w:tcPr>
            <w:tcW w:w="3969" w:type="dxa"/>
            <w:gridSpan w:val="2"/>
            <w:shd w:val="clear" w:color="auto" w:fill="C2D69B"/>
            <w:tcMar>
              <w:left w:w="115" w:type="dxa"/>
              <w:right w:w="115" w:type="dxa"/>
            </w:tcMar>
            <w:vAlign w:val="center"/>
          </w:tcPr>
          <w:p w14:paraId="41D52AC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Višestambene zgrade</w:t>
            </w:r>
          </w:p>
        </w:tc>
        <w:tc>
          <w:tcPr>
            <w:tcW w:w="3507" w:type="dxa"/>
            <w:gridSpan w:val="2"/>
            <w:shd w:val="clear" w:color="auto" w:fill="C2D69B" w:themeFill="accent3" w:themeFillTint="99"/>
            <w:tcMar>
              <w:left w:w="115" w:type="dxa"/>
              <w:right w:w="115" w:type="dxa"/>
            </w:tcMar>
          </w:tcPr>
          <w:p w14:paraId="29D70DAE"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r>
      <w:tr w:rsidR="00BD461D" w:rsidRPr="009C52C4" w14:paraId="0FD594F9" w14:textId="77777777" w:rsidTr="00DE4140">
        <w:trPr>
          <w:trHeight w:val="170"/>
        </w:trPr>
        <w:tc>
          <w:tcPr>
            <w:tcW w:w="1718" w:type="dxa"/>
            <w:vMerge/>
            <w:shd w:val="clear" w:color="auto" w:fill="EAF1DD"/>
            <w:tcMar>
              <w:left w:w="115" w:type="dxa"/>
              <w:right w:w="115" w:type="dxa"/>
            </w:tcMar>
            <w:vAlign w:val="center"/>
          </w:tcPr>
          <w:p w14:paraId="0C8EC38B" w14:textId="77777777" w:rsidR="00BD461D" w:rsidRPr="009C52C4" w:rsidRDefault="00BD461D" w:rsidP="00BD461D">
            <w:pPr>
              <w:rPr>
                <w:rFonts w:ascii="Times New Roman" w:hAnsi="Times New Roman" w:cs="Times New Roman"/>
                <w:sz w:val="24"/>
                <w:szCs w:val="24"/>
              </w:rPr>
            </w:pPr>
          </w:p>
        </w:tc>
        <w:tc>
          <w:tcPr>
            <w:tcW w:w="1774" w:type="dxa"/>
            <w:shd w:val="clear" w:color="auto" w:fill="EAF1DD"/>
            <w:tcMar>
              <w:left w:w="115" w:type="dxa"/>
              <w:right w:w="115" w:type="dxa"/>
            </w:tcMar>
            <w:vAlign w:val="center"/>
          </w:tcPr>
          <w:p w14:paraId="5BF057A1"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195" w:type="dxa"/>
            <w:shd w:val="clear" w:color="auto" w:fill="EAF1DD"/>
            <w:tcMar>
              <w:left w:w="115" w:type="dxa"/>
              <w:right w:w="115" w:type="dxa"/>
            </w:tcMar>
            <w:vAlign w:val="center"/>
          </w:tcPr>
          <w:p w14:paraId="2E5E94CE"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Površ</w:t>
            </w:r>
            <w:r w:rsidR="009C11B8" w:rsidRPr="009C52C4">
              <w:rPr>
                <w:rFonts w:ascii="Times New Roman" w:hAnsi="Times New Roman" w:cs="Times New Roman"/>
                <w:sz w:val="24"/>
                <w:szCs w:val="24"/>
              </w:rPr>
              <w:t>ina [</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701" w:type="dxa"/>
            <w:shd w:val="clear" w:color="auto" w:fill="EAF1DD"/>
            <w:tcMar>
              <w:left w:w="115" w:type="dxa"/>
              <w:right w:w="115" w:type="dxa"/>
            </w:tcMar>
            <w:vAlign w:val="center"/>
          </w:tcPr>
          <w:p w14:paraId="7D7F6A1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806" w:type="dxa"/>
            <w:shd w:val="clear" w:color="auto" w:fill="EAF1DD"/>
            <w:tcMar>
              <w:left w:w="115" w:type="dxa"/>
              <w:right w:w="115" w:type="dxa"/>
            </w:tcMar>
            <w:vAlign w:val="center"/>
          </w:tcPr>
          <w:p w14:paraId="1C15EA98"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BD461D" w:rsidRPr="009C52C4" w14:paraId="13BA07D3" w14:textId="77777777" w:rsidTr="00DE4140">
        <w:trPr>
          <w:trHeight w:val="170"/>
        </w:trPr>
        <w:tc>
          <w:tcPr>
            <w:tcW w:w="1718" w:type="dxa"/>
            <w:shd w:val="clear" w:color="auto" w:fill="EAF1DD"/>
            <w:tcMar>
              <w:left w:w="115" w:type="dxa"/>
              <w:right w:w="115" w:type="dxa"/>
            </w:tcMar>
            <w:vAlign w:val="center"/>
          </w:tcPr>
          <w:p w14:paraId="0FC0E07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Urbano</w:t>
            </w:r>
          </w:p>
        </w:tc>
        <w:tc>
          <w:tcPr>
            <w:tcW w:w="1774" w:type="dxa"/>
            <w:shd w:val="clear" w:color="auto" w:fill="EAF1DD"/>
            <w:tcMar>
              <w:left w:w="115" w:type="dxa"/>
              <w:right w:w="115" w:type="dxa"/>
            </w:tcMar>
            <w:vAlign w:val="center"/>
          </w:tcPr>
          <w:p w14:paraId="756EE33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162.454</w:t>
            </w:r>
          </w:p>
        </w:tc>
        <w:tc>
          <w:tcPr>
            <w:tcW w:w="2195" w:type="dxa"/>
            <w:shd w:val="clear" w:color="auto" w:fill="EAF1DD"/>
            <w:tcMar>
              <w:left w:w="115" w:type="dxa"/>
              <w:right w:w="115" w:type="dxa"/>
            </w:tcMar>
            <w:vAlign w:val="center"/>
          </w:tcPr>
          <w:p w14:paraId="3A0F3CC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28.237.990</w:t>
            </w:r>
          </w:p>
        </w:tc>
        <w:tc>
          <w:tcPr>
            <w:tcW w:w="1701" w:type="dxa"/>
            <w:shd w:val="clear" w:color="auto" w:fill="EAF1DD"/>
            <w:tcMar>
              <w:left w:w="115" w:type="dxa"/>
              <w:right w:w="115" w:type="dxa"/>
            </w:tcMar>
            <w:vAlign w:val="center"/>
          </w:tcPr>
          <w:p w14:paraId="759B4D92"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263.617</w:t>
            </w:r>
          </w:p>
        </w:tc>
        <w:tc>
          <w:tcPr>
            <w:tcW w:w="1806" w:type="dxa"/>
            <w:shd w:val="clear" w:color="auto" w:fill="EAF1DD"/>
            <w:tcMar>
              <w:left w:w="115" w:type="dxa"/>
              <w:right w:w="115" w:type="dxa"/>
            </w:tcMar>
            <w:vAlign w:val="center"/>
          </w:tcPr>
          <w:p w14:paraId="61FBCB7B"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44.181.273</w:t>
            </w:r>
          </w:p>
        </w:tc>
      </w:tr>
      <w:tr w:rsidR="00BD461D" w:rsidRPr="009C52C4" w14:paraId="5C0BA519" w14:textId="77777777" w:rsidTr="00DE4140">
        <w:trPr>
          <w:trHeight w:val="170"/>
        </w:trPr>
        <w:tc>
          <w:tcPr>
            <w:tcW w:w="1718" w:type="dxa"/>
            <w:shd w:val="clear" w:color="auto" w:fill="EAF1DD"/>
            <w:tcMar>
              <w:left w:w="115" w:type="dxa"/>
              <w:right w:w="115" w:type="dxa"/>
            </w:tcMar>
            <w:vAlign w:val="center"/>
          </w:tcPr>
          <w:p w14:paraId="62CAF0D5"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Ruralno</w:t>
            </w:r>
          </w:p>
        </w:tc>
        <w:tc>
          <w:tcPr>
            <w:tcW w:w="1774" w:type="dxa"/>
            <w:shd w:val="clear" w:color="auto" w:fill="EAF1DD"/>
            <w:tcMar>
              <w:left w:w="115" w:type="dxa"/>
              <w:right w:w="115" w:type="dxa"/>
            </w:tcMar>
            <w:vAlign w:val="center"/>
          </w:tcPr>
          <w:p w14:paraId="1E860AA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128.236</w:t>
            </w:r>
          </w:p>
        </w:tc>
        <w:tc>
          <w:tcPr>
            <w:tcW w:w="2195" w:type="dxa"/>
            <w:shd w:val="clear" w:color="auto" w:fill="EAF1DD"/>
            <w:tcMar>
              <w:left w:w="115" w:type="dxa"/>
              <w:right w:w="115" w:type="dxa"/>
            </w:tcMar>
            <w:vAlign w:val="center"/>
          </w:tcPr>
          <w:p w14:paraId="17535208"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27.200.072</w:t>
            </w:r>
          </w:p>
        </w:tc>
        <w:tc>
          <w:tcPr>
            <w:tcW w:w="1701" w:type="dxa"/>
            <w:shd w:val="clear" w:color="auto" w:fill="EAF1DD"/>
            <w:tcMar>
              <w:left w:w="115" w:type="dxa"/>
              <w:right w:w="115" w:type="dxa"/>
            </w:tcMar>
            <w:vAlign w:val="center"/>
          </w:tcPr>
          <w:p w14:paraId="727EBA92"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208.091</w:t>
            </w:r>
          </w:p>
        </w:tc>
        <w:tc>
          <w:tcPr>
            <w:tcW w:w="1806" w:type="dxa"/>
            <w:shd w:val="clear" w:color="auto" w:fill="EAF1DD"/>
            <w:tcMar>
              <w:left w:w="115" w:type="dxa"/>
              <w:right w:w="115" w:type="dxa"/>
            </w:tcMar>
            <w:vAlign w:val="center"/>
          </w:tcPr>
          <w:p w14:paraId="02C85FB0"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42.557.342</w:t>
            </w:r>
          </w:p>
        </w:tc>
      </w:tr>
      <w:tr w:rsidR="00BD461D" w:rsidRPr="009C52C4" w14:paraId="5F023D27" w14:textId="77777777" w:rsidTr="00DE4140">
        <w:trPr>
          <w:trHeight w:val="170"/>
        </w:trPr>
        <w:tc>
          <w:tcPr>
            <w:tcW w:w="1718" w:type="dxa"/>
            <w:shd w:val="clear" w:color="auto" w:fill="EAF1DD"/>
            <w:tcMar>
              <w:left w:w="115" w:type="dxa"/>
              <w:right w:w="115" w:type="dxa"/>
            </w:tcMar>
            <w:vAlign w:val="center"/>
          </w:tcPr>
          <w:p w14:paraId="45C998D6"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774" w:type="dxa"/>
            <w:shd w:val="clear" w:color="auto" w:fill="EAF1DD"/>
            <w:tcMar>
              <w:left w:w="115" w:type="dxa"/>
              <w:right w:w="115" w:type="dxa"/>
            </w:tcMar>
            <w:vAlign w:val="center"/>
          </w:tcPr>
          <w:p w14:paraId="61F911AC" w14:textId="0A77CF1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290.6</w:t>
            </w:r>
            <w:r w:rsidR="003E2084" w:rsidRPr="009C52C4">
              <w:rPr>
                <w:rFonts w:ascii="Times New Roman" w:hAnsi="Times New Roman" w:cs="Times New Roman"/>
                <w:sz w:val="24"/>
                <w:szCs w:val="24"/>
              </w:rPr>
              <w:t>90</w:t>
            </w:r>
          </w:p>
        </w:tc>
        <w:tc>
          <w:tcPr>
            <w:tcW w:w="2195" w:type="dxa"/>
            <w:shd w:val="clear" w:color="auto" w:fill="EAF1DD"/>
            <w:tcMar>
              <w:left w:w="115" w:type="dxa"/>
              <w:right w:w="115" w:type="dxa"/>
            </w:tcMar>
            <w:vAlign w:val="center"/>
          </w:tcPr>
          <w:p w14:paraId="2B27DBB6" w14:textId="74BFBA4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55.438.06</w:t>
            </w:r>
            <w:r w:rsidR="003E2084" w:rsidRPr="009C52C4">
              <w:rPr>
                <w:rFonts w:ascii="Times New Roman" w:hAnsi="Times New Roman" w:cs="Times New Roman"/>
                <w:sz w:val="24"/>
                <w:szCs w:val="24"/>
              </w:rPr>
              <w:t>2</w:t>
            </w:r>
          </w:p>
        </w:tc>
        <w:tc>
          <w:tcPr>
            <w:tcW w:w="1701" w:type="dxa"/>
            <w:shd w:val="clear" w:color="auto" w:fill="EAF1DD"/>
            <w:tcMar>
              <w:left w:w="115" w:type="dxa"/>
              <w:right w:w="115" w:type="dxa"/>
            </w:tcMar>
            <w:vAlign w:val="center"/>
          </w:tcPr>
          <w:p w14:paraId="3324A1F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471.708</w:t>
            </w:r>
          </w:p>
        </w:tc>
        <w:tc>
          <w:tcPr>
            <w:tcW w:w="1806" w:type="dxa"/>
            <w:shd w:val="clear" w:color="auto" w:fill="EAF1DD"/>
            <w:tcMar>
              <w:left w:w="115" w:type="dxa"/>
              <w:right w:w="115" w:type="dxa"/>
            </w:tcMar>
            <w:vAlign w:val="center"/>
          </w:tcPr>
          <w:p w14:paraId="1F67750D"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86.738.615</w:t>
            </w:r>
          </w:p>
        </w:tc>
      </w:tr>
    </w:tbl>
    <w:p w14:paraId="73F0DB4E" w14:textId="5CD8DA54" w:rsidR="00B122B4" w:rsidRPr="009C52C4" w:rsidRDefault="007C2814">
      <w:pPr>
        <w:ind w:right="708"/>
        <w:rPr>
          <w:rFonts w:ascii="Times New Roman" w:hAnsi="Times New Roman" w:cs="Times New Roman"/>
          <w:sz w:val="24"/>
          <w:szCs w:val="24"/>
        </w:rPr>
      </w:pPr>
      <w:r w:rsidRPr="009C52C4">
        <w:rPr>
          <w:rFonts w:ascii="Times New Roman" w:hAnsi="Times New Roman" w:cs="Times New Roman"/>
          <w:sz w:val="24"/>
          <w:szCs w:val="24"/>
        </w:rPr>
        <w:t xml:space="preserve"> </w:t>
      </w:r>
      <w:r w:rsidR="006130B9"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7A1A2CE1" w14:textId="77777777" w:rsidR="000B57C1" w:rsidRPr="009C52C4" w:rsidRDefault="000B57C1">
      <w:pPr>
        <w:ind w:right="708"/>
        <w:rPr>
          <w:rFonts w:ascii="Times New Roman" w:hAnsi="Times New Roman" w:cs="Times New Roman"/>
          <w:sz w:val="24"/>
          <w:szCs w:val="24"/>
        </w:rPr>
      </w:pPr>
    </w:p>
    <w:p w14:paraId="5938A328" w14:textId="4F7BD64B" w:rsidR="006730B1" w:rsidRPr="009C52C4" w:rsidRDefault="007C2814" w:rsidP="006730B1">
      <w:pPr>
        <w:pStyle w:val="Caption"/>
        <w:rPr>
          <w:rFonts w:ascii="Times New Roman" w:hAnsi="Times New Roman" w:cs="Times New Roman"/>
          <w:sz w:val="24"/>
          <w:szCs w:val="24"/>
        </w:rPr>
      </w:pPr>
      <w:bookmarkStart w:id="46" w:name="h.4i7ojhp" w:colFirst="0" w:colLast="0"/>
      <w:bookmarkStart w:id="47" w:name="_Ref483403816"/>
      <w:bookmarkEnd w:id="46"/>
      <w:r w:rsidRPr="009C52C4">
        <w:rPr>
          <w:rFonts w:ascii="Times New Roman" w:hAnsi="Times New Roman" w:cs="Times New Roman"/>
          <w:sz w:val="24"/>
          <w:szCs w:val="24"/>
        </w:rPr>
        <w:t xml:space="preserve"> </w:t>
      </w:r>
      <w:bookmarkStart w:id="48" w:name="_Toc2681302"/>
      <w:r w:rsidR="006130B9" w:rsidRPr="009C52C4">
        <w:rPr>
          <w:rFonts w:ascii="Times New Roman" w:hAnsi="Times New Roman" w:cs="Times New Roman"/>
          <w:sz w:val="24"/>
          <w:szCs w:val="24"/>
        </w:rPr>
        <w:t xml:space="preserve"> </w:t>
      </w:r>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9</w:t>
      </w:r>
      <w:r w:rsidR="00B6149D" w:rsidRPr="009C52C4">
        <w:rPr>
          <w:rFonts w:ascii="Times New Roman" w:hAnsi="Times New Roman" w:cs="Times New Roman"/>
          <w:noProof/>
          <w:sz w:val="24"/>
          <w:szCs w:val="24"/>
        </w:rPr>
        <w:fldChar w:fldCharType="end"/>
      </w:r>
      <w:bookmarkEnd w:id="47"/>
      <w:r w:rsidR="006730B1" w:rsidRPr="009C52C4">
        <w:rPr>
          <w:rFonts w:ascii="Times New Roman" w:hAnsi="Times New Roman" w:cs="Times New Roman"/>
          <w:sz w:val="24"/>
          <w:szCs w:val="24"/>
        </w:rPr>
        <w:t xml:space="preserve"> </w:t>
      </w:r>
      <w:r w:rsidR="006730B1" w:rsidRPr="009C52C4">
        <w:rPr>
          <w:rFonts w:ascii="Times New Roman" w:hAnsi="Times New Roman" w:cs="Times New Roman"/>
          <w:b w:val="0"/>
          <w:sz w:val="24"/>
          <w:szCs w:val="24"/>
        </w:rPr>
        <w:t>Pregled nacionalnog nestambenog fonda zgrada prema području</w:t>
      </w:r>
      <w:bookmarkEnd w:id="48"/>
    </w:p>
    <w:tbl>
      <w:tblPr>
        <w:tblW w:w="920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44"/>
        <w:gridCol w:w="1928"/>
        <w:gridCol w:w="2120"/>
        <w:gridCol w:w="1701"/>
        <w:gridCol w:w="1807"/>
      </w:tblGrid>
      <w:tr w:rsidR="00BD461D" w:rsidRPr="009C52C4" w14:paraId="0D3ACABF" w14:textId="77777777" w:rsidTr="00DE4140">
        <w:trPr>
          <w:trHeight w:val="20"/>
        </w:trPr>
        <w:tc>
          <w:tcPr>
            <w:tcW w:w="1644" w:type="dxa"/>
            <w:vMerge w:val="restart"/>
            <w:shd w:val="clear" w:color="auto" w:fill="C2D69B"/>
            <w:tcMar>
              <w:left w:w="115" w:type="dxa"/>
              <w:right w:w="115" w:type="dxa"/>
            </w:tcMar>
            <w:vAlign w:val="center"/>
          </w:tcPr>
          <w:p w14:paraId="6CD8134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Područje</w:t>
            </w:r>
          </w:p>
        </w:tc>
        <w:tc>
          <w:tcPr>
            <w:tcW w:w="4048" w:type="dxa"/>
            <w:gridSpan w:val="2"/>
            <w:shd w:val="clear" w:color="auto" w:fill="C2D69B"/>
            <w:tcMar>
              <w:left w:w="115" w:type="dxa"/>
              <w:right w:w="115" w:type="dxa"/>
            </w:tcMar>
            <w:vAlign w:val="center"/>
          </w:tcPr>
          <w:p w14:paraId="3867FA7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Zgrade komercijalne namjene</w:t>
            </w:r>
          </w:p>
        </w:tc>
        <w:tc>
          <w:tcPr>
            <w:tcW w:w="3508" w:type="dxa"/>
            <w:gridSpan w:val="2"/>
            <w:shd w:val="clear" w:color="auto" w:fill="C2D69B" w:themeFill="accent3" w:themeFillTint="99"/>
            <w:tcMar>
              <w:left w:w="115" w:type="dxa"/>
              <w:right w:w="115" w:type="dxa"/>
            </w:tcMar>
            <w:vAlign w:val="center"/>
          </w:tcPr>
          <w:p w14:paraId="080043EF" w14:textId="77777777" w:rsidR="00BD461D" w:rsidRPr="009C52C4" w:rsidRDefault="00BD461D" w:rsidP="00BD461D">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r>
      <w:tr w:rsidR="00BD461D" w:rsidRPr="009C52C4" w14:paraId="52D820A1" w14:textId="77777777" w:rsidTr="00DE4140">
        <w:trPr>
          <w:trHeight w:val="20"/>
        </w:trPr>
        <w:tc>
          <w:tcPr>
            <w:tcW w:w="1644" w:type="dxa"/>
            <w:vMerge/>
            <w:shd w:val="clear" w:color="auto" w:fill="EAF1DD"/>
            <w:tcMar>
              <w:left w:w="115" w:type="dxa"/>
              <w:right w:w="115" w:type="dxa"/>
            </w:tcMar>
            <w:vAlign w:val="center"/>
          </w:tcPr>
          <w:p w14:paraId="2380A73A" w14:textId="77777777" w:rsidR="00BD461D" w:rsidRPr="009C52C4" w:rsidRDefault="00BD461D" w:rsidP="00BD461D">
            <w:pPr>
              <w:rPr>
                <w:rFonts w:ascii="Times New Roman" w:hAnsi="Times New Roman" w:cs="Times New Roman"/>
                <w:sz w:val="24"/>
                <w:szCs w:val="24"/>
              </w:rPr>
            </w:pPr>
          </w:p>
        </w:tc>
        <w:tc>
          <w:tcPr>
            <w:tcW w:w="1928" w:type="dxa"/>
            <w:shd w:val="clear" w:color="auto" w:fill="EAF1DD"/>
            <w:tcMar>
              <w:left w:w="115" w:type="dxa"/>
              <w:right w:w="115" w:type="dxa"/>
            </w:tcMar>
            <w:vAlign w:val="center"/>
          </w:tcPr>
          <w:p w14:paraId="199C2B7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2120" w:type="dxa"/>
            <w:shd w:val="clear" w:color="auto" w:fill="EAF1DD"/>
            <w:tcMar>
              <w:left w:w="115" w:type="dxa"/>
              <w:right w:w="115" w:type="dxa"/>
            </w:tcMar>
            <w:vAlign w:val="center"/>
          </w:tcPr>
          <w:p w14:paraId="173D6F4C"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c>
          <w:tcPr>
            <w:tcW w:w="1701" w:type="dxa"/>
            <w:shd w:val="clear" w:color="auto" w:fill="EAF1DD"/>
            <w:tcMar>
              <w:left w:w="115" w:type="dxa"/>
              <w:right w:w="115" w:type="dxa"/>
            </w:tcMar>
            <w:vAlign w:val="center"/>
          </w:tcPr>
          <w:p w14:paraId="2AE3670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Broj</w:t>
            </w:r>
          </w:p>
        </w:tc>
        <w:tc>
          <w:tcPr>
            <w:tcW w:w="1807" w:type="dxa"/>
            <w:shd w:val="clear" w:color="auto" w:fill="EAF1DD"/>
            <w:tcMar>
              <w:left w:w="115" w:type="dxa"/>
              <w:right w:w="115" w:type="dxa"/>
            </w:tcMar>
            <w:vAlign w:val="center"/>
          </w:tcPr>
          <w:p w14:paraId="70F3C4F7" w14:textId="77777777" w:rsidR="00BD461D" w:rsidRPr="009C52C4" w:rsidRDefault="00BD461D" w:rsidP="009C11B8">
            <w:pPr>
              <w:jc w:val="center"/>
              <w:rPr>
                <w:rFonts w:ascii="Times New Roman" w:hAnsi="Times New Roman" w:cs="Times New Roman"/>
                <w:sz w:val="24"/>
                <w:szCs w:val="24"/>
              </w:rPr>
            </w:pPr>
            <w:r w:rsidRPr="009C52C4">
              <w:rPr>
                <w:rFonts w:ascii="Times New Roman" w:hAnsi="Times New Roman" w:cs="Times New Roman"/>
                <w:sz w:val="24"/>
                <w:szCs w:val="24"/>
              </w:rPr>
              <w:t xml:space="preserve">Površina </w:t>
            </w:r>
            <w:r w:rsidR="009C11B8" w:rsidRPr="009C52C4">
              <w:rPr>
                <w:rFonts w:ascii="Times New Roman" w:hAnsi="Times New Roman" w:cs="Times New Roman"/>
                <w:sz w:val="24"/>
                <w:szCs w:val="24"/>
              </w:rPr>
              <w:t>[</w:t>
            </w:r>
            <w:r w:rsidRPr="009C52C4">
              <w:rPr>
                <w:rFonts w:ascii="Times New Roman" w:hAnsi="Times New Roman" w:cs="Times New Roman"/>
                <w:sz w:val="24"/>
                <w:szCs w:val="24"/>
              </w:rPr>
              <w:t>m</w:t>
            </w:r>
            <w:r w:rsidRPr="009C52C4">
              <w:rPr>
                <w:rFonts w:ascii="Times New Roman" w:hAnsi="Times New Roman" w:cs="Times New Roman"/>
                <w:sz w:val="24"/>
                <w:szCs w:val="24"/>
                <w:vertAlign w:val="superscript"/>
              </w:rPr>
              <w:t>2</w:t>
            </w:r>
            <w:r w:rsidR="009C11B8" w:rsidRPr="009C52C4">
              <w:rPr>
                <w:rFonts w:ascii="Times New Roman" w:hAnsi="Times New Roman" w:cs="Times New Roman"/>
                <w:sz w:val="24"/>
                <w:szCs w:val="24"/>
              </w:rPr>
              <w:t>]</w:t>
            </w:r>
          </w:p>
        </w:tc>
      </w:tr>
      <w:tr w:rsidR="00BD461D" w:rsidRPr="009C52C4" w14:paraId="5B9EA870" w14:textId="77777777" w:rsidTr="00DE4140">
        <w:trPr>
          <w:trHeight w:val="20"/>
        </w:trPr>
        <w:tc>
          <w:tcPr>
            <w:tcW w:w="1644" w:type="dxa"/>
            <w:shd w:val="clear" w:color="auto" w:fill="EAF1DD"/>
            <w:tcMar>
              <w:left w:w="115" w:type="dxa"/>
              <w:right w:w="115" w:type="dxa"/>
            </w:tcMar>
            <w:vAlign w:val="center"/>
          </w:tcPr>
          <w:p w14:paraId="4868A5B7"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Urbano</w:t>
            </w:r>
          </w:p>
        </w:tc>
        <w:tc>
          <w:tcPr>
            <w:tcW w:w="1928" w:type="dxa"/>
            <w:shd w:val="clear" w:color="auto" w:fill="EAF1DD"/>
            <w:tcMar>
              <w:left w:w="115" w:type="dxa"/>
              <w:right w:w="115" w:type="dxa"/>
            </w:tcMar>
            <w:vAlign w:val="center"/>
          </w:tcPr>
          <w:p w14:paraId="71AA4687"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31.484</w:t>
            </w:r>
          </w:p>
        </w:tc>
        <w:tc>
          <w:tcPr>
            <w:tcW w:w="2120" w:type="dxa"/>
            <w:shd w:val="clear" w:color="auto" w:fill="EAF1DD"/>
            <w:tcMar>
              <w:left w:w="115" w:type="dxa"/>
              <w:right w:w="115" w:type="dxa"/>
            </w:tcMar>
            <w:vAlign w:val="center"/>
          </w:tcPr>
          <w:p w14:paraId="2C609C36"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25.720.860</w:t>
            </w:r>
          </w:p>
        </w:tc>
        <w:tc>
          <w:tcPr>
            <w:tcW w:w="1701" w:type="dxa"/>
            <w:shd w:val="clear" w:color="auto" w:fill="EAF1DD"/>
            <w:tcMar>
              <w:left w:w="115" w:type="dxa"/>
              <w:right w:w="115" w:type="dxa"/>
            </w:tcMar>
            <w:vAlign w:val="center"/>
          </w:tcPr>
          <w:p w14:paraId="11557E2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56.450</w:t>
            </w:r>
          </w:p>
        </w:tc>
        <w:tc>
          <w:tcPr>
            <w:tcW w:w="1807" w:type="dxa"/>
            <w:shd w:val="clear" w:color="auto" w:fill="EAF1DD"/>
            <w:tcMar>
              <w:left w:w="115" w:type="dxa"/>
              <w:right w:w="115" w:type="dxa"/>
            </w:tcMar>
            <w:vAlign w:val="center"/>
          </w:tcPr>
          <w:p w14:paraId="17D4D93D"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9.715.171</w:t>
            </w:r>
          </w:p>
        </w:tc>
      </w:tr>
      <w:tr w:rsidR="00BD461D" w:rsidRPr="009C52C4" w14:paraId="36079BCB" w14:textId="77777777" w:rsidTr="00DE4140">
        <w:trPr>
          <w:trHeight w:val="20"/>
        </w:trPr>
        <w:tc>
          <w:tcPr>
            <w:tcW w:w="1644" w:type="dxa"/>
            <w:shd w:val="clear" w:color="auto" w:fill="EAF1DD"/>
            <w:tcMar>
              <w:left w:w="115" w:type="dxa"/>
              <w:right w:w="115" w:type="dxa"/>
            </w:tcMar>
            <w:vAlign w:val="center"/>
          </w:tcPr>
          <w:p w14:paraId="70B0C220"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Ruralno</w:t>
            </w:r>
          </w:p>
        </w:tc>
        <w:tc>
          <w:tcPr>
            <w:tcW w:w="1928" w:type="dxa"/>
            <w:shd w:val="clear" w:color="auto" w:fill="EAF1DD"/>
            <w:tcMar>
              <w:left w:w="115" w:type="dxa"/>
              <w:right w:w="115" w:type="dxa"/>
            </w:tcMar>
            <w:vAlign w:val="center"/>
          </w:tcPr>
          <w:p w14:paraId="481445F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13.244</w:t>
            </w:r>
          </w:p>
        </w:tc>
        <w:tc>
          <w:tcPr>
            <w:tcW w:w="2120" w:type="dxa"/>
            <w:shd w:val="clear" w:color="auto" w:fill="EAF1DD"/>
            <w:tcMar>
              <w:left w:w="115" w:type="dxa"/>
              <w:right w:w="115" w:type="dxa"/>
            </w:tcMar>
            <w:vAlign w:val="center"/>
          </w:tcPr>
          <w:p w14:paraId="4CCD6781"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10.819.599</w:t>
            </w:r>
          </w:p>
        </w:tc>
        <w:tc>
          <w:tcPr>
            <w:tcW w:w="1701" w:type="dxa"/>
            <w:shd w:val="clear" w:color="auto" w:fill="EAF1DD"/>
            <w:tcMar>
              <w:left w:w="115" w:type="dxa"/>
              <w:right w:w="115" w:type="dxa"/>
            </w:tcMar>
            <w:vAlign w:val="center"/>
          </w:tcPr>
          <w:p w14:paraId="7F0897F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23.746</w:t>
            </w:r>
          </w:p>
        </w:tc>
        <w:tc>
          <w:tcPr>
            <w:tcW w:w="1807" w:type="dxa"/>
            <w:shd w:val="clear" w:color="auto" w:fill="EAF1DD"/>
            <w:tcMar>
              <w:left w:w="115" w:type="dxa"/>
              <w:right w:w="115" w:type="dxa"/>
            </w:tcMar>
            <w:vAlign w:val="center"/>
          </w:tcPr>
          <w:p w14:paraId="07BB430A"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4.086.732</w:t>
            </w:r>
          </w:p>
        </w:tc>
      </w:tr>
      <w:tr w:rsidR="00BD461D" w:rsidRPr="009C52C4" w14:paraId="1A76494E" w14:textId="77777777" w:rsidTr="00DE4140">
        <w:trPr>
          <w:trHeight w:val="20"/>
        </w:trPr>
        <w:tc>
          <w:tcPr>
            <w:tcW w:w="1644" w:type="dxa"/>
            <w:shd w:val="clear" w:color="auto" w:fill="EAF1DD"/>
            <w:tcMar>
              <w:left w:w="115" w:type="dxa"/>
              <w:right w:w="115" w:type="dxa"/>
            </w:tcMar>
            <w:vAlign w:val="center"/>
          </w:tcPr>
          <w:p w14:paraId="5CF08752"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UKUPNO</w:t>
            </w:r>
          </w:p>
        </w:tc>
        <w:tc>
          <w:tcPr>
            <w:tcW w:w="1928" w:type="dxa"/>
            <w:shd w:val="clear" w:color="auto" w:fill="EAF1DD"/>
            <w:tcMar>
              <w:left w:w="115" w:type="dxa"/>
              <w:right w:w="115" w:type="dxa"/>
            </w:tcMar>
            <w:vAlign w:val="center"/>
          </w:tcPr>
          <w:p w14:paraId="1284470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44.728</w:t>
            </w:r>
          </w:p>
        </w:tc>
        <w:tc>
          <w:tcPr>
            <w:tcW w:w="2120" w:type="dxa"/>
            <w:shd w:val="clear" w:color="auto" w:fill="EAF1DD"/>
            <w:tcMar>
              <w:left w:w="115" w:type="dxa"/>
              <w:right w:w="115" w:type="dxa"/>
            </w:tcMar>
            <w:vAlign w:val="center"/>
          </w:tcPr>
          <w:p w14:paraId="77A6BDFF"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36.540.459</w:t>
            </w:r>
          </w:p>
        </w:tc>
        <w:tc>
          <w:tcPr>
            <w:tcW w:w="1701" w:type="dxa"/>
            <w:shd w:val="clear" w:color="auto" w:fill="EAF1DD"/>
            <w:tcMar>
              <w:left w:w="115" w:type="dxa"/>
              <w:right w:w="115" w:type="dxa"/>
            </w:tcMar>
            <w:vAlign w:val="center"/>
          </w:tcPr>
          <w:p w14:paraId="52D3DEA4" w14:textId="77777777"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80.196</w:t>
            </w:r>
          </w:p>
        </w:tc>
        <w:tc>
          <w:tcPr>
            <w:tcW w:w="1807" w:type="dxa"/>
            <w:shd w:val="clear" w:color="auto" w:fill="EAF1DD"/>
            <w:tcMar>
              <w:left w:w="115" w:type="dxa"/>
              <w:right w:w="115" w:type="dxa"/>
            </w:tcMar>
            <w:vAlign w:val="center"/>
          </w:tcPr>
          <w:p w14:paraId="25110EEC" w14:textId="706939BB" w:rsidR="00BD461D" w:rsidRPr="009C52C4" w:rsidRDefault="00BD461D" w:rsidP="00BD461D">
            <w:pPr>
              <w:jc w:val="center"/>
              <w:rPr>
                <w:rFonts w:ascii="Times New Roman" w:hAnsi="Times New Roman" w:cs="Times New Roman"/>
                <w:sz w:val="24"/>
                <w:szCs w:val="24"/>
              </w:rPr>
            </w:pPr>
            <w:r w:rsidRPr="009C52C4">
              <w:rPr>
                <w:rFonts w:ascii="Times New Roman" w:hAnsi="Times New Roman" w:cs="Times New Roman"/>
                <w:sz w:val="24"/>
                <w:szCs w:val="24"/>
              </w:rPr>
              <w:t>13.801.90</w:t>
            </w:r>
            <w:r w:rsidR="003E2084" w:rsidRPr="009C52C4">
              <w:rPr>
                <w:rFonts w:ascii="Times New Roman" w:hAnsi="Times New Roman" w:cs="Times New Roman"/>
                <w:sz w:val="24"/>
                <w:szCs w:val="24"/>
              </w:rPr>
              <w:t>3</w:t>
            </w:r>
          </w:p>
        </w:tc>
      </w:tr>
    </w:tbl>
    <w:p w14:paraId="46E6F972" w14:textId="063CB59D" w:rsidR="00B122B4" w:rsidRPr="009C52C4" w:rsidRDefault="006130B9">
      <w:pPr>
        <w:ind w:right="708"/>
        <w:rPr>
          <w:rFonts w:ascii="Times New Roman" w:hAnsi="Times New Roman" w:cs="Times New Roman"/>
          <w:sz w:val="24"/>
          <w:szCs w:val="24"/>
        </w:rPr>
      </w:pPr>
      <w:r w:rsidRPr="009C52C4">
        <w:rPr>
          <w:rFonts w:ascii="Times New Roman" w:hAnsi="Times New Roman" w:cs="Times New Roman"/>
          <w:sz w:val="24"/>
          <w:szCs w:val="24"/>
        </w:rPr>
        <w:t xml:space="preserve"> </w:t>
      </w:r>
      <w:r w:rsidR="007C2814"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25FC6887" w14:textId="77777777" w:rsidR="000B57C1" w:rsidRPr="009C52C4" w:rsidRDefault="000B57C1">
      <w:pPr>
        <w:ind w:right="708"/>
        <w:rPr>
          <w:rFonts w:ascii="Times New Roman" w:hAnsi="Times New Roman" w:cs="Times New Roman"/>
          <w:sz w:val="24"/>
          <w:szCs w:val="24"/>
        </w:rPr>
      </w:pPr>
    </w:p>
    <w:p w14:paraId="5F42BBE9" w14:textId="77777777" w:rsidR="00BD461D" w:rsidRPr="009C52C4" w:rsidRDefault="00BD461D" w:rsidP="00BD461D">
      <w:pPr>
        <w:rPr>
          <w:rFonts w:ascii="Times New Roman" w:hAnsi="Times New Roman" w:cs="Times New Roman"/>
          <w:sz w:val="24"/>
          <w:szCs w:val="24"/>
        </w:rPr>
      </w:pPr>
      <w:bookmarkStart w:id="49" w:name="h.2xcytpi" w:colFirst="0" w:colLast="0"/>
      <w:bookmarkEnd w:id="49"/>
      <w:r w:rsidRPr="009C52C4">
        <w:rPr>
          <w:rFonts w:ascii="Times New Roman" w:hAnsi="Times New Roman" w:cs="Times New Roman"/>
          <w:sz w:val="24"/>
          <w:szCs w:val="24"/>
        </w:rPr>
        <w:t>Pregled stambenog nacionalnog fonda zgrada Republike Hrvatske prema području gradnje pokazuje da se 426.071 zgrada ukupne površine 72.419.263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urbanom a 336.327 zgrada ukupne površine 69.757.414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ruralnom području.</w:t>
      </w:r>
    </w:p>
    <w:p w14:paraId="1E2FD4AE" w14:textId="77777777" w:rsidR="00BD461D" w:rsidRPr="009C52C4" w:rsidRDefault="00BD461D" w:rsidP="00BD461D">
      <w:pPr>
        <w:rPr>
          <w:rFonts w:ascii="Times New Roman" w:hAnsi="Times New Roman" w:cs="Times New Roman"/>
          <w:sz w:val="24"/>
          <w:szCs w:val="24"/>
        </w:rPr>
      </w:pPr>
    </w:p>
    <w:p w14:paraId="2BFED46E"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Pregled nestambenog nacionalnog fonda zgrada Republike Hrvatske prema području pokazuje da se 87.934 zgrada ukupne površine 35.436.031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urbanom a 36.990 zgrada ukupne površine 14.906.331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ruralnom području.</w:t>
      </w:r>
    </w:p>
    <w:p w14:paraId="6A2842CB" w14:textId="77777777" w:rsidR="00BD461D" w:rsidRPr="009C52C4" w:rsidRDefault="00BD461D" w:rsidP="00BD461D">
      <w:pPr>
        <w:rPr>
          <w:rFonts w:ascii="Times New Roman" w:hAnsi="Times New Roman" w:cs="Times New Roman"/>
          <w:sz w:val="24"/>
          <w:szCs w:val="24"/>
        </w:rPr>
      </w:pPr>
    </w:p>
    <w:p w14:paraId="259766D9" w14:textId="7777777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Iz provedenih se analiza može zaključiti da se od sadašnjeg nacionalnog fonda zgrada Republike Hrvatske 514.005 zgrada ukupne površine 107.855.294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nalazi u urbanom a 373.317 zgrada ukupne površine 84.663.745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u ruralnom području. </w:t>
      </w:r>
    </w:p>
    <w:p w14:paraId="3C516B66" w14:textId="77777777" w:rsidR="006730B1" w:rsidRPr="009C52C4" w:rsidRDefault="006730B1">
      <w:pPr>
        <w:rPr>
          <w:rFonts w:ascii="Times New Roman" w:hAnsi="Times New Roman" w:cs="Times New Roman"/>
          <w:sz w:val="24"/>
          <w:szCs w:val="24"/>
        </w:rPr>
      </w:pPr>
      <w:r w:rsidRPr="009C52C4">
        <w:rPr>
          <w:rFonts w:ascii="Times New Roman" w:hAnsi="Times New Roman" w:cs="Times New Roman"/>
          <w:b/>
          <w:sz w:val="24"/>
          <w:szCs w:val="24"/>
        </w:rPr>
        <w:br w:type="page"/>
      </w:r>
    </w:p>
    <w:p w14:paraId="1A91F65B" w14:textId="77777777" w:rsidR="00B122B4" w:rsidRPr="009C52C4" w:rsidRDefault="00F54CC3" w:rsidP="00853BC8">
      <w:pPr>
        <w:pStyle w:val="Heading2"/>
        <w:numPr>
          <w:ilvl w:val="1"/>
          <w:numId w:val="13"/>
        </w:numPr>
        <w:rPr>
          <w:rFonts w:ascii="Times New Roman" w:hAnsi="Times New Roman" w:cs="Times New Roman"/>
          <w:sz w:val="24"/>
          <w:szCs w:val="24"/>
        </w:rPr>
      </w:pPr>
      <w:bookmarkStart w:id="50" w:name="_Toc3277902"/>
      <w:r w:rsidRPr="009C52C4">
        <w:rPr>
          <w:rFonts w:ascii="Times New Roman" w:hAnsi="Times New Roman" w:cs="Times New Roman"/>
          <w:sz w:val="24"/>
          <w:szCs w:val="24"/>
        </w:rPr>
        <w:lastRenderedPageBreak/>
        <w:t>Energetska svojstva i karakteristike zgrada</w:t>
      </w:r>
      <w:bookmarkEnd w:id="50"/>
    </w:p>
    <w:p w14:paraId="6CA4D3C7" w14:textId="77777777" w:rsidR="00B122B4" w:rsidRPr="009C52C4" w:rsidRDefault="00F54CC3" w:rsidP="009F7D0C">
      <w:pPr>
        <w:pStyle w:val="Heading3"/>
        <w:numPr>
          <w:ilvl w:val="2"/>
          <w:numId w:val="13"/>
        </w:numPr>
        <w:spacing w:before="200"/>
        <w:ind w:hanging="720"/>
        <w:rPr>
          <w:rFonts w:ascii="Times New Roman" w:hAnsi="Times New Roman" w:cs="Times New Roman"/>
          <w:sz w:val="24"/>
          <w:szCs w:val="24"/>
        </w:rPr>
      </w:pPr>
      <w:bookmarkStart w:id="51" w:name="h.1ci93xb" w:colFirst="0" w:colLast="0"/>
      <w:bookmarkStart w:id="52" w:name="_Toc3277903"/>
      <w:bookmarkEnd w:id="51"/>
      <w:r w:rsidRPr="009C52C4">
        <w:rPr>
          <w:rFonts w:ascii="Times New Roman" w:hAnsi="Times New Roman" w:cs="Times New Roman"/>
          <w:sz w:val="24"/>
          <w:szCs w:val="24"/>
        </w:rPr>
        <w:t>U – koeficijenti građevinskih dijelova i elemenata</w:t>
      </w:r>
      <w:bookmarkEnd w:id="52"/>
    </w:p>
    <w:p w14:paraId="0A5D6784" w14:textId="77777777" w:rsidR="00B122B4" w:rsidRPr="009C52C4" w:rsidRDefault="00B122B4">
      <w:pPr>
        <w:rPr>
          <w:rFonts w:ascii="Times New Roman" w:hAnsi="Times New Roman" w:cs="Times New Roman"/>
          <w:sz w:val="24"/>
          <w:szCs w:val="24"/>
        </w:rPr>
      </w:pPr>
    </w:p>
    <w:p w14:paraId="3C58EDEC" w14:textId="6B6BB9A1"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Energetska svojstva i karakteristike zgrada kao i njihovu energetsku potrošnju u velikoj mjeri određuje razdoblje izgradnje. Iako se razina potrošnje energije za grijanje u zgradama može pratiti i kroz druge parametre</w:t>
      </w:r>
      <w:r w:rsidR="00A2724A" w:rsidRPr="009C52C4">
        <w:rPr>
          <w:rFonts w:ascii="Times New Roman" w:hAnsi="Times New Roman" w:cs="Times New Roman"/>
          <w:sz w:val="24"/>
          <w:szCs w:val="24"/>
        </w:rPr>
        <w:t xml:space="preserve"> (npr. klimatski</w:t>
      </w:r>
      <w:r w:rsidR="00D4611E" w:rsidRPr="009C52C4">
        <w:rPr>
          <w:rFonts w:ascii="Times New Roman" w:hAnsi="Times New Roman" w:cs="Times New Roman"/>
          <w:sz w:val="24"/>
          <w:szCs w:val="24"/>
        </w:rPr>
        <w:t xml:space="preserve"> -</w:t>
      </w:r>
      <w:r w:rsidR="00A2724A" w:rsidRPr="009C52C4">
        <w:rPr>
          <w:rFonts w:ascii="Times New Roman" w:hAnsi="Times New Roman" w:cs="Times New Roman"/>
          <w:sz w:val="24"/>
          <w:szCs w:val="24"/>
        </w:rPr>
        <w:t xml:space="preserve"> </w:t>
      </w:r>
      <w:r w:rsidRPr="009C52C4">
        <w:rPr>
          <w:rFonts w:ascii="Times New Roman" w:hAnsi="Times New Roman" w:cs="Times New Roman"/>
          <w:sz w:val="24"/>
          <w:szCs w:val="24"/>
        </w:rPr>
        <w:t>temperaturni uvjeti lokacije i podneblja, faktor oblika zgrade i dr.), razdoblje izgradnje je podatak koji najviše govori o karakteristikama izgradnje i primijenjenim tipovima konstrukcija, kao i (ne)primijenjenim propisima o toplinskoj zaštiti relevantnima za određeno razdoblje izgradnje</w:t>
      </w:r>
      <w:r w:rsidRPr="009C52C4">
        <w:rPr>
          <w:rFonts w:ascii="Times New Roman" w:hAnsi="Times New Roman" w:cs="Times New Roman"/>
          <w:sz w:val="24"/>
          <w:szCs w:val="24"/>
          <w:vertAlign w:val="superscript"/>
        </w:rPr>
        <w:footnoteReference w:id="26"/>
      </w:r>
      <w:r w:rsidRPr="009C52C4">
        <w:rPr>
          <w:rFonts w:ascii="Times New Roman" w:hAnsi="Times New Roman" w:cs="Times New Roman"/>
          <w:sz w:val="24"/>
          <w:szCs w:val="24"/>
        </w:rPr>
        <w:t>.</w:t>
      </w:r>
    </w:p>
    <w:p w14:paraId="3AAC4EB3" w14:textId="77777777" w:rsidR="00BD461D" w:rsidRPr="009C52C4" w:rsidRDefault="00BD461D" w:rsidP="00BD461D">
      <w:pPr>
        <w:rPr>
          <w:rFonts w:ascii="Times New Roman" w:hAnsi="Times New Roman" w:cs="Times New Roman"/>
          <w:sz w:val="24"/>
          <w:szCs w:val="24"/>
        </w:rPr>
      </w:pPr>
    </w:p>
    <w:p w14:paraId="7F540C4E" w14:textId="269E521B" w:rsidR="003740FA" w:rsidRPr="009C52C4" w:rsidRDefault="00BD461D" w:rsidP="00F77044">
      <w:pPr>
        <w:rPr>
          <w:rFonts w:ascii="Times New Roman" w:hAnsi="Times New Roman" w:cs="Times New Roman"/>
          <w:sz w:val="24"/>
          <w:szCs w:val="24"/>
        </w:rPr>
      </w:pPr>
      <w:r w:rsidRPr="009C52C4">
        <w:rPr>
          <w:rFonts w:ascii="Times New Roman" w:hAnsi="Times New Roman" w:cs="Times New Roman"/>
          <w:sz w:val="24"/>
          <w:szCs w:val="24"/>
        </w:rPr>
        <w:t>U analizi energetskih svojstava i karakteristika građevinskih dijelova i elemenata, bitan je podatak o namjeni zgrade i specifičnostima energetske potrošnje, odnosno režimu korištenja zgrade prema namjeni</w:t>
      </w:r>
      <w:r w:rsidR="00E37CA5" w:rsidRPr="009C52C4">
        <w:rPr>
          <w:rFonts w:ascii="Times New Roman" w:hAnsi="Times New Roman" w:cs="Times New Roman"/>
          <w:sz w:val="24"/>
          <w:szCs w:val="24"/>
          <w:vertAlign w:val="superscript"/>
        </w:rPr>
        <w:t>27</w:t>
      </w:r>
      <w:r w:rsidRPr="009C52C4">
        <w:rPr>
          <w:rFonts w:ascii="Times New Roman" w:hAnsi="Times New Roman" w:cs="Times New Roman"/>
          <w:sz w:val="24"/>
          <w:szCs w:val="24"/>
        </w:rPr>
        <w:t xml:space="preserve">. U daljnjem se razmatranju neće promatrati kategorija zgrada prema namjeni već će se dati karakterističan opis građevinskih dijelova karakteristične zgrade i njenih elemenata tipičan za određeno razdoblje izgradnje.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_Ref483403828 \h </w:instrText>
      </w:r>
      <w:r w:rsidR="00F77044"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Tablica 2.10</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w:t>
      </w:r>
      <w:r w:rsidR="00F77044" w:rsidRPr="009C52C4">
        <w:rPr>
          <w:rFonts w:ascii="Times New Roman" w:hAnsi="Times New Roman" w:cs="Times New Roman"/>
          <w:sz w:val="24"/>
          <w:szCs w:val="24"/>
        </w:rPr>
        <w:t xml:space="preserve">prikazuje </w:t>
      </w:r>
      <w:r w:rsidRPr="009C52C4">
        <w:rPr>
          <w:rFonts w:ascii="Times New Roman" w:hAnsi="Times New Roman" w:cs="Times New Roman"/>
          <w:sz w:val="24"/>
          <w:szCs w:val="24"/>
        </w:rPr>
        <w:t>procijenjen</w:t>
      </w:r>
      <w:r w:rsidR="00F77044" w:rsidRPr="009C52C4">
        <w:rPr>
          <w:rFonts w:ascii="Times New Roman" w:hAnsi="Times New Roman" w:cs="Times New Roman"/>
          <w:sz w:val="24"/>
          <w:szCs w:val="24"/>
        </w:rPr>
        <w:t>u godišnju</w:t>
      </w:r>
      <w:r w:rsidRPr="009C52C4">
        <w:rPr>
          <w:rFonts w:ascii="Times New Roman" w:hAnsi="Times New Roman" w:cs="Times New Roman"/>
          <w:sz w:val="24"/>
          <w:szCs w:val="24"/>
        </w:rPr>
        <w:t xml:space="preserve"> potrebn</w:t>
      </w:r>
      <w:r w:rsidR="00F77044" w:rsidRPr="009C52C4">
        <w:rPr>
          <w:rFonts w:ascii="Times New Roman" w:hAnsi="Times New Roman" w:cs="Times New Roman"/>
          <w:sz w:val="24"/>
          <w:szCs w:val="24"/>
        </w:rPr>
        <w:t>u</w:t>
      </w:r>
      <w:r w:rsidRPr="009C52C4">
        <w:rPr>
          <w:rFonts w:ascii="Times New Roman" w:hAnsi="Times New Roman" w:cs="Times New Roman"/>
          <w:sz w:val="24"/>
          <w:szCs w:val="24"/>
        </w:rPr>
        <w:t xml:space="preserve"> toplinsk</w:t>
      </w:r>
      <w:r w:rsidR="00F77044" w:rsidRPr="009C52C4">
        <w:rPr>
          <w:rFonts w:ascii="Times New Roman" w:hAnsi="Times New Roman" w:cs="Times New Roman"/>
          <w:sz w:val="24"/>
          <w:szCs w:val="24"/>
        </w:rPr>
        <w:t>u</w:t>
      </w:r>
      <w:r w:rsidRPr="009C52C4">
        <w:rPr>
          <w:rFonts w:ascii="Times New Roman" w:hAnsi="Times New Roman" w:cs="Times New Roman"/>
          <w:sz w:val="24"/>
          <w:szCs w:val="24"/>
        </w:rPr>
        <w:t xml:space="preserve"> energij</w:t>
      </w:r>
      <w:r w:rsidR="00F77044" w:rsidRPr="009C52C4">
        <w:rPr>
          <w:rFonts w:ascii="Times New Roman" w:hAnsi="Times New Roman" w:cs="Times New Roman"/>
          <w:sz w:val="24"/>
          <w:szCs w:val="24"/>
        </w:rPr>
        <w:t>u</w:t>
      </w:r>
      <w:r w:rsidRPr="009C52C4">
        <w:rPr>
          <w:rFonts w:ascii="Times New Roman" w:hAnsi="Times New Roman" w:cs="Times New Roman"/>
          <w:sz w:val="24"/>
          <w:szCs w:val="24"/>
        </w:rPr>
        <w:t xml:space="preserve"> za grijanje i godišnj</w:t>
      </w:r>
      <w:r w:rsidR="00F77044" w:rsidRPr="009C52C4">
        <w:rPr>
          <w:rFonts w:ascii="Times New Roman" w:hAnsi="Times New Roman" w:cs="Times New Roman"/>
          <w:sz w:val="24"/>
          <w:szCs w:val="24"/>
        </w:rPr>
        <w:t>u</w:t>
      </w:r>
      <w:r w:rsidRPr="009C52C4">
        <w:rPr>
          <w:rFonts w:ascii="Times New Roman" w:hAnsi="Times New Roman" w:cs="Times New Roman"/>
          <w:sz w:val="24"/>
          <w:szCs w:val="24"/>
        </w:rPr>
        <w:t xml:space="preserve"> potrošnj</w:t>
      </w:r>
      <w:r w:rsidR="00F77044" w:rsidRPr="009C52C4">
        <w:rPr>
          <w:rFonts w:ascii="Times New Roman" w:hAnsi="Times New Roman" w:cs="Times New Roman"/>
          <w:sz w:val="24"/>
          <w:szCs w:val="24"/>
        </w:rPr>
        <w:t>u</w:t>
      </w:r>
      <w:r w:rsidRPr="009C52C4">
        <w:rPr>
          <w:rFonts w:ascii="Times New Roman" w:hAnsi="Times New Roman" w:cs="Times New Roman"/>
          <w:sz w:val="24"/>
          <w:szCs w:val="24"/>
        </w:rPr>
        <w:t xml:space="preserve"> isporučene energije za grijanje, hlađenje, potrošnu toplu vodu i rasvjetu po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za primorsku i kontinentalnu Hrvatsku prema kategorijama nacionalnog fonda zgrada Republike Hrvatske prema namjeni definiran</w:t>
      </w:r>
      <w:r w:rsidR="003E2084" w:rsidRPr="009C52C4">
        <w:rPr>
          <w:rFonts w:ascii="Times New Roman" w:hAnsi="Times New Roman" w:cs="Times New Roman"/>
          <w:sz w:val="24"/>
          <w:szCs w:val="24"/>
        </w:rPr>
        <w:t>oj</w:t>
      </w:r>
      <w:r w:rsidRPr="009C52C4">
        <w:rPr>
          <w:rFonts w:ascii="Times New Roman" w:hAnsi="Times New Roman" w:cs="Times New Roman"/>
          <w:sz w:val="24"/>
          <w:szCs w:val="24"/>
        </w:rPr>
        <w:t xml:space="preserve"> u poglavlju 2.1.</w:t>
      </w:r>
    </w:p>
    <w:p w14:paraId="56690006" w14:textId="77777777" w:rsidR="00F77044" w:rsidRPr="009C52C4" w:rsidRDefault="00F77044" w:rsidP="00F77044">
      <w:pPr>
        <w:rPr>
          <w:rFonts w:ascii="Times New Roman" w:hAnsi="Times New Roman" w:cs="Times New Roman"/>
          <w:sz w:val="24"/>
          <w:szCs w:val="24"/>
        </w:rPr>
        <w:sectPr w:rsidR="00F77044" w:rsidRPr="009C52C4" w:rsidSect="00227458">
          <w:footerReference w:type="default" r:id="rId12"/>
          <w:pgSz w:w="11906" w:h="16838"/>
          <w:pgMar w:top="1417" w:right="1417" w:bottom="1417" w:left="1417" w:header="720" w:footer="720" w:gutter="0"/>
          <w:cols w:space="720"/>
        </w:sectPr>
      </w:pPr>
    </w:p>
    <w:p w14:paraId="1532D168" w14:textId="4A577A6E" w:rsidR="006730B1" w:rsidRPr="009C52C4" w:rsidRDefault="006730B1" w:rsidP="006730B1">
      <w:pPr>
        <w:pStyle w:val="Caption"/>
        <w:rPr>
          <w:rFonts w:ascii="Times New Roman" w:hAnsi="Times New Roman" w:cs="Times New Roman"/>
          <w:sz w:val="24"/>
          <w:szCs w:val="24"/>
        </w:rPr>
      </w:pPr>
      <w:bookmarkStart w:id="53" w:name="h.3whwml4" w:colFirst="0" w:colLast="0"/>
      <w:bookmarkStart w:id="54" w:name="h.2bn6wsx" w:colFirst="0" w:colLast="0"/>
      <w:bookmarkStart w:id="55" w:name="_Ref483403828"/>
      <w:bookmarkStart w:id="56" w:name="_Toc2681303"/>
      <w:bookmarkEnd w:id="53"/>
      <w:bookmarkEnd w:id="54"/>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10</w:t>
      </w:r>
      <w:r w:rsidR="00B6149D" w:rsidRPr="009C52C4">
        <w:rPr>
          <w:rFonts w:ascii="Times New Roman" w:hAnsi="Times New Roman" w:cs="Times New Roman"/>
          <w:noProof/>
          <w:sz w:val="24"/>
          <w:szCs w:val="24"/>
        </w:rPr>
        <w:fldChar w:fldCharType="end"/>
      </w:r>
      <w:bookmarkEnd w:id="55"/>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 xml:space="preserve">Godišnja potrebna toplinska energija za grijanje i godišnja isporučena energija za kontinentalnu i primorsku Hrvatsku </w:t>
      </w:r>
      <w:r w:rsidR="00DE4140" w:rsidRPr="009C52C4">
        <w:rPr>
          <w:rFonts w:ascii="Times New Roman" w:hAnsi="Times New Roman" w:cs="Times New Roman"/>
          <w:b w:val="0"/>
          <w:bCs w:val="0"/>
          <w:color w:val="000000"/>
          <w:sz w:val="24"/>
          <w:szCs w:val="24"/>
        </w:rPr>
        <w:t>[</w:t>
      </w:r>
      <w:r w:rsidR="00BD461D" w:rsidRPr="009C52C4">
        <w:rPr>
          <w:rFonts w:ascii="Times New Roman" w:hAnsi="Times New Roman" w:cs="Times New Roman"/>
          <w:b w:val="0"/>
          <w:bCs w:val="0"/>
          <w:color w:val="000000"/>
          <w:sz w:val="24"/>
          <w:szCs w:val="24"/>
        </w:rPr>
        <w:t>kWh/m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a</w:t>
      </w:r>
      <w:r w:rsidR="00DE4140" w:rsidRPr="009C52C4">
        <w:rPr>
          <w:rFonts w:ascii="Times New Roman" w:hAnsi="Times New Roman" w:cs="Times New Roman"/>
          <w:b w:val="0"/>
          <w:bCs w:val="0"/>
          <w:color w:val="000000"/>
          <w:sz w:val="24"/>
          <w:szCs w:val="24"/>
        </w:rPr>
        <w:t>]</w:t>
      </w:r>
      <w:bookmarkEnd w:id="56"/>
    </w:p>
    <w:tbl>
      <w:tblPr>
        <w:tblW w:w="5000" w:type="pct"/>
        <w:tblLayout w:type="fixed"/>
        <w:tblLook w:val="04A0" w:firstRow="1" w:lastRow="0" w:firstColumn="1" w:lastColumn="0" w:noHBand="0" w:noVBand="1"/>
      </w:tblPr>
      <w:tblGrid>
        <w:gridCol w:w="3600"/>
        <w:gridCol w:w="899"/>
        <w:gridCol w:w="748"/>
        <w:gridCol w:w="748"/>
        <w:gridCol w:w="748"/>
        <w:gridCol w:w="748"/>
        <w:gridCol w:w="748"/>
        <w:gridCol w:w="748"/>
        <w:gridCol w:w="748"/>
        <w:gridCol w:w="748"/>
        <w:gridCol w:w="748"/>
        <w:gridCol w:w="748"/>
        <w:gridCol w:w="748"/>
        <w:gridCol w:w="748"/>
        <w:gridCol w:w="745"/>
      </w:tblGrid>
      <w:tr w:rsidR="001A4989" w:rsidRPr="009C52C4" w14:paraId="637692BD" w14:textId="77777777" w:rsidTr="00887E64">
        <w:trPr>
          <w:trHeight w:val="315"/>
        </w:trPr>
        <w:tc>
          <w:tcPr>
            <w:tcW w:w="1266" w:type="pct"/>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5998337C"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Namjena zgrade</w:t>
            </w:r>
          </w:p>
        </w:tc>
        <w:tc>
          <w:tcPr>
            <w:tcW w:w="3734" w:type="pct"/>
            <w:gridSpan w:val="14"/>
            <w:tcBorders>
              <w:top w:val="single" w:sz="8" w:space="0" w:color="auto"/>
              <w:left w:val="nil"/>
              <w:bottom w:val="single" w:sz="8" w:space="0" w:color="auto"/>
              <w:right w:val="single" w:sz="8" w:space="0" w:color="000000"/>
            </w:tcBorders>
            <w:shd w:val="clear" w:color="000000" w:fill="C4D79B"/>
            <w:vAlign w:val="center"/>
            <w:hideMark/>
          </w:tcPr>
          <w:p w14:paraId="3EFBF86F" w14:textId="77777777" w:rsidR="003740FA" w:rsidRPr="009C52C4" w:rsidRDefault="003740FA" w:rsidP="00DE4140">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 xml:space="preserve">Godišnja potrebna toplinska energija za grijanje </w:t>
            </w:r>
            <w:r w:rsidR="00DE4140" w:rsidRPr="009C52C4">
              <w:rPr>
                <w:rFonts w:ascii="Times New Roman" w:eastAsia="Times New Roman" w:hAnsi="Times New Roman" w:cs="Times New Roman"/>
                <w:b/>
                <w:bCs/>
                <w:sz w:val="24"/>
                <w:szCs w:val="24"/>
              </w:rPr>
              <w:t>[</w:t>
            </w:r>
            <w:r w:rsidRPr="009C52C4">
              <w:rPr>
                <w:rFonts w:ascii="Times New Roman" w:eastAsia="Times New Roman" w:hAnsi="Times New Roman" w:cs="Times New Roman"/>
                <w:b/>
                <w:bCs/>
                <w:sz w:val="24"/>
                <w:szCs w:val="24"/>
              </w:rPr>
              <w:t>kWh/m</w:t>
            </w:r>
            <w:r w:rsidRPr="009C52C4">
              <w:rPr>
                <w:rFonts w:ascii="Times New Roman" w:eastAsia="Times New Roman" w:hAnsi="Times New Roman" w:cs="Times New Roman"/>
                <w:b/>
                <w:bCs/>
                <w:sz w:val="24"/>
                <w:szCs w:val="24"/>
                <w:vertAlign w:val="superscript"/>
              </w:rPr>
              <w:t>2</w:t>
            </w:r>
            <w:r w:rsidR="00DE4140" w:rsidRPr="009C52C4">
              <w:rPr>
                <w:rFonts w:ascii="Times New Roman" w:eastAsia="Times New Roman" w:hAnsi="Times New Roman" w:cs="Times New Roman"/>
                <w:b/>
                <w:bCs/>
                <w:sz w:val="24"/>
                <w:szCs w:val="24"/>
              </w:rPr>
              <w:t>a]</w:t>
            </w:r>
          </w:p>
        </w:tc>
      </w:tr>
      <w:tr w:rsidR="003740FA" w:rsidRPr="009C52C4" w14:paraId="16102EFB" w14:textId="77777777" w:rsidTr="00887E64">
        <w:trPr>
          <w:trHeight w:val="315"/>
        </w:trPr>
        <w:tc>
          <w:tcPr>
            <w:tcW w:w="1266" w:type="pct"/>
            <w:vMerge/>
            <w:tcBorders>
              <w:top w:val="single" w:sz="8" w:space="0" w:color="auto"/>
              <w:left w:val="single" w:sz="8" w:space="0" w:color="auto"/>
              <w:bottom w:val="single" w:sz="8" w:space="0" w:color="000000"/>
              <w:right w:val="single" w:sz="8" w:space="0" w:color="auto"/>
            </w:tcBorders>
            <w:vAlign w:val="center"/>
            <w:hideMark/>
          </w:tcPr>
          <w:p w14:paraId="56E84363" w14:textId="77777777" w:rsidR="003740FA" w:rsidRPr="009C52C4" w:rsidRDefault="003740FA" w:rsidP="003740FA">
            <w:pPr>
              <w:jc w:val="left"/>
              <w:rPr>
                <w:rFonts w:ascii="Times New Roman" w:eastAsia="Times New Roman" w:hAnsi="Times New Roman" w:cs="Times New Roman"/>
                <w:b/>
                <w:bCs/>
                <w:sz w:val="24"/>
                <w:szCs w:val="24"/>
              </w:rPr>
            </w:pPr>
          </w:p>
        </w:tc>
        <w:tc>
          <w:tcPr>
            <w:tcW w:w="1894" w:type="pct"/>
            <w:gridSpan w:val="7"/>
            <w:tcBorders>
              <w:top w:val="single" w:sz="8" w:space="0" w:color="auto"/>
              <w:left w:val="nil"/>
              <w:bottom w:val="single" w:sz="8" w:space="0" w:color="auto"/>
              <w:right w:val="single" w:sz="12" w:space="0" w:color="auto"/>
            </w:tcBorders>
            <w:shd w:val="clear" w:color="000000" w:fill="C4D79B"/>
            <w:vAlign w:val="center"/>
            <w:hideMark/>
          </w:tcPr>
          <w:p w14:paraId="276E07EE"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Kontinentalna Hrvatska</w:t>
            </w:r>
          </w:p>
        </w:tc>
        <w:tc>
          <w:tcPr>
            <w:tcW w:w="1840" w:type="pct"/>
            <w:gridSpan w:val="7"/>
            <w:tcBorders>
              <w:top w:val="single" w:sz="8" w:space="0" w:color="auto"/>
              <w:left w:val="single" w:sz="12" w:space="0" w:color="auto"/>
              <w:bottom w:val="single" w:sz="8" w:space="0" w:color="auto"/>
              <w:right w:val="single" w:sz="8" w:space="0" w:color="000000"/>
            </w:tcBorders>
            <w:shd w:val="clear" w:color="000000" w:fill="C4D79B"/>
            <w:vAlign w:val="center"/>
            <w:hideMark/>
          </w:tcPr>
          <w:p w14:paraId="4332FC91"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Primorska Hrvatska</w:t>
            </w:r>
          </w:p>
        </w:tc>
      </w:tr>
      <w:tr w:rsidR="009C1E24" w:rsidRPr="009C52C4" w14:paraId="31252501" w14:textId="77777777" w:rsidTr="000B57C1">
        <w:trPr>
          <w:trHeight w:val="495"/>
        </w:trPr>
        <w:tc>
          <w:tcPr>
            <w:tcW w:w="1266" w:type="pct"/>
            <w:vMerge/>
            <w:tcBorders>
              <w:top w:val="single" w:sz="8" w:space="0" w:color="auto"/>
              <w:left w:val="single" w:sz="8" w:space="0" w:color="auto"/>
              <w:bottom w:val="single" w:sz="8" w:space="0" w:color="000000"/>
              <w:right w:val="single" w:sz="8" w:space="0" w:color="auto"/>
            </w:tcBorders>
            <w:vAlign w:val="center"/>
            <w:hideMark/>
          </w:tcPr>
          <w:p w14:paraId="05E700AB" w14:textId="77777777" w:rsidR="003740FA" w:rsidRPr="009C52C4" w:rsidRDefault="003740FA" w:rsidP="003740FA">
            <w:pPr>
              <w:jc w:val="left"/>
              <w:rPr>
                <w:rFonts w:ascii="Times New Roman" w:eastAsia="Times New Roman" w:hAnsi="Times New Roman" w:cs="Times New Roman"/>
                <w:b/>
                <w:bCs/>
                <w:sz w:val="24"/>
                <w:szCs w:val="24"/>
              </w:rPr>
            </w:pPr>
          </w:p>
        </w:tc>
        <w:tc>
          <w:tcPr>
            <w:tcW w:w="316" w:type="pct"/>
            <w:tcBorders>
              <w:top w:val="nil"/>
              <w:left w:val="nil"/>
              <w:bottom w:val="single" w:sz="8" w:space="0" w:color="auto"/>
              <w:right w:val="single" w:sz="8" w:space="0" w:color="auto"/>
            </w:tcBorders>
            <w:shd w:val="clear" w:color="000000" w:fill="C4D79B"/>
            <w:vAlign w:val="center"/>
            <w:hideMark/>
          </w:tcPr>
          <w:p w14:paraId="0A115D6B"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do 1940.</w:t>
            </w:r>
          </w:p>
        </w:tc>
        <w:tc>
          <w:tcPr>
            <w:tcW w:w="263" w:type="pct"/>
            <w:tcBorders>
              <w:top w:val="nil"/>
              <w:left w:val="nil"/>
              <w:bottom w:val="single" w:sz="8" w:space="0" w:color="auto"/>
              <w:right w:val="single" w:sz="8" w:space="0" w:color="auto"/>
            </w:tcBorders>
            <w:shd w:val="clear" w:color="000000" w:fill="C4D79B"/>
            <w:vAlign w:val="center"/>
            <w:hideMark/>
          </w:tcPr>
          <w:p w14:paraId="57397550"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1941.-1970.</w:t>
            </w:r>
          </w:p>
        </w:tc>
        <w:tc>
          <w:tcPr>
            <w:tcW w:w="263" w:type="pct"/>
            <w:tcBorders>
              <w:top w:val="nil"/>
              <w:left w:val="nil"/>
              <w:bottom w:val="single" w:sz="8" w:space="0" w:color="auto"/>
              <w:right w:val="single" w:sz="8" w:space="0" w:color="auto"/>
            </w:tcBorders>
            <w:shd w:val="clear" w:color="000000" w:fill="C4D79B"/>
            <w:vAlign w:val="center"/>
            <w:hideMark/>
          </w:tcPr>
          <w:p w14:paraId="525654AE"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1971.-1980.</w:t>
            </w:r>
          </w:p>
        </w:tc>
        <w:tc>
          <w:tcPr>
            <w:tcW w:w="263" w:type="pct"/>
            <w:tcBorders>
              <w:top w:val="nil"/>
              <w:left w:val="nil"/>
              <w:bottom w:val="single" w:sz="8" w:space="0" w:color="auto"/>
              <w:right w:val="single" w:sz="8" w:space="0" w:color="auto"/>
            </w:tcBorders>
            <w:shd w:val="clear" w:color="000000" w:fill="C4D79B"/>
            <w:vAlign w:val="center"/>
            <w:hideMark/>
          </w:tcPr>
          <w:p w14:paraId="54FB7026"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1981.-1987.</w:t>
            </w:r>
          </w:p>
        </w:tc>
        <w:tc>
          <w:tcPr>
            <w:tcW w:w="263" w:type="pct"/>
            <w:tcBorders>
              <w:top w:val="nil"/>
              <w:left w:val="nil"/>
              <w:bottom w:val="single" w:sz="8" w:space="0" w:color="auto"/>
              <w:right w:val="single" w:sz="8" w:space="0" w:color="auto"/>
            </w:tcBorders>
            <w:shd w:val="clear" w:color="000000" w:fill="C4D79B"/>
            <w:vAlign w:val="center"/>
            <w:hideMark/>
          </w:tcPr>
          <w:p w14:paraId="4D0A52F2"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1988.-2005.</w:t>
            </w:r>
          </w:p>
        </w:tc>
        <w:tc>
          <w:tcPr>
            <w:tcW w:w="263" w:type="pct"/>
            <w:tcBorders>
              <w:top w:val="nil"/>
              <w:left w:val="nil"/>
              <w:bottom w:val="single" w:sz="8" w:space="0" w:color="auto"/>
              <w:right w:val="single" w:sz="8" w:space="0" w:color="auto"/>
            </w:tcBorders>
            <w:shd w:val="clear" w:color="000000" w:fill="C4D79B"/>
            <w:vAlign w:val="center"/>
            <w:hideMark/>
          </w:tcPr>
          <w:p w14:paraId="201CF265"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2006.-2009.</w:t>
            </w:r>
          </w:p>
        </w:tc>
        <w:tc>
          <w:tcPr>
            <w:tcW w:w="263" w:type="pct"/>
            <w:tcBorders>
              <w:top w:val="nil"/>
              <w:left w:val="nil"/>
              <w:bottom w:val="single" w:sz="8" w:space="0" w:color="auto"/>
              <w:right w:val="single" w:sz="12" w:space="0" w:color="auto"/>
            </w:tcBorders>
            <w:shd w:val="clear" w:color="000000" w:fill="C4D79B"/>
            <w:vAlign w:val="center"/>
            <w:hideMark/>
          </w:tcPr>
          <w:p w14:paraId="118BD66D"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2010.-2011.</w:t>
            </w:r>
          </w:p>
        </w:tc>
        <w:tc>
          <w:tcPr>
            <w:tcW w:w="263" w:type="pct"/>
            <w:tcBorders>
              <w:top w:val="nil"/>
              <w:left w:val="single" w:sz="12" w:space="0" w:color="auto"/>
              <w:bottom w:val="single" w:sz="8" w:space="0" w:color="auto"/>
              <w:right w:val="single" w:sz="8" w:space="0" w:color="auto"/>
            </w:tcBorders>
            <w:shd w:val="clear" w:color="000000" w:fill="C4D79B"/>
            <w:vAlign w:val="center"/>
            <w:hideMark/>
          </w:tcPr>
          <w:p w14:paraId="3CADBCE2"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do 1940.</w:t>
            </w:r>
          </w:p>
        </w:tc>
        <w:tc>
          <w:tcPr>
            <w:tcW w:w="263" w:type="pct"/>
            <w:tcBorders>
              <w:top w:val="nil"/>
              <w:left w:val="nil"/>
              <w:bottom w:val="single" w:sz="8" w:space="0" w:color="auto"/>
              <w:right w:val="single" w:sz="8" w:space="0" w:color="auto"/>
            </w:tcBorders>
            <w:shd w:val="clear" w:color="000000" w:fill="C4D79B"/>
            <w:vAlign w:val="center"/>
            <w:hideMark/>
          </w:tcPr>
          <w:p w14:paraId="70340729"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1941.-1970.</w:t>
            </w:r>
          </w:p>
        </w:tc>
        <w:tc>
          <w:tcPr>
            <w:tcW w:w="263" w:type="pct"/>
            <w:tcBorders>
              <w:top w:val="nil"/>
              <w:left w:val="nil"/>
              <w:bottom w:val="single" w:sz="8" w:space="0" w:color="auto"/>
              <w:right w:val="single" w:sz="8" w:space="0" w:color="auto"/>
            </w:tcBorders>
            <w:shd w:val="clear" w:color="000000" w:fill="C4D79B"/>
            <w:vAlign w:val="center"/>
            <w:hideMark/>
          </w:tcPr>
          <w:p w14:paraId="1703A0AA"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1971.-1980.</w:t>
            </w:r>
          </w:p>
        </w:tc>
        <w:tc>
          <w:tcPr>
            <w:tcW w:w="263" w:type="pct"/>
            <w:tcBorders>
              <w:top w:val="nil"/>
              <w:left w:val="nil"/>
              <w:bottom w:val="single" w:sz="8" w:space="0" w:color="auto"/>
              <w:right w:val="single" w:sz="8" w:space="0" w:color="auto"/>
            </w:tcBorders>
            <w:shd w:val="clear" w:color="000000" w:fill="C4D79B"/>
            <w:vAlign w:val="center"/>
            <w:hideMark/>
          </w:tcPr>
          <w:p w14:paraId="01375B79"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1981.-1987.</w:t>
            </w:r>
          </w:p>
        </w:tc>
        <w:tc>
          <w:tcPr>
            <w:tcW w:w="263" w:type="pct"/>
            <w:tcBorders>
              <w:top w:val="nil"/>
              <w:left w:val="nil"/>
              <w:bottom w:val="single" w:sz="8" w:space="0" w:color="auto"/>
              <w:right w:val="single" w:sz="8" w:space="0" w:color="auto"/>
            </w:tcBorders>
            <w:shd w:val="clear" w:color="000000" w:fill="C4D79B"/>
            <w:vAlign w:val="center"/>
            <w:hideMark/>
          </w:tcPr>
          <w:p w14:paraId="43BCEFE6"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1988.-2005.</w:t>
            </w:r>
          </w:p>
        </w:tc>
        <w:tc>
          <w:tcPr>
            <w:tcW w:w="263" w:type="pct"/>
            <w:tcBorders>
              <w:top w:val="nil"/>
              <w:left w:val="nil"/>
              <w:bottom w:val="single" w:sz="8" w:space="0" w:color="auto"/>
              <w:right w:val="single" w:sz="8" w:space="0" w:color="auto"/>
            </w:tcBorders>
            <w:shd w:val="clear" w:color="000000" w:fill="C4D79B"/>
            <w:vAlign w:val="center"/>
            <w:hideMark/>
          </w:tcPr>
          <w:p w14:paraId="424C1436"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2006.-2009.</w:t>
            </w:r>
          </w:p>
        </w:tc>
        <w:tc>
          <w:tcPr>
            <w:tcW w:w="262" w:type="pct"/>
            <w:tcBorders>
              <w:top w:val="nil"/>
              <w:left w:val="nil"/>
              <w:bottom w:val="single" w:sz="8" w:space="0" w:color="auto"/>
              <w:right w:val="single" w:sz="8" w:space="0" w:color="auto"/>
            </w:tcBorders>
            <w:shd w:val="clear" w:color="000000" w:fill="C4D79B"/>
            <w:vAlign w:val="center"/>
            <w:hideMark/>
          </w:tcPr>
          <w:p w14:paraId="7BB02FC2"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2010.-2011.</w:t>
            </w:r>
          </w:p>
        </w:tc>
      </w:tr>
      <w:tr w:rsidR="009C1E24" w:rsidRPr="009C52C4" w14:paraId="5A90E3B8" w14:textId="77777777" w:rsidTr="000B57C1">
        <w:trPr>
          <w:trHeight w:val="300"/>
        </w:trPr>
        <w:tc>
          <w:tcPr>
            <w:tcW w:w="1266" w:type="pct"/>
            <w:tcBorders>
              <w:top w:val="nil"/>
              <w:left w:val="single" w:sz="8" w:space="0" w:color="auto"/>
              <w:bottom w:val="single" w:sz="4" w:space="0" w:color="auto"/>
              <w:right w:val="single" w:sz="8" w:space="0" w:color="auto"/>
            </w:tcBorders>
            <w:shd w:val="clear" w:color="000000" w:fill="EBF1DE"/>
            <w:vAlign w:val="center"/>
            <w:hideMark/>
          </w:tcPr>
          <w:p w14:paraId="79097732"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Višestambene zgrade</w:t>
            </w:r>
          </w:p>
        </w:tc>
        <w:tc>
          <w:tcPr>
            <w:tcW w:w="316" w:type="pct"/>
            <w:tcBorders>
              <w:top w:val="nil"/>
              <w:left w:val="nil"/>
              <w:bottom w:val="single" w:sz="4" w:space="0" w:color="auto"/>
              <w:right w:val="single" w:sz="4" w:space="0" w:color="auto"/>
            </w:tcBorders>
            <w:shd w:val="clear" w:color="000000" w:fill="EBF1DE"/>
            <w:vAlign w:val="center"/>
            <w:hideMark/>
          </w:tcPr>
          <w:p w14:paraId="7B2E9F37" w14:textId="77777777" w:rsidR="003740FA" w:rsidRPr="009C52C4" w:rsidRDefault="003740FA" w:rsidP="00CC263E">
            <w:pPr>
              <w:jc w:val="cente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t>270</w:t>
            </w:r>
          </w:p>
        </w:tc>
        <w:tc>
          <w:tcPr>
            <w:tcW w:w="263" w:type="pct"/>
            <w:tcBorders>
              <w:top w:val="nil"/>
              <w:left w:val="nil"/>
              <w:bottom w:val="single" w:sz="4" w:space="0" w:color="auto"/>
              <w:right w:val="nil"/>
            </w:tcBorders>
            <w:shd w:val="clear" w:color="000000" w:fill="EBF1DE"/>
            <w:vAlign w:val="center"/>
            <w:hideMark/>
          </w:tcPr>
          <w:p w14:paraId="469EEA1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200</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5987E1A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190</w:t>
            </w:r>
          </w:p>
        </w:tc>
        <w:tc>
          <w:tcPr>
            <w:tcW w:w="263" w:type="pct"/>
            <w:tcBorders>
              <w:top w:val="nil"/>
              <w:left w:val="nil"/>
              <w:bottom w:val="single" w:sz="4" w:space="0" w:color="auto"/>
              <w:right w:val="single" w:sz="4" w:space="0" w:color="auto"/>
            </w:tcBorders>
            <w:shd w:val="clear" w:color="000000" w:fill="EBF1DE"/>
            <w:vAlign w:val="center"/>
            <w:hideMark/>
          </w:tcPr>
          <w:p w14:paraId="4CE8A75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180</w:t>
            </w:r>
          </w:p>
        </w:tc>
        <w:tc>
          <w:tcPr>
            <w:tcW w:w="263" w:type="pct"/>
            <w:tcBorders>
              <w:top w:val="nil"/>
              <w:left w:val="nil"/>
              <w:bottom w:val="single" w:sz="4" w:space="0" w:color="auto"/>
              <w:right w:val="single" w:sz="4" w:space="0" w:color="auto"/>
            </w:tcBorders>
            <w:shd w:val="clear" w:color="000000" w:fill="EBF1DE"/>
            <w:vAlign w:val="center"/>
            <w:hideMark/>
          </w:tcPr>
          <w:p w14:paraId="1467E4F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150</w:t>
            </w:r>
          </w:p>
        </w:tc>
        <w:tc>
          <w:tcPr>
            <w:tcW w:w="263" w:type="pct"/>
            <w:tcBorders>
              <w:top w:val="nil"/>
              <w:left w:val="nil"/>
              <w:bottom w:val="single" w:sz="4" w:space="0" w:color="auto"/>
              <w:right w:val="single" w:sz="4" w:space="0" w:color="auto"/>
            </w:tcBorders>
            <w:shd w:val="clear" w:color="000000" w:fill="EBF1DE"/>
            <w:vAlign w:val="center"/>
            <w:hideMark/>
          </w:tcPr>
          <w:p w14:paraId="70C7619E"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90</w:t>
            </w:r>
          </w:p>
        </w:tc>
        <w:tc>
          <w:tcPr>
            <w:tcW w:w="263" w:type="pct"/>
            <w:tcBorders>
              <w:top w:val="nil"/>
              <w:left w:val="nil"/>
              <w:bottom w:val="single" w:sz="4" w:space="0" w:color="auto"/>
              <w:right w:val="single" w:sz="12" w:space="0" w:color="auto"/>
            </w:tcBorders>
            <w:shd w:val="clear" w:color="000000" w:fill="EBF1DE"/>
            <w:vAlign w:val="center"/>
            <w:hideMark/>
          </w:tcPr>
          <w:p w14:paraId="2BF8E9B4"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70</w:t>
            </w:r>
          </w:p>
        </w:tc>
        <w:tc>
          <w:tcPr>
            <w:tcW w:w="263" w:type="pct"/>
            <w:tcBorders>
              <w:top w:val="nil"/>
              <w:left w:val="single" w:sz="12" w:space="0" w:color="auto"/>
              <w:bottom w:val="single" w:sz="4" w:space="0" w:color="auto"/>
              <w:right w:val="single" w:sz="4" w:space="0" w:color="auto"/>
            </w:tcBorders>
            <w:shd w:val="clear" w:color="000000" w:fill="EBF1DE"/>
            <w:vAlign w:val="center"/>
            <w:hideMark/>
          </w:tcPr>
          <w:p w14:paraId="072A693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122</w:t>
            </w:r>
          </w:p>
        </w:tc>
        <w:tc>
          <w:tcPr>
            <w:tcW w:w="263" w:type="pct"/>
            <w:tcBorders>
              <w:top w:val="nil"/>
              <w:left w:val="nil"/>
              <w:bottom w:val="single" w:sz="4" w:space="0" w:color="auto"/>
              <w:right w:val="nil"/>
            </w:tcBorders>
            <w:shd w:val="clear" w:color="000000" w:fill="EBF1DE"/>
            <w:vAlign w:val="center"/>
            <w:hideMark/>
          </w:tcPr>
          <w:p w14:paraId="01145AF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90</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04F2C81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86</w:t>
            </w:r>
          </w:p>
        </w:tc>
        <w:tc>
          <w:tcPr>
            <w:tcW w:w="263" w:type="pct"/>
            <w:tcBorders>
              <w:top w:val="nil"/>
              <w:left w:val="nil"/>
              <w:bottom w:val="single" w:sz="4" w:space="0" w:color="auto"/>
              <w:right w:val="single" w:sz="4" w:space="0" w:color="auto"/>
            </w:tcBorders>
            <w:shd w:val="clear" w:color="000000" w:fill="EBF1DE"/>
            <w:vAlign w:val="center"/>
            <w:hideMark/>
          </w:tcPr>
          <w:p w14:paraId="70F20433"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81</w:t>
            </w:r>
          </w:p>
        </w:tc>
        <w:tc>
          <w:tcPr>
            <w:tcW w:w="263" w:type="pct"/>
            <w:tcBorders>
              <w:top w:val="nil"/>
              <w:left w:val="nil"/>
              <w:bottom w:val="single" w:sz="4" w:space="0" w:color="auto"/>
              <w:right w:val="single" w:sz="4" w:space="0" w:color="auto"/>
            </w:tcBorders>
            <w:shd w:val="clear" w:color="000000" w:fill="EBF1DE"/>
            <w:vAlign w:val="center"/>
            <w:hideMark/>
          </w:tcPr>
          <w:p w14:paraId="0F97FD9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68</w:t>
            </w:r>
          </w:p>
        </w:tc>
        <w:tc>
          <w:tcPr>
            <w:tcW w:w="263" w:type="pct"/>
            <w:tcBorders>
              <w:top w:val="nil"/>
              <w:left w:val="nil"/>
              <w:bottom w:val="single" w:sz="4" w:space="0" w:color="auto"/>
              <w:right w:val="single" w:sz="4" w:space="0" w:color="auto"/>
            </w:tcBorders>
            <w:shd w:val="clear" w:color="000000" w:fill="EBF1DE"/>
            <w:vAlign w:val="center"/>
            <w:hideMark/>
          </w:tcPr>
          <w:p w14:paraId="54E7609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41</w:t>
            </w:r>
          </w:p>
        </w:tc>
        <w:tc>
          <w:tcPr>
            <w:tcW w:w="262" w:type="pct"/>
            <w:tcBorders>
              <w:top w:val="nil"/>
              <w:left w:val="nil"/>
              <w:bottom w:val="single" w:sz="4" w:space="0" w:color="auto"/>
              <w:right w:val="single" w:sz="8" w:space="0" w:color="auto"/>
            </w:tcBorders>
            <w:shd w:val="clear" w:color="000000" w:fill="EBF1DE"/>
            <w:vAlign w:val="center"/>
            <w:hideMark/>
          </w:tcPr>
          <w:p w14:paraId="4B71748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32</w:t>
            </w:r>
          </w:p>
        </w:tc>
      </w:tr>
      <w:tr w:rsidR="009C1E24" w:rsidRPr="009C52C4" w14:paraId="52CED4ED" w14:textId="77777777" w:rsidTr="000B57C1">
        <w:trPr>
          <w:trHeight w:val="300"/>
        </w:trPr>
        <w:tc>
          <w:tcPr>
            <w:tcW w:w="1266" w:type="pct"/>
            <w:tcBorders>
              <w:top w:val="nil"/>
              <w:left w:val="single" w:sz="8" w:space="0" w:color="auto"/>
              <w:bottom w:val="single" w:sz="4" w:space="0" w:color="auto"/>
              <w:right w:val="single" w:sz="8" w:space="0" w:color="auto"/>
            </w:tcBorders>
            <w:shd w:val="clear" w:color="000000" w:fill="EBF1DE"/>
            <w:vAlign w:val="center"/>
            <w:hideMark/>
          </w:tcPr>
          <w:p w14:paraId="037CE0EA"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Obiteljske kuće</w:t>
            </w:r>
          </w:p>
        </w:tc>
        <w:tc>
          <w:tcPr>
            <w:tcW w:w="316" w:type="pct"/>
            <w:tcBorders>
              <w:top w:val="nil"/>
              <w:left w:val="nil"/>
              <w:bottom w:val="single" w:sz="4" w:space="0" w:color="auto"/>
              <w:right w:val="single" w:sz="4" w:space="0" w:color="auto"/>
            </w:tcBorders>
            <w:shd w:val="clear" w:color="000000" w:fill="EBF1DE"/>
            <w:vAlign w:val="center"/>
            <w:hideMark/>
          </w:tcPr>
          <w:p w14:paraId="68CD270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300</w:t>
            </w:r>
          </w:p>
        </w:tc>
        <w:tc>
          <w:tcPr>
            <w:tcW w:w="263" w:type="pct"/>
            <w:tcBorders>
              <w:top w:val="nil"/>
              <w:left w:val="nil"/>
              <w:bottom w:val="single" w:sz="4" w:space="0" w:color="auto"/>
              <w:right w:val="nil"/>
            </w:tcBorders>
            <w:shd w:val="clear" w:color="000000" w:fill="EBF1DE"/>
            <w:vAlign w:val="center"/>
            <w:hideMark/>
          </w:tcPr>
          <w:p w14:paraId="215F3653"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320</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5CB3CE84"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304</w:t>
            </w:r>
          </w:p>
        </w:tc>
        <w:tc>
          <w:tcPr>
            <w:tcW w:w="263" w:type="pct"/>
            <w:tcBorders>
              <w:top w:val="nil"/>
              <w:left w:val="nil"/>
              <w:bottom w:val="single" w:sz="4" w:space="0" w:color="auto"/>
              <w:right w:val="single" w:sz="4" w:space="0" w:color="auto"/>
            </w:tcBorders>
            <w:shd w:val="clear" w:color="000000" w:fill="EBF1DE"/>
            <w:vAlign w:val="center"/>
            <w:hideMark/>
          </w:tcPr>
          <w:p w14:paraId="790678E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288</w:t>
            </w:r>
          </w:p>
        </w:tc>
        <w:tc>
          <w:tcPr>
            <w:tcW w:w="263" w:type="pct"/>
            <w:tcBorders>
              <w:top w:val="nil"/>
              <w:left w:val="nil"/>
              <w:bottom w:val="single" w:sz="4" w:space="0" w:color="auto"/>
              <w:right w:val="single" w:sz="4" w:space="0" w:color="auto"/>
            </w:tcBorders>
            <w:shd w:val="clear" w:color="000000" w:fill="EBF1DE"/>
            <w:vAlign w:val="center"/>
            <w:hideMark/>
          </w:tcPr>
          <w:p w14:paraId="0859967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240</w:t>
            </w:r>
          </w:p>
        </w:tc>
        <w:tc>
          <w:tcPr>
            <w:tcW w:w="263" w:type="pct"/>
            <w:tcBorders>
              <w:top w:val="nil"/>
              <w:left w:val="nil"/>
              <w:bottom w:val="single" w:sz="4" w:space="0" w:color="auto"/>
              <w:right w:val="single" w:sz="4" w:space="0" w:color="auto"/>
            </w:tcBorders>
            <w:shd w:val="clear" w:color="000000" w:fill="EBF1DE"/>
            <w:vAlign w:val="center"/>
            <w:hideMark/>
          </w:tcPr>
          <w:p w14:paraId="6FEEAEB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144</w:t>
            </w:r>
          </w:p>
        </w:tc>
        <w:tc>
          <w:tcPr>
            <w:tcW w:w="263" w:type="pct"/>
            <w:tcBorders>
              <w:top w:val="nil"/>
              <w:left w:val="nil"/>
              <w:bottom w:val="single" w:sz="4" w:space="0" w:color="auto"/>
              <w:right w:val="single" w:sz="12" w:space="0" w:color="auto"/>
            </w:tcBorders>
            <w:shd w:val="clear" w:color="000000" w:fill="EBF1DE"/>
            <w:vAlign w:val="center"/>
            <w:hideMark/>
          </w:tcPr>
          <w:p w14:paraId="32B0BD7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112</w:t>
            </w:r>
          </w:p>
        </w:tc>
        <w:tc>
          <w:tcPr>
            <w:tcW w:w="263" w:type="pct"/>
            <w:tcBorders>
              <w:top w:val="nil"/>
              <w:left w:val="single" w:sz="12" w:space="0" w:color="auto"/>
              <w:bottom w:val="single" w:sz="4" w:space="0" w:color="auto"/>
              <w:right w:val="single" w:sz="4" w:space="0" w:color="auto"/>
            </w:tcBorders>
            <w:shd w:val="clear" w:color="000000" w:fill="EBF1DE"/>
            <w:vAlign w:val="center"/>
            <w:hideMark/>
          </w:tcPr>
          <w:p w14:paraId="4161D0D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141</w:t>
            </w:r>
          </w:p>
        </w:tc>
        <w:tc>
          <w:tcPr>
            <w:tcW w:w="263" w:type="pct"/>
            <w:tcBorders>
              <w:top w:val="nil"/>
              <w:left w:val="nil"/>
              <w:bottom w:val="single" w:sz="4" w:space="0" w:color="auto"/>
              <w:right w:val="nil"/>
            </w:tcBorders>
            <w:shd w:val="clear" w:color="000000" w:fill="EBF1DE"/>
            <w:vAlign w:val="center"/>
            <w:hideMark/>
          </w:tcPr>
          <w:p w14:paraId="60962BBC"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150</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7C18C4C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143</w:t>
            </w:r>
          </w:p>
        </w:tc>
        <w:tc>
          <w:tcPr>
            <w:tcW w:w="263" w:type="pct"/>
            <w:tcBorders>
              <w:top w:val="nil"/>
              <w:left w:val="nil"/>
              <w:bottom w:val="single" w:sz="4" w:space="0" w:color="auto"/>
              <w:right w:val="single" w:sz="4" w:space="0" w:color="auto"/>
            </w:tcBorders>
            <w:shd w:val="clear" w:color="000000" w:fill="EBF1DE"/>
            <w:vAlign w:val="center"/>
            <w:hideMark/>
          </w:tcPr>
          <w:p w14:paraId="5D410AC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135</w:t>
            </w:r>
          </w:p>
        </w:tc>
        <w:tc>
          <w:tcPr>
            <w:tcW w:w="263" w:type="pct"/>
            <w:tcBorders>
              <w:top w:val="nil"/>
              <w:left w:val="nil"/>
              <w:bottom w:val="single" w:sz="4" w:space="0" w:color="auto"/>
              <w:right w:val="single" w:sz="4" w:space="0" w:color="auto"/>
            </w:tcBorders>
            <w:shd w:val="clear" w:color="000000" w:fill="EBF1DE"/>
            <w:vAlign w:val="center"/>
            <w:hideMark/>
          </w:tcPr>
          <w:p w14:paraId="23489A3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113</w:t>
            </w:r>
          </w:p>
        </w:tc>
        <w:tc>
          <w:tcPr>
            <w:tcW w:w="263" w:type="pct"/>
            <w:tcBorders>
              <w:top w:val="nil"/>
              <w:left w:val="nil"/>
              <w:bottom w:val="single" w:sz="4" w:space="0" w:color="auto"/>
              <w:right w:val="single" w:sz="4" w:space="0" w:color="auto"/>
            </w:tcBorders>
            <w:shd w:val="clear" w:color="000000" w:fill="EBF1DE"/>
            <w:vAlign w:val="center"/>
            <w:hideMark/>
          </w:tcPr>
          <w:p w14:paraId="335102D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68</w:t>
            </w:r>
          </w:p>
        </w:tc>
        <w:tc>
          <w:tcPr>
            <w:tcW w:w="262" w:type="pct"/>
            <w:tcBorders>
              <w:top w:val="nil"/>
              <w:left w:val="nil"/>
              <w:bottom w:val="single" w:sz="4" w:space="0" w:color="auto"/>
              <w:right w:val="single" w:sz="8" w:space="0" w:color="auto"/>
            </w:tcBorders>
            <w:shd w:val="clear" w:color="000000" w:fill="EBF1DE"/>
            <w:vAlign w:val="center"/>
            <w:hideMark/>
          </w:tcPr>
          <w:p w14:paraId="45E73AFD"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53</w:t>
            </w:r>
          </w:p>
        </w:tc>
      </w:tr>
      <w:tr w:rsidR="009C1E24" w:rsidRPr="009C52C4" w14:paraId="51CDF5F5" w14:textId="77777777" w:rsidTr="000B57C1">
        <w:trPr>
          <w:trHeight w:val="312"/>
        </w:trPr>
        <w:tc>
          <w:tcPr>
            <w:tcW w:w="1266" w:type="pct"/>
            <w:tcBorders>
              <w:top w:val="nil"/>
              <w:left w:val="single" w:sz="8" w:space="0" w:color="auto"/>
              <w:bottom w:val="single" w:sz="4" w:space="0" w:color="auto"/>
              <w:right w:val="single" w:sz="8" w:space="0" w:color="auto"/>
            </w:tcBorders>
            <w:shd w:val="clear" w:color="000000" w:fill="EBF1DE"/>
            <w:vAlign w:val="center"/>
            <w:hideMark/>
          </w:tcPr>
          <w:p w14:paraId="63CB59D8"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Nestambene zgrade javne namjene</w:t>
            </w:r>
          </w:p>
        </w:tc>
        <w:tc>
          <w:tcPr>
            <w:tcW w:w="316" w:type="pct"/>
            <w:tcBorders>
              <w:top w:val="nil"/>
              <w:left w:val="nil"/>
              <w:bottom w:val="single" w:sz="4" w:space="0" w:color="auto"/>
              <w:right w:val="single" w:sz="4" w:space="0" w:color="auto"/>
            </w:tcBorders>
            <w:shd w:val="clear" w:color="000000" w:fill="EBF1DE"/>
            <w:vAlign w:val="center"/>
            <w:hideMark/>
          </w:tcPr>
          <w:p w14:paraId="0B4293D4"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w:t>
            </w:r>
            <w:r w:rsidR="001A4989" w:rsidRPr="009C52C4">
              <w:rPr>
                <w:rFonts w:ascii="Times New Roman" w:eastAsia="Times New Roman" w:hAnsi="Times New Roman" w:cs="Times New Roman"/>
                <w:sz w:val="24"/>
                <w:szCs w:val="24"/>
              </w:rPr>
              <w:t>90</w:t>
            </w:r>
          </w:p>
        </w:tc>
        <w:tc>
          <w:tcPr>
            <w:tcW w:w="263" w:type="pct"/>
            <w:tcBorders>
              <w:top w:val="nil"/>
              <w:left w:val="nil"/>
              <w:bottom w:val="single" w:sz="4" w:space="0" w:color="auto"/>
              <w:right w:val="single" w:sz="4" w:space="0" w:color="auto"/>
            </w:tcBorders>
            <w:shd w:val="clear" w:color="000000" w:fill="EBF1DE"/>
            <w:vAlign w:val="center"/>
            <w:hideMark/>
          </w:tcPr>
          <w:p w14:paraId="142DF61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w:t>
            </w:r>
            <w:r w:rsidR="001A4989" w:rsidRPr="009C52C4">
              <w:rPr>
                <w:rFonts w:ascii="Times New Roman" w:eastAsia="Times New Roman" w:hAnsi="Times New Roman" w:cs="Times New Roman"/>
                <w:sz w:val="24"/>
                <w:szCs w:val="24"/>
              </w:rPr>
              <w:t>47</w:t>
            </w:r>
          </w:p>
        </w:tc>
        <w:tc>
          <w:tcPr>
            <w:tcW w:w="263" w:type="pct"/>
            <w:tcBorders>
              <w:top w:val="nil"/>
              <w:left w:val="nil"/>
              <w:bottom w:val="single" w:sz="4" w:space="0" w:color="auto"/>
              <w:right w:val="single" w:sz="4" w:space="0" w:color="auto"/>
            </w:tcBorders>
            <w:shd w:val="clear" w:color="000000" w:fill="EBF1DE"/>
            <w:vAlign w:val="center"/>
            <w:hideMark/>
          </w:tcPr>
          <w:p w14:paraId="4247CF64"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w:t>
            </w:r>
            <w:r w:rsidR="001A4989" w:rsidRPr="009C52C4">
              <w:rPr>
                <w:rFonts w:ascii="Times New Roman" w:eastAsia="Times New Roman" w:hAnsi="Times New Roman" w:cs="Times New Roman"/>
                <w:sz w:val="24"/>
                <w:szCs w:val="24"/>
              </w:rPr>
              <w:t>7</w:t>
            </w:r>
            <w:r w:rsidRPr="009C52C4">
              <w:rPr>
                <w:rFonts w:ascii="Times New Roman" w:eastAsia="Times New Roman" w:hAnsi="Times New Roman" w:cs="Times New Roman"/>
                <w:sz w:val="24"/>
                <w:szCs w:val="24"/>
              </w:rPr>
              <w:t>1</w:t>
            </w:r>
          </w:p>
        </w:tc>
        <w:tc>
          <w:tcPr>
            <w:tcW w:w="263" w:type="pct"/>
            <w:tcBorders>
              <w:top w:val="nil"/>
              <w:left w:val="nil"/>
              <w:bottom w:val="single" w:sz="4" w:space="0" w:color="auto"/>
              <w:right w:val="single" w:sz="4" w:space="0" w:color="auto"/>
            </w:tcBorders>
            <w:shd w:val="clear" w:color="000000" w:fill="EBF1DE"/>
            <w:vAlign w:val="center"/>
            <w:hideMark/>
          </w:tcPr>
          <w:p w14:paraId="57EBF7C8"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w:t>
            </w:r>
            <w:r w:rsidR="001A4989" w:rsidRPr="009C52C4">
              <w:rPr>
                <w:rFonts w:ascii="Times New Roman" w:eastAsia="Times New Roman" w:hAnsi="Times New Roman" w:cs="Times New Roman"/>
                <w:sz w:val="24"/>
                <w:szCs w:val="24"/>
              </w:rPr>
              <w:t>69</w:t>
            </w:r>
          </w:p>
        </w:tc>
        <w:tc>
          <w:tcPr>
            <w:tcW w:w="263" w:type="pct"/>
            <w:tcBorders>
              <w:top w:val="nil"/>
              <w:left w:val="nil"/>
              <w:bottom w:val="single" w:sz="4" w:space="0" w:color="auto"/>
              <w:right w:val="single" w:sz="4" w:space="0" w:color="auto"/>
            </w:tcBorders>
            <w:shd w:val="clear" w:color="000000" w:fill="EBF1DE"/>
            <w:vAlign w:val="center"/>
            <w:hideMark/>
          </w:tcPr>
          <w:p w14:paraId="128DA64D"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w:t>
            </w:r>
            <w:r w:rsidR="001A4989" w:rsidRPr="009C52C4">
              <w:rPr>
                <w:rFonts w:ascii="Times New Roman" w:eastAsia="Times New Roman" w:hAnsi="Times New Roman" w:cs="Times New Roman"/>
                <w:sz w:val="24"/>
                <w:szCs w:val="24"/>
              </w:rPr>
              <w:t>25</w:t>
            </w:r>
          </w:p>
        </w:tc>
        <w:tc>
          <w:tcPr>
            <w:tcW w:w="263" w:type="pct"/>
            <w:tcBorders>
              <w:top w:val="nil"/>
              <w:left w:val="nil"/>
              <w:bottom w:val="single" w:sz="4" w:space="0" w:color="auto"/>
              <w:right w:val="single" w:sz="4" w:space="0" w:color="auto"/>
            </w:tcBorders>
            <w:shd w:val="clear" w:color="000000" w:fill="EBF1DE"/>
            <w:vAlign w:val="center"/>
            <w:hideMark/>
          </w:tcPr>
          <w:p w14:paraId="5F318800"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102</w:t>
            </w:r>
          </w:p>
        </w:tc>
        <w:tc>
          <w:tcPr>
            <w:tcW w:w="263" w:type="pct"/>
            <w:tcBorders>
              <w:top w:val="nil"/>
              <w:left w:val="nil"/>
              <w:bottom w:val="single" w:sz="4" w:space="0" w:color="auto"/>
              <w:right w:val="single" w:sz="12" w:space="0" w:color="auto"/>
            </w:tcBorders>
            <w:shd w:val="clear" w:color="000000" w:fill="EBF1DE"/>
            <w:vAlign w:val="center"/>
            <w:hideMark/>
          </w:tcPr>
          <w:p w14:paraId="0A3B5267"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62</w:t>
            </w:r>
          </w:p>
        </w:tc>
        <w:tc>
          <w:tcPr>
            <w:tcW w:w="263" w:type="pct"/>
            <w:tcBorders>
              <w:top w:val="nil"/>
              <w:left w:val="single" w:sz="12" w:space="0" w:color="auto"/>
              <w:bottom w:val="single" w:sz="4" w:space="0" w:color="auto"/>
              <w:right w:val="single" w:sz="4" w:space="0" w:color="auto"/>
            </w:tcBorders>
            <w:shd w:val="clear" w:color="000000" w:fill="EBF1DE"/>
            <w:vAlign w:val="center"/>
            <w:hideMark/>
          </w:tcPr>
          <w:p w14:paraId="20D4EA33"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9</w:t>
            </w:r>
            <w:r w:rsidR="001A4989" w:rsidRPr="009C52C4">
              <w:rPr>
                <w:rFonts w:ascii="Times New Roman" w:eastAsia="Times New Roman" w:hAnsi="Times New Roman" w:cs="Times New Roman"/>
                <w:sz w:val="24"/>
                <w:szCs w:val="24"/>
              </w:rPr>
              <w:t>5</w:t>
            </w:r>
          </w:p>
        </w:tc>
        <w:tc>
          <w:tcPr>
            <w:tcW w:w="263" w:type="pct"/>
            <w:tcBorders>
              <w:top w:val="nil"/>
              <w:left w:val="nil"/>
              <w:bottom w:val="single" w:sz="4" w:space="0" w:color="auto"/>
              <w:right w:val="single" w:sz="4" w:space="0" w:color="auto"/>
            </w:tcBorders>
            <w:shd w:val="clear" w:color="000000" w:fill="EBF1DE"/>
            <w:vAlign w:val="center"/>
            <w:hideMark/>
          </w:tcPr>
          <w:p w14:paraId="23296385"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125</w:t>
            </w:r>
          </w:p>
        </w:tc>
        <w:tc>
          <w:tcPr>
            <w:tcW w:w="263" w:type="pct"/>
            <w:tcBorders>
              <w:top w:val="nil"/>
              <w:left w:val="nil"/>
              <w:bottom w:val="single" w:sz="4" w:space="0" w:color="auto"/>
              <w:right w:val="single" w:sz="4" w:space="0" w:color="auto"/>
            </w:tcBorders>
            <w:shd w:val="clear" w:color="000000" w:fill="EBF1DE"/>
            <w:vAlign w:val="center"/>
            <w:hideMark/>
          </w:tcPr>
          <w:p w14:paraId="05DBB99D"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135</w:t>
            </w:r>
          </w:p>
        </w:tc>
        <w:tc>
          <w:tcPr>
            <w:tcW w:w="263" w:type="pct"/>
            <w:tcBorders>
              <w:top w:val="nil"/>
              <w:left w:val="nil"/>
              <w:bottom w:val="single" w:sz="4" w:space="0" w:color="auto"/>
              <w:right w:val="single" w:sz="4" w:space="0" w:color="auto"/>
            </w:tcBorders>
            <w:shd w:val="clear" w:color="000000" w:fill="EBF1DE"/>
            <w:vAlign w:val="center"/>
            <w:hideMark/>
          </w:tcPr>
          <w:p w14:paraId="596C7CC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8</w:t>
            </w:r>
            <w:r w:rsidR="001A4989" w:rsidRPr="009C52C4">
              <w:rPr>
                <w:rFonts w:ascii="Times New Roman" w:eastAsia="Times New Roman" w:hAnsi="Times New Roman" w:cs="Times New Roman"/>
                <w:sz w:val="24"/>
                <w:szCs w:val="24"/>
              </w:rPr>
              <w:t>7</w:t>
            </w:r>
          </w:p>
        </w:tc>
        <w:tc>
          <w:tcPr>
            <w:tcW w:w="263" w:type="pct"/>
            <w:tcBorders>
              <w:top w:val="nil"/>
              <w:left w:val="nil"/>
              <w:bottom w:val="single" w:sz="4" w:space="0" w:color="auto"/>
              <w:right w:val="single" w:sz="4" w:space="0" w:color="auto"/>
            </w:tcBorders>
            <w:shd w:val="clear" w:color="000000" w:fill="EBF1DE"/>
            <w:vAlign w:val="center"/>
            <w:hideMark/>
          </w:tcPr>
          <w:p w14:paraId="31FB8F5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7</w:t>
            </w:r>
            <w:r w:rsidR="001A4989" w:rsidRPr="009C52C4">
              <w:rPr>
                <w:rFonts w:ascii="Times New Roman" w:eastAsia="Times New Roman" w:hAnsi="Times New Roman" w:cs="Times New Roman"/>
                <w:sz w:val="24"/>
                <w:szCs w:val="24"/>
              </w:rPr>
              <w:t>9</w:t>
            </w:r>
          </w:p>
        </w:tc>
        <w:tc>
          <w:tcPr>
            <w:tcW w:w="263" w:type="pct"/>
            <w:tcBorders>
              <w:top w:val="nil"/>
              <w:left w:val="nil"/>
              <w:bottom w:val="single" w:sz="4" w:space="0" w:color="auto"/>
              <w:right w:val="single" w:sz="4" w:space="0" w:color="auto"/>
            </w:tcBorders>
            <w:shd w:val="clear" w:color="000000" w:fill="EBF1DE"/>
            <w:vAlign w:val="center"/>
            <w:hideMark/>
          </w:tcPr>
          <w:p w14:paraId="1AB8086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6</w:t>
            </w:r>
            <w:r w:rsidR="001A4989" w:rsidRPr="009C52C4">
              <w:rPr>
                <w:rFonts w:ascii="Times New Roman" w:eastAsia="Times New Roman" w:hAnsi="Times New Roman" w:cs="Times New Roman"/>
                <w:sz w:val="24"/>
                <w:szCs w:val="24"/>
              </w:rPr>
              <w:t>5</w:t>
            </w:r>
          </w:p>
        </w:tc>
        <w:tc>
          <w:tcPr>
            <w:tcW w:w="262" w:type="pct"/>
            <w:tcBorders>
              <w:top w:val="nil"/>
              <w:left w:val="nil"/>
              <w:bottom w:val="single" w:sz="4" w:space="0" w:color="auto"/>
              <w:right w:val="single" w:sz="8" w:space="0" w:color="auto"/>
            </w:tcBorders>
            <w:shd w:val="clear" w:color="000000" w:fill="EBF1DE"/>
            <w:vAlign w:val="center"/>
            <w:hideMark/>
          </w:tcPr>
          <w:p w14:paraId="2126350D"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32</w:t>
            </w:r>
          </w:p>
        </w:tc>
      </w:tr>
      <w:tr w:rsidR="009C1E24" w:rsidRPr="009C52C4" w14:paraId="6D6CBD64" w14:textId="77777777" w:rsidTr="000B57C1">
        <w:trPr>
          <w:trHeight w:val="288"/>
        </w:trPr>
        <w:tc>
          <w:tcPr>
            <w:tcW w:w="1266" w:type="pct"/>
            <w:tcBorders>
              <w:top w:val="nil"/>
              <w:left w:val="single" w:sz="8" w:space="0" w:color="auto"/>
              <w:bottom w:val="single" w:sz="8" w:space="0" w:color="auto"/>
              <w:right w:val="single" w:sz="8" w:space="0" w:color="auto"/>
            </w:tcBorders>
            <w:shd w:val="clear" w:color="000000" w:fill="EBF1DE"/>
            <w:vAlign w:val="center"/>
            <w:hideMark/>
          </w:tcPr>
          <w:p w14:paraId="6561A7B8"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Nestambene zgrade komercijalne namjene</w:t>
            </w:r>
          </w:p>
        </w:tc>
        <w:tc>
          <w:tcPr>
            <w:tcW w:w="316" w:type="pct"/>
            <w:tcBorders>
              <w:top w:val="nil"/>
              <w:left w:val="nil"/>
              <w:bottom w:val="single" w:sz="8" w:space="0" w:color="auto"/>
              <w:right w:val="single" w:sz="4" w:space="0" w:color="auto"/>
            </w:tcBorders>
            <w:shd w:val="clear" w:color="000000" w:fill="EBF1DE"/>
            <w:vAlign w:val="center"/>
            <w:hideMark/>
          </w:tcPr>
          <w:p w14:paraId="6E6C3760"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229</w:t>
            </w:r>
          </w:p>
        </w:tc>
        <w:tc>
          <w:tcPr>
            <w:tcW w:w="263" w:type="pct"/>
            <w:tcBorders>
              <w:top w:val="nil"/>
              <w:left w:val="nil"/>
              <w:bottom w:val="single" w:sz="8" w:space="0" w:color="auto"/>
              <w:right w:val="single" w:sz="4" w:space="0" w:color="auto"/>
            </w:tcBorders>
            <w:shd w:val="clear" w:color="000000" w:fill="EBF1DE"/>
            <w:vAlign w:val="center"/>
            <w:hideMark/>
          </w:tcPr>
          <w:p w14:paraId="48954F8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298</w:t>
            </w:r>
          </w:p>
        </w:tc>
        <w:tc>
          <w:tcPr>
            <w:tcW w:w="263" w:type="pct"/>
            <w:tcBorders>
              <w:top w:val="nil"/>
              <w:left w:val="nil"/>
              <w:bottom w:val="single" w:sz="8" w:space="0" w:color="auto"/>
              <w:right w:val="single" w:sz="4" w:space="0" w:color="auto"/>
            </w:tcBorders>
            <w:shd w:val="clear" w:color="000000" w:fill="EBF1DE"/>
            <w:vAlign w:val="center"/>
            <w:hideMark/>
          </w:tcPr>
          <w:p w14:paraId="2319501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326</w:t>
            </w:r>
          </w:p>
        </w:tc>
        <w:tc>
          <w:tcPr>
            <w:tcW w:w="263" w:type="pct"/>
            <w:tcBorders>
              <w:top w:val="nil"/>
              <w:left w:val="nil"/>
              <w:bottom w:val="single" w:sz="8" w:space="0" w:color="auto"/>
              <w:right w:val="single" w:sz="4" w:space="0" w:color="auto"/>
            </w:tcBorders>
            <w:shd w:val="clear" w:color="000000" w:fill="EBF1DE"/>
            <w:vAlign w:val="center"/>
            <w:hideMark/>
          </w:tcPr>
          <w:p w14:paraId="1D22CFA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204</w:t>
            </w:r>
          </w:p>
        </w:tc>
        <w:tc>
          <w:tcPr>
            <w:tcW w:w="263" w:type="pct"/>
            <w:tcBorders>
              <w:top w:val="nil"/>
              <w:left w:val="nil"/>
              <w:bottom w:val="single" w:sz="8" w:space="0" w:color="auto"/>
              <w:right w:val="single" w:sz="4" w:space="0" w:color="auto"/>
            </w:tcBorders>
            <w:shd w:val="clear" w:color="000000" w:fill="EBF1DE"/>
            <w:vAlign w:val="center"/>
            <w:hideMark/>
          </w:tcPr>
          <w:p w14:paraId="5B85548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150</w:t>
            </w:r>
          </w:p>
        </w:tc>
        <w:tc>
          <w:tcPr>
            <w:tcW w:w="263" w:type="pct"/>
            <w:tcBorders>
              <w:top w:val="nil"/>
              <w:left w:val="nil"/>
              <w:bottom w:val="single" w:sz="8" w:space="0" w:color="auto"/>
              <w:right w:val="single" w:sz="4" w:space="0" w:color="auto"/>
            </w:tcBorders>
            <w:shd w:val="clear" w:color="000000" w:fill="EBF1DE"/>
            <w:vAlign w:val="center"/>
            <w:hideMark/>
          </w:tcPr>
          <w:p w14:paraId="250943A5"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123</w:t>
            </w:r>
          </w:p>
        </w:tc>
        <w:tc>
          <w:tcPr>
            <w:tcW w:w="263" w:type="pct"/>
            <w:tcBorders>
              <w:top w:val="nil"/>
              <w:left w:val="nil"/>
              <w:bottom w:val="single" w:sz="8" w:space="0" w:color="auto"/>
              <w:right w:val="single" w:sz="12" w:space="0" w:color="auto"/>
            </w:tcBorders>
            <w:shd w:val="clear" w:color="000000" w:fill="EBF1DE"/>
            <w:vAlign w:val="center"/>
            <w:hideMark/>
          </w:tcPr>
          <w:p w14:paraId="6F74E10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75</w:t>
            </w:r>
          </w:p>
        </w:tc>
        <w:tc>
          <w:tcPr>
            <w:tcW w:w="263" w:type="pct"/>
            <w:tcBorders>
              <w:top w:val="nil"/>
              <w:left w:val="single" w:sz="12" w:space="0" w:color="auto"/>
              <w:bottom w:val="single" w:sz="8" w:space="0" w:color="auto"/>
              <w:right w:val="single" w:sz="4" w:space="0" w:color="auto"/>
            </w:tcBorders>
            <w:shd w:val="clear" w:color="000000" w:fill="EBF1DE"/>
            <w:vAlign w:val="center"/>
            <w:hideMark/>
          </w:tcPr>
          <w:p w14:paraId="71EA1D23"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115</w:t>
            </w:r>
          </w:p>
        </w:tc>
        <w:tc>
          <w:tcPr>
            <w:tcW w:w="263" w:type="pct"/>
            <w:tcBorders>
              <w:top w:val="nil"/>
              <w:left w:val="nil"/>
              <w:bottom w:val="single" w:sz="8" w:space="0" w:color="auto"/>
              <w:right w:val="single" w:sz="4" w:space="0" w:color="auto"/>
            </w:tcBorders>
            <w:shd w:val="clear" w:color="000000" w:fill="EBF1DE"/>
            <w:vAlign w:val="center"/>
            <w:hideMark/>
          </w:tcPr>
          <w:p w14:paraId="3D6CC61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150</w:t>
            </w:r>
          </w:p>
        </w:tc>
        <w:tc>
          <w:tcPr>
            <w:tcW w:w="263" w:type="pct"/>
            <w:tcBorders>
              <w:top w:val="nil"/>
              <w:left w:val="nil"/>
              <w:bottom w:val="single" w:sz="8" w:space="0" w:color="auto"/>
              <w:right w:val="single" w:sz="4" w:space="0" w:color="auto"/>
            </w:tcBorders>
            <w:shd w:val="clear" w:color="000000" w:fill="EBF1DE"/>
            <w:vAlign w:val="center"/>
            <w:hideMark/>
          </w:tcPr>
          <w:p w14:paraId="10F9573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163</w:t>
            </w:r>
          </w:p>
        </w:tc>
        <w:tc>
          <w:tcPr>
            <w:tcW w:w="263" w:type="pct"/>
            <w:tcBorders>
              <w:top w:val="nil"/>
              <w:left w:val="nil"/>
              <w:bottom w:val="single" w:sz="8" w:space="0" w:color="auto"/>
              <w:right w:val="single" w:sz="4" w:space="0" w:color="auto"/>
            </w:tcBorders>
            <w:shd w:val="clear" w:color="000000" w:fill="EBF1DE"/>
            <w:vAlign w:val="center"/>
            <w:hideMark/>
          </w:tcPr>
          <w:p w14:paraId="4893F5E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105</w:t>
            </w:r>
          </w:p>
        </w:tc>
        <w:tc>
          <w:tcPr>
            <w:tcW w:w="263" w:type="pct"/>
            <w:tcBorders>
              <w:top w:val="nil"/>
              <w:left w:val="nil"/>
              <w:bottom w:val="single" w:sz="8" w:space="0" w:color="auto"/>
              <w:right w:val="single" w:sz="4" w:space="0" w:color="auto"/>
            </w:tcBorders>
            <w:shd w:val="clear" w:color="000000" w:fill="EBF1DE"/>
            <w:vAlign w:val="center"/>
            <w:hideMark/>
          </w:tcPr>
          <w:p w14:paraId="6F4CA03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95</w:t>
            </w:r>
          </w:p>
        </w:tc>
        <w:tc>
          <w:tcPr>
            <w:tcW w:w="263" w:type="pct"/>
            <w:tcBorders>
              <w:top w:val="nil"/>
              <w:left w:val="nil"/>
              <w:bottom w:val="single" w:sz="8" w:space="0" w:color="auto"/>
              <w:right w:val="single" w:sz="4" w:space="0" w:color="auto"/>
            </w:tcBorders>
            <w:shd w:val="clear" w:color="000000" w:fill="EBF1DE"/>
            <w:vAlign w:val="center"/>
            <w:hideMark/>
          </w:tcPr>
          <w:p w14:paraId="69AB31E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78</w:t>
            </w:r>
          </w:p>
        </w:tc>
        <w:tc>
          <w:tcPr>
            <w:tcW w:w="262" w:type="pct"/>
            <w:tcBorders>
              <w:top w:val="nil"/>
              <w:left w:val="nil"/>
              <w:bottom w:val="single" w:sz="8" w:space="0" w:color="auto"/>
              <w:right w:val="single" w:sz="8" w:space="0" w:color="auto"/>
            </w:tcBorders>
            <w:shd w:val="clear" w:color="000000" w:fill="EBF1DE"/>
            <w:vAlign w:val="center"/>
            <w:hideMark/>
          </w:tcPr>
          <w:p w14:paraId="67A62F2D"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38</w:t>
            </w:r>
          </w:p>
        </w:tc>
      </w:tr>
      <w:tr w:rsidR="001A4989" w:rsidRPr="009C52C4" w14:paraId="590D14C1" w14:textId="77777777" w:rsidTr="00887E64">
        <w:trPr>
          <w:trHeight w:val="615"/>
        </w:trPr>
        <w:tc>
          <w:tcPr>
            <w:tcW w:w="1266" w:type="pct"/>
            <w:tcBorders>
              <w:top w:val="nil"/>
              <w:left w:val="single" w:sz="8" w:space="0" w:color="auto"/>
              <w:bottom w:val="nil"/>
              <w:right w:val="single" w:sz="8" w:space="0" w:color="auto"/>
            </w:tcBorders>
            <w:shd w:val="clear" w:color="000000" w:fill="C4D79B"/>
            <w:vAlign w:val="center"/>
            <w:hideMark/>
          </w:tcPr>
          <w:p w14:paraId="7FAAA2AE" w14:textId="77777777" w:rsidR="003740FA" w:rsidRPr="009C52C4" w:rsidRDefault="003740FA" w:rsidP="003740FA">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Namjena zgrade</w:t>
            </w:r>
          </w:p>
        </w:tc>
        <w:tc>
          <w:tcPr>
            <w:tcW w:w="3734" w:type="pct"/>
            <w:gridSpan w:val="14"/>
            <w:tcBorders>
              <w:top w:val="single" w:sz="8" w:space="0" w:color="auto"/>
              <w:left w:val="nil"/>
              <w:bottom w:val="single" w:sz="8" w:space="0" w:color="auto"/>
              <w:right w:val="single" w:sz="8" w:space="0" w:color="000000"/>
            </w:tcBorders>
            <w:shd w:val="clear" w:color="000000" w:fill="C4D79B"/>
            <w:vAlign w:val="center"/>
            <w:hideMark/>
          </w:tcPr>
          <w:p w14:paraId="502FE911" w14:textId="77777777" w:rsidR="003740FA" w:rsidRPr="009C52C4" w:rsidRDefault="003740FA" w:rsidP="00DE4140">
            <w:pPr>
              <w:jc w:val="center"/>
              <w:rPr>
                <w:rFonts w:ascii="Times New Roman" w:eastAsia="Times New Roman" w:hAnsi="Times New Roman" w:cs="Times New Roman"/>
                <w:b/>
                <w:bCs/>
                <w:sz w:val="24"/>
                <w:szCs w:val="24"/>
              </w:rPr>
            </w:pPr>
            <w:r w:rsidRPr="009C52C4">
              <w:rPr>
                <w:rFonts w:ascii="Times New Roman" w:eastAsia="Times New Roman" w:hAnsi="Times New Roman" w:cs="Times New Roman"/>
                <w:b/>
                <w:bCs/>
                <w:sz w:val="24"/>
                <w:szCs w:val="24"/>
              </w:rPr>
              <w:t xml:space="preserve">Godišnja potrošnja isporučene energije za grijanje, hlađenje, pripremu potrošne tople vode i rasvjetu </w:t>
            </w:r>
            <w:r w:rsidR="00DE4140" w:rsidRPr="009C52C4">
              <w:rPr>
                <w:rFonts w:ascii="Times New Roman" w:eastAsia="Times New Roman" w:hAnsi="Times New Roman" w:cs="Times New Roman"/>
                <w:b/>
                <w:bCs/>
                <w:sz w:val="24"/>
                <w:szCs w:val="24"/>
              </w:rPr>
              <w:t>[</w:t>
            </w:r>
            <w:r w:rsidRPr="009C52C4">
              <w:rPr>
                <w:rFonts w:ascii="Times New Roman" w:eastAsia="Times New Roman" w:hAnsi="Times New Roman" w:cs="Times New Roman"/>
                <w:b/>
                <w:bCs/>
                <w:sz w:val="24"/>
                <w:szCs w:val="24"/>
              </w:rPr>
              <w:t>kWh/m</w:t>
            </w:r>
            <w:r w:rsidRPr="009C52C4">
              <w:rPr>
                <w:rFonts w:ascii="Times New Roman" w:eastAsia="Times New Roman" w:hAnsi="Times New Roman" w:cs="Times New Roman"/>
                <w:b/>
                <w:bCs/>
                <w:sz w:val="24"/>
                <w:szCs w:val="24"/>
                <w:vertAlign w:val="superscript"/>
              </w:rPr>
              <w:t>2</w:t>
            </w:r>
            <w:r w:rsidR="00DE4140" w:rsidRPr="009C52C4">
              <w:rPr>
                <w:rFonts w:ascii="Times New Roman" w:eastAsia="Times New Roman" w:hAnsi="Times New Roman" w:cs="Times New Roman"/>
                <w:b/>
                <w:bCs/>
                <w:sz w:val="24"/>
                <w:szCs w:val="24"/>
              </w:rPr>
              <w:t>a]</w:t>
            </w:r>
          </w:p>
        </w:tc>
      </w:tr>
      <w:tr w:rsidR="009C1E24" w:rsidRPr="009C52C4" w14:paraId="642F21B4" w14:textId="77777777" w:rsidTr="000B57C1">
        <w:trPr>
          <w:trHeight w:val="300"/>
        </w:trPr>
        <w:tc>
          <w:tcPr>
            <w:tcW w:w="1266" w:type="pct"/>
            <w:tcBorders>
              <w:top w:val="single" w:sz="8" w:space="0" w:color="auto"/>
              <w:left w:val="single" w:sz="8" w:space="0" w:color="auto"/>
              <w:bottom w:val="single" w:sz="4" w:space="0" w:color="auto"/>
              <w:right w:val="single" w:sz="8" w:space="0" w:color="auto"/>
            </w:tcBorders>
            <w:shd w:val="clear" w:color="000000" w:fill="EBF1DE"/>
            <w:vAlign w:val="center"/>
            <w:hideMark/>
          </w:tcPr>
          <w:p w14:paraId="65E21950"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Višestambene zgrade</w:t>
            </w:r>
          </w:p>
        </w:tc>
        <w:tc>
          <w:tcPr>
            <w:tcW w:w="316" w:type="pct"/>
            <w:tcBorders>
              <w:top w:val="nil"/>
              <w:left w:val="nil"/>
              <w:bottom w:val="single" w:sz="4" w:space="0" w:color="auto"/>
              <w:right w:val="single" w:sz="4" w:space="0" w:color="auto"/>
            </w:tcBorders>
            <w:shd w:val="clear" w:color="000000" w:fill="EBF1DE"/>
            <w:vAlign w:val="center"/>
            <w:hideMark/>
          </w:tcPr>
          <w:p w14:paraId="2DF1ECCD" w14:textId="77777777" w:rsidR="003740FA" w:rsidRPr="009C52C4" w:rsidRDefault="003740FA" w:rsidP="00CC263E">
            <w:pPr>
              <w:jc w:val="center"/>
              <w:rPr>
                <w:rFonts w:ascii="Times New Roman" w:eastAsia="Times New Roman" w:hAnsi="Times New Roman" w:cs="Times New Roman"/>
                <w:color w:val="auto"/>
                <w:sz w:val="24"/>
                <w:szCs w:val="24"/>
              </w:rPr>
            </w:pPr>
            <w:r w:rsidRPr="009C52C4">
              <w:rPr>
                <w:rFonts w:ascii="Times New Roman" w:eastAsia="Times New Roman" w:hAnsi="Times New Roman" w:cs="Times New Roman"/>
                <w:color w:val="auto"/>
                <w:sz w:val="24"/>
                <w:szCs w:val="24"/>
              </w:rPr>
              <w:t>477</w:t>
            </w:r>
          </w:p>
        </w:tc>
        <w:tc>
          <w:tcPr>
            <w:tcW w:w="263" w:type="pct"/>
            <w:tcBorders>
              <w:top w:val="nil"/>
              <w:left w:val="nil"/>
              <w:bottom w:val="single" w:sz="4" w:space="0" w:color="auto"/>
              <w:right w:val="nil"/>
            </w:tcBorders>
            <w:shd w:val="clear" w:color="000000" w:fill="EBF1DE"/>
            <w:vAlign w:val="center"/>
            <w:hideMark/>
          </w:tcPr>
          <w:p w14:paraId="35164D0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354</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339646E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336</w:t>
            </w:r>
          </w:p>
        </w:tc>
        <w:tc>
          <w:tcPr>
            <w:tcW w:w="263" w:type="pct"/>
            <w:tcBorders>
              <w:top w:val="nil"/>
              <w:left w:val="nil"/>
              <w:bottom w:val="single" w:sz="4" w:space="0" w:color="auto"/>
              <w:right w:val="single" w:sz="4" w:space="0" w:color="auto"/>
            </w:tcBorders>
            <w:shd w:val="clear" w:color="000000" w:fill="EBF1DE"/>
            <w:vAlign w:val="center"/>
            <w:hideMark/>
          </w:tcPr>
          <w:p w14:paraId="272C118C"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318</w:t>
            </w:r>
          </w:p>
        </w:tc>
        <w:tc>
          <w:tcPr>
            <w:tcW w:w="263" w:type="pct"/>
            <w:tcBorders>
              <w:top w:val="nil"/>
              <w:left w:val="nil"/>
              <w:bottom w:val="single" w:sz="4" w:space="0" w:color="auto"/>
              <w:right w:val="single" w:sz="4" w:space="0" w:color="auto"/>
            </w:tcBorders>
            <w:shd w:val="clear" w:color="000000" w:fill="EBF1DE"/>
            <w:vAlign w:val="center"/>
            <w:hideMark/>
          </w:tcPr>
          <w:p w14:paraId="60A9EFB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265</w:t>
            </w:r>
          </w:p>
        </w:tc>
        <w:tc>
          <w:tcPr>
            <w:tcW w:w="263" w:type="pct"/>
            <w:tcBorders>
              <w:top w:val="nil"/>
              <w:left w:val="nil"/>
              <w:bottom w:val="single" w:sz="4" w:space="0" w:color="auto"/>
              <w:right w:val="single" w:sz="4" w:space="0" w:color="auto"/>
            </w:tcBorders>
            <w:shd w:val="clear" w:color="000000" w:fill="EBF1DE"/>
            <w:vAlign w:val="center"/>
            <w:hideMark/>
          </w:tcPr>
          <w:p w14:paraId="725E20BC"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159</w:t>
            </w:r>
          </w:p>
        </w:tc>
        <w:tc>
          <w:tcPr>
            <w:tcW w:w="263" w:type="pct"/>
            <w:tcBorders>
              <w:top w:val="nil"/>
              <w:left w:val="nil"/>
              <w:bottom w:val="single" w:sz="4" w:space="0" w:color="auto"/>
              <w:right w:val="single" w:sz="12" w:space="0" w:color="auto"/>
            </w:tcBorders>
            <w:shd w:val="clear" w:color="000000" w:fill="EBF1DE"/>
            <w:vAlign w:val="center"/>
            <w:hideMark/>
          </w:tcPr>
          <w:p w14:paraId="201AC3A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124</w:t>
            </w:r>
          </w:p>
        </w:tc>
        <w:tc>
          <w:tcPr>
            <w:tcW w:w="263" w:type="pct"/>
            <w:tcBorders>
              <w:top w:val="nil"/>
              <w:left w:val="single" w:sz="12" w:space="0" w:color="auto"/>
              <w:bottom w:val="single" w:sz="4" w:space="0" w:color="auto"/>
              <w:right w:val="single" w:sz="4" w:space="0" w:color="auto"/>
            </w:tcBorders>
            <w:shd w:val="clear" w:color="000000" w:fill="EBF1DE"/>
            <w:vAlign w:val="center"/>
            <w:hideMark/>
          </w:tcPr>
          <w:p w14:paraId="3DD0EB8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216</w:t>
            </w:r>
          </w:p>
        </w:tc>
        <w:tc>
          <w:tcPr>
            <w:tcW w:w="263" w:type="pct"/>
            <w:tcBorders>
              <w:top w:val="nil"/>
              <w:left w:val="nil"/>
              <w:bottom w:val="single" w:sz="4" w:space="0" w:color="auto"/>
              <w:right w:val="nil"/>
            </w:tcBorders>
            <w:shd w:val="clear" w:color="000000" w:fill="EBF1DE"/>
            <w:vAlign w:val="center"/>
            <w:hideMark/>
          </w:tcPr>
          <w:p w14:paraId="12E7AE2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159</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5D10AC10"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152</w:t>
            </w:r>
          </w:p>
        </w:tc>
        <w:tc>
          <w:tcPr>
            <w:tcW w:w="263" w:type="pct"/>
            <w:tcBorders>
              <w:top w:val="nil"/>
              <w:left w:val="nil"/>
              <w:bottom w:val="single" w:sz="4" w:space="0" w:color="auto"/>
              <w:right w:val="single" w:sz="4" w:space="0" w:color="auto"/>
            </w:tcBorders>
            <w:shd w:val="clear" w:color="000000" w:fill="EBF1DE"/>
            <w:vAlign w:val="center"/>
            <w:hideMark/>
          </w:tcPr>
          <w:p w14:paraId="63A5CDD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143</w:t>
            </w:r>
          </w:p>
        </w:tc>
        <w:tc>
          <w:tcPr>
            <w:tcW w:w="263" w:type="pct"/>
            <w:tcBorders>
              <w:top w:val="nil"/>
              <w:left w:val="nil"/>
              <w:bottom w:val="single" w:sz="4" w:space="0" w:color="auto"/>
              <w:right w:val="single" w:sz="4" w:space="0" w:color="auto"/>
            </w:tcBorders>
            <w:shd w:val="clear" w:color="000000" w:fill="EBF1DE"/>
            <w:vAlign w:val="center"/>
            <w:hideMark/>
          </w:tcPr>
          <w:p w14:paraId="6AD747E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120</w:t>
            </w:r>
          </w:p>
        </w:tc>
        <w:tc>
          <w:tcPr>
            <w:tcW w:w="263" w:type="pct"/>
            <w:tcBorders>
              <w:top w:val="nil"/>
              <w:left w:val="nil"/>
              <w:bottom w:val="single" w:sz="4" w:space="0" w:color="auto"/>
              <w:right w:val="single" w:sz="4" w:space="0" w:color="auto"/>
            </w:tcBorders>
            <w:shd w:val="clear" w:color="000000" w:fill="EBF1DE"/>
            <w:vAlign w:val="center"/>
            <w:hideMark/>
          </w:tcPr>
          <w:p w14:paraId="5FEEB16D"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72</w:t>
            </w:r>
          </w:p>
        </w:tc>
        <w:tc>
          <w:tcPr>
            <w:tcW w:w="262" w:type="pct"/>
            <w:tcBorders>
              <w:top w:val="nil"/>
              <w:left w:val="nil"/>
              <w:bottom w:val="single" w:sz="4" w:space="0" w:color="auto"/>
              <w:right w:val="single" w:sz="8" w:space="0" w:color="auto"/>
            </w:tcBorders>
            <w:shd w:val="clear" w:color="000000" w:fill="EBF1DE"/>
            <w:vAlign w:val="center"/>
            <w:hideMark/>
          </w:tcPr>
          <w:p w14:paraId="63197F2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57</w:t>
            </w:r>
          </w:p>
        </w:tc>
      </w:tr>
      <w:tr w:rsidR="009C1E24" w:rsidRPr="009C52C4" w14:paraId="4384B579" w14:textId="77777777" w:rsidTr="000B57C1">
        <w:trPr>
          <w:trHeight w:val="300"/>
        </w:trPr>
        <w:tc>
          <w:tcPr>
            <w:tcW w:w="1266" w:type="pct"/>
            <w:tcBorders>
              <w:top w:val="nil"/>
              <w:left w:val="single" w:sz="8" w:space="0" w:color="auto"/>
              <w:bottom w:val="single" w:sz="4" w:space="0" w:color="auto"/>
              <w:right w:val="single" w:sz="8" w:space="0" w:color="auto"/>
            </w:tcBorders>
            <w:shd w:val="clear" w:color="000000" w:fill="EBF1DE"/>
            <w:vAlign w:val="center"/>
            <w:hideMark/>
          </w:tcPr>
          <w:p w14:paraId="7F2CD4DF"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Obiteljske kuće</w:t>
            </w:r>
          </w:p>
        </w:tc>
        <w:tc>
          <w:tcPr>
            <w:tcW w:w="316" w:type="pct"/>
            <w:tcBorders>
              <w:top w:val="nil"/>
              <w:left w:val="nil"/>
              <w:bottom w:val="single" w:sz="4" w:space="0" w:color="auto"/>
              <w:right w:val="single" w:sz="4" w:space="0" w:color="auto"/>
            </w:tcBorders>
            <w:shd w:val="clear" w:color="000000" w:fill="EBF1DE"/>
            <w:vAlign w:val="center"/>
            <w:hideMark/>
          </w:tcPr>
          <w:p w14:paraId="75EF711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530</w:t>
            </w:r>
          </w:p>
        </w:tc>
        <w:tc>
          <w:tcPr>
            <w:tcW w:w="263" w:type="pct"/>
            <w:tcBorders>
              <w:top w:val="nil"/>
              <w:left w:val="nil"/>
              <w:bottom w:val="single" w:sz="4" w:space="0" w:color="auto"/>
              <w:right w:val="nil"/>
            </w:tcBorders>
            <w:shd w:val="clear" w:color="000000" w:fill="EBF1DE"/>
            <w:vAlign w:val="center"/>
            <w:hideMark/>
          </w:tcPr>
          <w:p w14:paraId="7DD23F6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566</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05D7D16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537</w:t>
            </w:r>
          </w:p>
        </w:tc>
        <w:tc>
          <w:tcPr>
            <w:tcW w:w="263" w:type="pct"/>
            <w:tcBorders>
              <w:top w:val="nil"/>
              <w:left w:val="nil"/>
              <w:bottom w:val="single" w:sz="4" w:space="0" w:color="auto"/>
              <w:right w:val="single" w:sz="4" w:space="0" w:color="auto"/>
            </w:tcBorders>
            <w:shd w:val="clear" w:color="000000" w:fill="EBF1DE"/>
            <w:vAlign w:val="center"/>
            <w:hideMark/>
          </w:tcPr>
          <w:p w14:paraId="438914B0"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509</w:t>
            </w:r>
          </w:p>
        </w:tc>
        <w:tc>
          <w:tcPr>
            <w:tcW w:w="263" w:type="pct"/>
            <w:tcBorders>
              <w:top w:val="nil"/>
              <w:left w:val="nil"/>
              <w:bottom w:val="single" w:sz="4" w:space="0" w:color="auto"/>
              <w:right w:val="single" w:sz="4" w:space="0" w:color="auto"/>
            </w:tcBorders>
            <w:shd w:val="clear" w:color="000000" w:fill="EBF1DE"/>
            <w:vAlign w:val="center"/>
            <w:hideMark/>
          </w:tcPr>
          <w:p w14:paraId="7CEB8D95"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424</w:t>
            </w:r>
          </w:p>
        </w:tc>
        <w:tc>
          <w:tcPr>
            <w:tcW w:w="263" w:type="pct"/>
            <w:tcBorders>
              <w:top w:val="nil"/>
              <w:left w:val="nil"/>
              <w:bottom w:val="single" w:sz="4" w:space="0" w:color="auto"/>
              <w:right w:val="single" w:sz="4" w:space="0" w:color="auto"/>
            </w:tcBorders>
            <w:shd w:val="clear" w:color="000000" w:fill="EBF1DE"/>
            <w:vAlign w:val="center"/>
            <w:hideMark/>
          </w:tcPr>
          <w:p w14:paraId="73A391AD"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255</w:t>
            </w:r>
          </w:p>
        </w:tc>
        <w:tc>
          <w:tcPr>
            <w:tcW w:w="263" w:type="pct"/>
            <w:tcBorders>
              <w:top w:val="nil"/>
              <w:left w:val="nil"/>
              <w:bottom w:val="single" w:sz="4" w:space="0" w:color="auto"/>
              <w:right w:val="single" w:sz="12" w:space="0" w:color="auto"/>
            </w:tcBorders>
            <w:shd w:val="clear" w:color="000000" w:fill="EBF1DE"/>
            <w:vAlign w:val="center"/>
            <w:hideMark/>
          </w:tcPr>
          <w:p w14:paraId="6518801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198</w:t>
            </w:r>
          </w:p>
        </w:tc>
        <w:tc>
          <w:tcPr>
            <w:tcW w:w="263" w:type="pct"/>
            <w:tcBorders>
              <w:top w:val="single" w:sz="4" w:space="0" w:color="auto"/>
              <w:left w:val="single" w:sz="12" w:space="0" w:color="auto"/>
              <w:bottom w:val="single" w:sz="4" w:space="0" w:color="auto"/>
              <w:right w:val="single" w:sz="4" w:space="0" w:color="auto"/>
            </w:tcBorders>
            <w:shd w:val="clear" w:color="000000" w:fill="EBF1DE"/>
            <w:vAlign w:val="center"/>
            <w:hideMark/>
          </w:tcPr>
          <w:p w14:paraId="77F8233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249</w:t>
            </w:r>
          </w:p>
        </w:tc>
        <w:tc>
          <w:tcPr>
            <w:tcW w:w="263" w:type="pct"/>
            <w:tcBorders>
              <w:top w:val="nil"/>
              <w:left w:val="nil"/>
              <w:bottom w:val="single" w:sz="4" w:space="0" w:color="auto"/>
              <w:right w:val="nil"/>
            </w:tcBorders>
            <w:shd w:val="clear" w:color="000000" w:fill="EBF1DE"/>
            <w:vAlign w:val="center"/>
            <w:hideMark/>
          </w:tcPr>
          <w:p w14:paraId="056BDBC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265</w:t>
            </w:r>
          </w:p>
        </w:tc>
        <w:tc>
          <w:tcPr>
            <w:tcW w:w="263" w:type="pct"/>
            <w:tcBorders>
              <w:top w:val="nil"/>
              <w:left w:val="single" w:sz="4" w:space="0" w:color="auto"/>
              <w:bottom w:val="single" w:sz="4" w:space="0" w:color="auto"/>
              <w:right w:val="single" w:sz="4" w:space="0" w:color="auto"/>
            </w:tcBorders>
            <w:shd w:val="clear" w:color="000000" w:fill="EBF1DE"/>
            <w:vAlign w:val="center"/>
            <w:hideMark/>
          </w:tcPr>
          <w:p w14:paraId="15DB699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253</w:t>
            </w:r>
          </w:p>
        </w:tc>
        <w:tc>
          <w:tcPr>
            <w:tcW w:w="263" w:type="pct"/>
            <w:tcBorders>
              <w:top w:val="nil"/>
              <w:left w:val="nil"/>
              <w:bottom w:val="single" w:sz="4" w:space="0" w:color="auto"/>
              <w:right w:val="single" w:sz="4" w:space="0" w:color="auto"/>
            </w:tcBorders>
            <w:shd w:val="clear" w:color="000000" w:fill="EBF1DE"/>
            <w:vAlign w:val="center"/>
            <w:hideMark/>
          </w:tcPr>
          <w:p w14:paraId="1D6E88D8"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239</w:t>
            </w:r>
          </w:p>
        </w:tc>
        <w:tc>
          <w:tcPr>
            <w:tcW w:w="263" w:type="pct"/>
            <w:tcBorders>
              <w:top w:val="nil"/>
              <w:left w:val="nil"/>
              <w:bottom w:val="single" w:sz="4" w:space="0" w:color="auto"/>
              <w:right w:val="single" w:sz="4" w:space="0" w:color="auto"/>
            </w:tcBorders>
            <w:shd w:val="clear" w:color="000000" w:fill="EBF1DE"/>
            <w:vAlign w:val="center"/>
            <w:hideMark/>
          </w:tcPr>
          <w:p w14:paraId="348488C8"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200</w:t>
            </w:r>
          </w:p>
        </w:tc>
        <w:tc>
          <w:tcPr>
            <w:tcW w:w="263" w:type="pct"/>
            <w:tcBorders>
              <w:top w:val="nil"/>
              <w:left w:val="nil"/>
              <w:bottom w:val="single" w:sz="4" w:space="0" w:color="auto"/>
              <w:right w:val="single" w:sz="4" w:space="0" w:color="auto"/>
            </w:tcBorders>
            <w:shd w:val="clear" w:color="000000" w:fill="EBF1DE"/>
            <w:vAlign w:val="center"/>
            <w:hideMark/>
          </w:tcPr>
          <w:p w14:paraId="5B8030F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120</w:t>
            </w:r>
          </w:p>
        </w:tc>
        <w:tc>
          <w:tcPr>
            <w:tcW w:w="262" w:type="pct"/>
            <w:tcBorders>
              <w:top w:val="nil"/>
              <w:left w:val="nil"/>
              <w:bottom w:val="single" w:sz="4" w:space="0" w:color="auto"/>
              <w:right w:val="single" w:sz="8" w:space="0" w:color="auto"/>
            </w:tcBorders>
            <w:shd w:val="clear" w:color="000000" w:fill="EBF1DE"/>
            <w:vAlign w:val="center"/>
            <w:hideMark/>
          </w:tcPr>
          <w:p w14:paraId="5FE3DC3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94</w:t>
            </w:r>
          </w:p>
        </w:tc>
      </w:tr>
      <w:tr w:rsidR="009C1E24" w:rsidRPr="009C52C4" w14:paraId="2D7299B4" w14:textId="77777777" w:rsidTr="000B57C1">
        <w:trPr>
          <w:trHeight w:val="282"/>
        </w:trPr>
        <w:tc>
          <w:tcPr>
            <w:tcW w:w="1266" w:type="pct"/>
            <w:tcBorders>
              <w:top w:val="nil"/>
              <w:left w:val="single" w:sz="8" w:space="0" w:color="auto"/>
              <w:bottom w:val="single" w:sz="4" w:space="0" w:color="auto"/>
              <w:right w:val="single" w:sz="8" w:space="0" w:color="auto"/>
            </w:tcBorders>
            <w:shd w:val="clear" w:color="000000" w:fill="EBF1DE"/>
            <w:vAlign w:val="center"/>
            <w:hideMark/>
          </w:tcPr>
          <w:p w14:paraId="5532CE54"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Nestambene zgrade javne namjene</w:t>
            </w:r>
          </w:p>
        </w:tc>
        <w:tc>
          <w:tcPr>
            <w:tcW w:w="316" w:type="pct"/>
            <w:tcBorders>
              <w:top w:val="nil"/>
              <w:left w:val="nil"/>
              <w:bottom w:val="single" w:sz="4" w:space="0" w:color="auto"/>
              <w:right w:val="single" w:sz="4" w:space="0" w:color="auto"/>
            </w:tcBorders>
            <w:shd w:val="clear" w:color="000000" w:fill="EBF1DE"/>
            <w:vAlign w:val="center"/>
            <w:hideMark/>
          </w:tcPr>
          <w:p w14:paraId="1922518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w:t>
            </w:r>
            <w:r w:rsidR="001A4989" w:rsidRPr="009C52C4">
              <w:rPr>
                <w:rFonts w:ascii="Times New Roman" w:eastAsia="Times New Roman" w:hAnsi="Times New Roman" w:cs="Times New Roman"/>
                <w:sz w:val="24"/>
                <w:szCs w:val="24"/>
              </w:rPr>
              <w:t>37</w:t>
            </w:r>
          </w:p>
        </w:tc>
        <w:tc>
          <w:tcPr>
            <w:tcW w:w="263" w:type="pct"/>
            <w:tcBorders>
              <w:top w:val="nil"/>
              <w:left w:val="nil"/>
              <w:bottom w:val="single" w:sz="4" w:space="0" w:color="auto"/>
              <w:right w:val="single" w:sz="4" w:space="0" w:color="auto"/>
            </w:tcBorders>
            <w:shd w:val="clear" w:color="000000" w:fill="EBF1DE"/>
            <w:vAlign w:val="center"/>
            <w:hideMark/>
          </w:tcPr>
          <w:p w14:paraId="549E2F7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w:t>
            </w:r>
            <w:r w:rsidR="001A4989" w:rsidRPr="009C52C4">
              <w:rPr>
                <w:rFonts w:ascii="Times New Roman" w:eastAsia="Times New Roman" w:hAnsi="Times New Roman" w:cs="Times New Roman"/>
                <w:sz w:val="24"/>
                <w:szCs w:val="24"/>
              </w:rPr>
              <w:t>67</w:t>
            </w:r>
          </w:p>
        </w:tc>
        <w:tc>
          <w:tcPr>
            <w:tcW w:w="263" w:type="pct"/>
            <w:tcBorders>
              <w:top w:val="nil"/>
              <w:left w:val="nil"/>
              <w:bottom w:val="single" w:sz="4" w:space="0" w:color="auto"/>
              <w:right w:val="single" w:sz="4" w:space="0" w:color="auto"/>
            </w:tcBorders>
            <w:shd w:val="clear" w:color="000000" w:fill="EBF1DE"/>
            <w:vAlign w:val="center"/>
            <w:hideMark/>
          </w:tcPr>
          <w:p w14:paraId="538F9B08"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w:t>
            </w:r>
            <w:r w:rsidR="001A4989" w:rsidRPr="009C52C4">
              <w:rPr>
                <w:rFonts w:ascii="Times New Roman" w:eastAsia="Times New Roman" w:hAnsi="Times New Roman" w:cs="Times New Roman"/>
                <w:sz w:val="24"/>
                <w:szCs w:val="24"/>
              </w:rPr>
              <w:t>7</w:t>
            </w:r>
            <w:r w:rsidRPr="009C52C4">
              <w:rPr>
                <w:rFonts w:ascii="Times New Roman" w:eastAsia="Times New Roman" w:hAnsi="Times New Roman" w:cs="Times New Roman"/>
                <w:sz w:val="24"/>
                <w:szCs w:val="24"/>
              </w:rPr>
              <w:t>3</w:t>
            </w:r>
          </w:p>
        </w:tc>
        <w:tc>
          <w:tcPr>
            <w:tcW w:w="263" w:type="pct"/>
            <w:tcBorders>
              <w:top w:val="nil"/>
              <w:left w:val="nil"/>
              <w:bottom w:val="single" w:sz="4" w:space="0" w:color="auto"/>
              <w:right w:val="single" w:sz="4" w:space="0" w:color="auto"/>
            </w:tcBorders>
            <w:shd w:val="clear" w:color="000000" w:fill="EBF1DE"/>
            <w:vAlign w:val="center"/>
            <w:hideMark/>
          </w:tcPr>
          <w:p w14:paraId="473B619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37</w:t>
            </w:r>
            <w:r w:rsidR="001A4989" w:rsidRPr="009C52C4">
              <w:rPr>
                <w:rFonts w:ascii="Times New Roman" w:eastAsia="Times New Roman" w:hAnsi="Times New Roman" w:cs="Times New Roman"/>
                <w:sz w:val="24"/>
                <w:szCs w:val="24"/>
              </w:rPr>
              <w:t>4</w:t>
            </w:r>
          </w:p>
        </w:tc>
        <w:tc>
          <w:tcPr>
            <w:tcW w:w="263" w:type="pct"/>
            <w:tcBorders>
              <w:top w:val="nil"/>
              <w:left w:val="nil"/>
              <w:bottom w:val="single" w:sz="4" w:space="0" w:color="auto"/>
              <w:right w:val="single" w:sz="4" w:space="0" w:color="auto"/>
            </w:tcBorders>
            <w:shd w:val="clear" w:color="000000" w:fill="EBF1DE"/>
            <w:vAlign w:val="center"/>
            <w:hideMark/>
          </w:tcPr>
          <w:p w14:paraId="4C1BB5F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w:t>
            </w:r>
            <w:r w:rsidR="001A4989" w:rsidRPr="009C52C4">
              <w:rPr>
                <w:rFonts w:ascii="Times New Roman" w:eastAsia="Times New Roman" w:hAnsi="Times New Roman" w:cs="Times New Roman"/>
                <w:sz w:val="24"/>
                <w:szCs w:val="24"/>
              </w:rPr>
              <w:t>32</w:t>
            </w:r>
          </w:p>
        </w:tc>
        <w:tc>
          <w:tcPr>
            <w:tcW w:w="263" w:type="pct"/>
            <w:tcBorders>
              <w:top w:val="nil"/>
              <w:left w:val="nil"/>
              <w:bottom w:val="single" w:sz="4" w:space="0" w:color="auto"/>
              <w:right w:val="single" w:sz="4" w:space="0" w:color="auto"/>
            </w:tcBorders>
            <w:shd w:val="clear" w:color="000000" w:fill="EBF1DE"/>
            <w:vAlign w:val="center"/>
            <w:hideMark/>
          </w:tcPr>
          <w:p w14:paraId="5E20DC4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w:t>
            </w:r>
            <w:r w:rsidR="001A4989" w:rsidRPr="009C52C4">
              <w:rPr>
                <w:rFonts w:ascii="Times New Roman" w:eastAsia="Times New Roman" w:hAnsi="Times New Roman" w:cs="Times New Roman"/>
                <w:sz w:val="24"/>
                <w:szCs w:val="24"/>
              </w:rPr>
              <w:t>8</w:t>
            </w:r>
            <w:r w:rsidRPr="009C52C4">
              <w:rPr>
                <w:rFonts w:ascii="Times New Roman" w:eastAsia="Times New Roman" w:hAnsi="Times New Roman" w:cs="Times New Roman"/>
                <w:sz w:val="24"/>
                <w:szCs w:val="24"/>
              </w:rPr>
              <w:t>2</w:t>
            </w:r>
          </w:p>
        </w:tc>
        <w:tc>
          <w:tcPr>
            <w:tcW w:w="263" w:type="pct"/>
            <w:tcBorders>
              <w:top w:val="nil"/>
              <w:left w:val="nil"/>
              <w:bottom w:val="single" w:sz="4" w:space="0" w:color="auto"/>
              <w:right w:val="single" w:sz="12" w:space="0" w:color="auto"/>
            </w:tcBorders>
            <w:shd w:val="clear" w:color="000000" w:fill="EBF1DE"/>
            <w:vAlign w:val="center"/>
            <w:hideMark/>
          </w:tcPr>
          <w:p w14:paraId="2DB0AE2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w:t>
            </w:r>
            <w:r w:rsidR="001A4989" w:rsidRPr="009C52C4">
              <w:rPr>
                <w:rFonts w:ascii="Times New Roman" w:eastAsia="Times New Roman" w:hAnsi="Times New Roman" w:cs="Times New Roman"/>
                <w:sz w:val="24"/>
                <w:szCs w:val="24"/>
              </w:rPr>
              <w:t>48</w:t>
            </w:r>
          </w:p>
        </w:tc>
        <w:tc>
          <w:tcPr>
            <w:tcW w:w="263" w:type="pct"/>
            <w:tcBorders>
              <w:top w:val="single" w:sz="4" w:space="0" w:color="auto"/>
              <w:left w:val="single" w:sz="12" w:space="0" w:color="auto"/>
              <w:bottom w:val="single" w:sz="4" w:space="0" w:color="auto"/>
              <w:right w:val="single" w:sz="4" w:space="0" w:color="auto"/>
            </w:tcBorders>
            <w:shd w:val="clear" w:color="000000" w:fill="EBF1DE"/>
            <w:vAlign w:val="center"/>
            <w:hideMark/>
          </w:tcPr>
          <w:p w14:paraId="6E15AD6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11</w:t>
            </w:r>
            <w:r w:rsidR="001A4989" w:rsidRPr="009C52C4">
              <w:rPr>
                <w:rFonts w:ascii="Times New Roman" w:eastAsia="Times New Roman" w:hAnsi="Times New Roman" w:cs="Times New Roman"/>
                <w:sz w:val="24"/>
                <w:szCs w:val="24"/>
              </w:rPr>
              <w:t>9</w:t>
            </w:r>
          </w:p>
        </w:tc>
        <w:tc>
          <w:tcPr>
            <w:tcW w:w="263" w:type="pct"/>
            <w:tcBorders>
              <w:top w:val="nil"/>
              <w:left w:val="nil"/>
              <w:bottom w:val="single" w:sz="4" w:space="0" w:color="auto"/>
              <w:right w:val="single" w:sz="4" w:space="0" w:color="auto"/>
            </w:tcBorders>
            <w:shd w:val="clear" w:color="000000" w:fill="EBF1DE"/>
            <w:vAlign w:val="center"/>
            <w:hideMark/>
          </w:tcPr>
          <w:p w14:paraId="50AA8B88"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w:t>
            </w:r>
            <w:r w:rsidR="001A4989" w:rsidRPr="009C52C4">
              <w:rPr>
                <w:rFonts w:ascii="Times New Roman" w:eastAsia="Times New Roman" w:hAnsi="Times New Roman" w:cs="Times New Roman"/>
                <w:sz w:val="24"/>
                <w:szCs w:val="24"/>
              </w:rPr>
              <w:t>24</w:t>
            </w:r>
          </w:p>
        </w:tc>
        <w:tc>
          <w:tcPr>
            <w:tcW w:w="263" w:type="pct"/>
            <w:tcBorders>
              <w:top w:val="nil"/>
              <w:left w:val="nil"/>
              <w:bottom w:val="single" w:sz="4" w:space="0" w:color="auto"/>
              <w:right w:val="single" w:sz="4" w:space="0" w:color="auto"/>
            </w:tcBorders>
            <w:shd w:val="clear" w:color="000000" w:fill="EBF1DE"/>
            <w:vAlign w:val="center"/>
            <w:hideMark/>
          </w:tcPr>
          <w:p w14:paraId="39B7B9F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w:t>
            </w:r>
            <w:r w:rsidR="001A4989" w:rsidRPr="009C52C4">
              <w:rPr>
                <w:rFonts w:ascii="Times New Roman" w:eastAsia="Times New Roman" w:hAnsi="Times New Roman" w:cs="Times New Roman"/>
                <w:sz w:val="24"/>
                <w:szCs w:val="24"/>
              </w:rPr>
              <w:t>36</w:t>
            </w:r>
          </w:p>
        </w:tc>
        <w:tc>
          <w:tcPr>
            <w:tcW w:w="263" w:type="pct"/>
            <w:tcBorders>
              <w:top w:val="nil"/>
              <w:left w:val="nil"/>
              <w:bottom w:val="single" w:sz="4" w:space="0" w:color="auto"/>
              <w:right w:val="single" w:sz="4" w:space="0" w:color="auto"/>
            </w:tcBorders>
            <w:shd w:val="clear" w:color="000000" w:fill="EBF1DE"/>
            <w:vAlign w:val="center"/>
            <w:hideMark/>
          </w:tcPr>
          <w:p w14:paraId="58655513"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28</w:t>
            </w:r>
            <w:r w:rsidR="003740FA" w:rsidRPr="009C52C4">
              <w:rPr>
                <w:rFonts w:ascii="Times New Roman" w:eastAsia="Times New Roman" w:hAnsi="Times New Roman" w:cs="Times New Roman"/>
                <w:sz w:val="24"/>
                <w:szCs w:val="24"/>
              </w:rPr>
              <w:t>1</w:t>
            </w:r>
          </w:p>
        </w:tc>
        <w:tc>
          <w:tcPr>
            <w:tcW w:w="263" w:type="pct"/>
            <w:tcBorders>
              <w:top w:val="nil"/>
              <w:left w:val="nil"/>
              <w:bottom w:val="single" w:sz="4" w:space="0" w:color="auto"/>
              <w:right w:val="single" w:sz="4" w:space="0" w:color="auto"/>
            </w:tcBorders>
            <w:shd w:val="clear" w:color="000000" w:fill="EBF1DE"/>
            <w:vAlign w:val="center"/>
            <w:hideMark/>
          </w:tcPr>
          <w:p w14:paraId="427DA3C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w:t>
            </w:r>
            <w:r w:rsidR="001A4989" w:rsidRPr="009C52C4">
              <w:rPr>
                <w:rFonts w:ascii="Times New Roman" w:eastAsia="Times New Roman" w:hAnsi="Times New Roman" w:cs="Times New Roman"/>
                <w:sz w:val="24"/>
                <w:szCs w:val="24"/>
              </w:rPr>
              <w:t>8</w:t>
            </w:r>
            <w:r w:rsidRPr="009C52C4">
              <w:rPr>
                <w:rFonts w:ascii="Times New Roman" w:eastAsia="Times New Roman" w:hAnsi="Times New Roman" w:cs="Times New Roman"/>
                <w:sz w:val="24"/>
                <w:szCs w:val="24"/>
              </w:rPr>
              <w:t>5</w:t>
            </w:r>
          </w:p>
        </w:tc>
        <w:tc>
          <w:tcPr>
            <w:tcW w:w="263" w:type="pct"/>
            <w:tcBorders>
              <w:top w:val="nil"/>
              <w:left w:val="nil"/>
              <w:bottom w:val="single" w:sz="4" w:space="0" w:color="auto"/>
              <w:right w:val="single" w:sz="4" w:space="0" w:color="auto"/>
            </w:tcBorders>
            <w:shd w:val="clear" w:color="000000" w:fill="EBF1DE"/>
            <w:vAlign w:val="center"/>
            <w:hideMark/>
          </w:tcPr>
          <w:p w14:paraId="6900D604" w14:textId="77777777" w:rsidR="003740FA" w:rsidRPr="009C52C4" w:rsidRDefault="001A4989"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305</w:t>
            </w:r>
          </w:p>
        </w:tc>
        <w:tc>
          <w:tcPr>
            <w:tcW w:w="262" w:type="pct"/>
            <w:tcBorders>
              <w:top w:val="nil"/>
              <w:left w:val="nil"/>
              <w:bottom w:val="single" w:sz="4" w:space="0" w:color="auto"/>
              <w:right w:val="single" w:sz="8" w:space="0" w:color="auto"/>
            </w:tcBorders>
            <w:shd w:val="clear" w:color="000000" w:fill="EBF1DE"/>
            <w:vAlign w:val="center"/>
            <w:hideMark/>
          </w:tcPr>
          <w:p w14:paraId="601F57A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w:t>
            </w:r>
            <w:r w:rsidR="001A4989" w:rsidRPr="009C52C4">
              <w:rPr>
                <w:rFonts w:ascii="Times New Roman" w:eastAsia="Times New Roman" w:hAnsi="Times New Roman" w:cs="Times New Roman"/>
                <w:sz w:val="24"/>
                <w:szCs w:val="24"/>
              </w:rPr>
              <w:t>3</w:t>
            </w:r>
            <w:r w:rsidRPr="009C52C4">
              <w:rPr>
                <w:rFonts w:ascii="Times New Roman" w:eastAsia="Times New Roman" w:hAnsi="Times New Roman" w:cs="Times New Roman"/>
                <w:sz w:val="24"/>
                <w:szCs w:val="24"/>
              </w:rPr>
              <w:t>9</w:t>
            </w:r>
          </w:p>
        </w:tc>
      </w:tr>
      <w:tr w:rsidR="009C1E24" w:rsidRPr="009C52C4" w14:paraId="2317D39D" w14:textId="77777777" w:rsidTr="000B57C1">
        <w:trPr>
          <w:trHeight w:val="272"/>
        </w:trPr>
        <w:tc>
          <w:tcPr>
            <w:tcW w:w="1266" w:type="pct"/>
            <w:tcBorders>
              <w:top w:val="nil"/>
              <w:left w:val="single" w:sz="8" w:space="0" w:color="auto"/>
              <w:bottom w:val="single" w:sz="8" w:space="0" w:color="auto"/>
              <w:right w:val="single" w:sz="8" w:space="0" w:color="auto"/>
            </w:tcBorders>
            <w:shd w:val="clear" w:color="000000" w:fill="EBF1DE"/>
            <w:vAlign w:val="center"/>
            <w:hideMark/>
          </w:tcPr>
          <w:p w14:paraId="207F67C8" w14:textId="77777777" w:rsidR="003740FA" w:rsidRPr="009C52C4" w:rsidRDefault="003740FA" w:rsidP="00FF3744">
            <w:pPr>
              <w:jc w:val="left"/>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Nestambene zgrade komercijalne namjene</w:t>
            </w:r>
          </w:p>
        </w:tc>
        <w:tc>
          <w:tcPr>
            <w:tcW w:w="316" w:type="pct"/>
            <w:tcBorders>
              <w:top w:val="nil"/>
              <w:left w:val="nil"/>
              <w:bottom w:val="single" w:sz="8" w:space="0" w:color="auto"/>
              <w:right w:val="single" w:sz="4" w:space="0" w:color="auto"/>
            </w:tcBorders>
            <w:shd w:val="clear" w:color="000000" w:fill="EBF1DE"/>
            <w:vAlign w:val="center"/>
            <w:hideMark/>
          </w:tcPr>
          <w:p w14:paraId="52BD31E1"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286</w:t>
            </w:r>
          </w:p>
        </w:tc>
        <w:tc>
          <w:tcPr>
            <w:tcW w:w="263" w:type="pct"/>
            <w:tcBorders>
              <w:top w:val="nil"/>
              <w:left w:val="nil"/>
              <w:bottom w:val="single" w:sz="8" w:space="0" w:color="auto"/>
              <w:right w:val="single" w:sz="4" w:space="0" w:color="auto"/>
            </w:tcBorders>
            <w:shd w:val="clear" w:color="000000" w:fill="EBF1DE"/>
            <w:vAlign w:val="center"/>
            <w:hideMark/>
          </w:tcPr>
          <w:p w14:paraId="3F2F76DB"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443</w:t>
            </w:r>
          </w:p>
        </w:tc>
        <w:tc>
          <w:tcPr>
            <w:tcW w:w="263" w:type="pct"/>
            <w:tcBorders>
              <w:top w:val="nil"/>
              <w:left w:val="nil"/>
              <w:bottom w:val="single" w:sz="8" w:space="0" w:color="auto"/>
              <w:right w:val="single" w:sz="4" w:space="0" w:color="auto"/>
            </w:tcBorders>
            <w:shd w:val="clear" w:color="000000" w:fill="EBF1DE"/>
            <w:vAlign w:val="center"/>
            <w:hideMark/>
          </w:tcPr>
          <w:p w14:paraId="1AEF7B8A"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570</w:t>
            </w:r>
          </w:p>
        </w:tc>
        <w:tc>
          <w:tcPr>
            <w:tcW w:w="263" w:type="pct"/>
            <w:tcBorders>
              <w:top w:val="nil"/>
              <w:left w:val="nil"/>
              <w:bottom w:val="single" w:sz="8" w:space="0" w:color="auto"/>
              <w:right w:val="single" w:sz="4" w:space="0" w:color="auto"/>
            </w:tcBorders>
            <w:shd w:val="clear" w:color="000000" w:fill="EBF1DE"/>
            <w:vAlign w:val="center"/>
            <w:hideMark/>
          </w:tcPr>
          <w:p w14:paraId="706317A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451</w:t>
            </w:r>
          </w:p>
        </w:tc>
        <w:tc>
          <w:tcPr>
            <w:tcW w:w="263" w:type="pct"/>
            <w:tcBorders>
              <w:top w:val="nil"/>
              <w:left w:val="nil"/>
              <w:bottom w:val="single" w:sz="8" w:space="0" w:color="auto"/>
              <w:right w:val="single" w:sz="4" w:space="0" w:color="auto"/>
            </w:tcBorders>
            <w:shd w:val="clear" w:color="000000" w:fill="EBF1DE"/>
            <w:vAlign w:val="center"/>
            <w:hideMark/>
          </w:tcPr>
          <w:p w14:paraId="248F3630"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400</w:t>
            </w:r>
          </w:p>
        </w:tc>
        <w:tc>
          <w:tcPr>
            <w:tcW w:w="263" w:type="pct"/>
            <w:tcBorders>
              <w:top w:val="nil"/>
              <w:left w:val="nil"/>
              <w:bottom w:val="single" w:sz="8" w:space="0" w:color="auto"/>
              <w:right w:val="single" w:sz="4" w:space="0" w:color="auto"/>
            </w:tcBorders>
            <w:shd w:val="clear" w:color="000000" w:fill="EBF1DE"/>
            <w:vAlign w:val="center"/>
            <w:hideMark/>
          </w:tcPr>
          <w:p w14:paraId="251EA515"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340</w:t>
            </w:r>
          </w:p>
        </w:tc>
        <w:tc>
          <w:tcPr>
            <w:tcW w:w="263" w:type="pct"/>
            <w:tcBorders>
              <w:top w:val="nil"/>
              <w:left w:val="nil"/>
              <w:bottom w:val="single" w:sz="8" w:space="0" w:color="auto"/>
              <w:right w:val="single" w:sz="12" w:space="0" w:color="auto"/>
            </w:tcBorders>
            <w:shd w:val="clear" w:color="000000" w:fill="EBF1DE"/>
            <w:vAlign w:val="center"/>
            <w:hideMark/>
          </w:tcPr>
          <w:p w14:paraId="23AFE1B6"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178</w:t>
            </w:r>
          </w:p>
        </w:tc>
        <w:tc>
          <w:tcPr>
            <w:tcW w:w="263" w:type="pct"/>
            <w:tcBorders>
              <w:top w:val="single" w:sz="4" w:space="0" w:color="auto"/>
              <w:left w:val="single" w:sz="12" w:space="0" w:color="auto"/>
              <w:bottom w:val="single" w:sz="8" w:space="0" w:color="auto"/>
              <w:right w:val="single" w:sz="4" w:space="0" w:color="auto"/>
            </w:tcBorders>
            <w:shd w:val="clear" w:color="000000" w:fill="EBF1DE"/>
            <w:vAlign w:val="center"/>
            <w:hideMark/>
          </w:tcPr>
          <w:p w14:paraId="2D72B6BF"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143</w:t>
            </w:r>
          </w:p>
        </w:tc>
        <w:tc>
          <w:tcPr>
            <w:tcW w:w="263" w:type="pct"/>
            <w:tcBorders>
              <w:top w:val="nil"/>
              <w:left w:val="nil"/>
              <w:bottom w:val="single" w:sz="8" w:space="0" w:color="auto"/>
              <w:right w:val="single" w:sz="4" w:space="0" w:color="auto"/>
            </w:tcBorders>
            <w:shd w:val="clear" w:color="000000" w:fill="EBF1DE"/>
            <w:vAlign w:val="center"/>
            <w:hideMark/>
          </w:tcPr>
          <w:p w14:paraId="24D976A2"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270</w:t>
            </w:r>
          </w:p>
        </w:tc>
        <w:tc>
          <w:tcPr>
            <w:tcW w:w="263" w:type="pct"/>
            <w:tcBorders>
              <w:top w:val="nil"/>
              <w:left w:val="nil"/>
              <w:bottom w:val="single" w:sz="8" w:space="0" w:color="auto"/>
              <w:right w:val="single" w:sz="4" w:space="0" w:color="auto"/>
            </w:tcBorders>
            <w:shd w:val="clear" w:color="000000" w:fill="EBF1DE"/>
            <w:vAlign w:val="center"/>
            <w:hideMark/>
          </w:tcPr>
          <w:p w14:paraId="45A8F600"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404</w:t>
            </w:r>
          </w:p>
        </w:tc>
        <w:tc>
          <w:tcPr>
            <w:tcW w:w="263" w:type="pct"/>
            <w:tcBorders>
              <w:top w:val="nil"/>
              <w:left w:val="nil"/>
              <w:bottom w:val="single" w:sz="8" w:space="0" w:color="auto"/>
              <w:right w:val="single" w:sz="4" w:space="0" w:color="auto"/>
            </w:tcBorders>
            <w:shd w:val="clear" w:color="000000" w:fill="EBF1DE"/>
            <w:vAlign w:val="center"/>
            <w:hideMark/>
          </w:tcPr>
          <w:p w14:paraId="7DF22CF9"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339</w:t>
            </w:r>
          </w:p>
        </w:tc>
        <w:tc>
          <w:tcPr>
            <w:tcW w:w="263" w:type="pct"/>
            <w:tcBorders>
              <w:top w:val="nil"/>
              <w:left w:val="nil"/>
              <w:bottom w:val="single" w:sz="8" w:space="0" w:color="auto"/>
              <w:right w:val="single" w:sz="4" w:space="0" w:color="auto"/>
            </w:tcBorders>
            <w:shd w:val="clear" w:color="000000" w:fill="EBF1DE"/>
            <w:vAlign w:val="center"/>
            <w:hideMark/>
          </w:tcPr>
          <w:p w14:paraId="4EB43787"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464</w:t>
            </w:r>
          </w:p>
        </w:tc>
        <w:tc>
          <w:tcPr>
            <w:tcW w:w="263" w:type="pct"/>
            <w:tcBorders>
              <w:top w:val="nil"/>
              <w:left w:val="nil"/>
              <w:bottom w:val="single" w:sz="8" w:space="0" w:color="auto"/>
              <w:right w:val="single" w:sz="4" w:space="0" w:color="auto"/>
            </w:tcBorders>
            <w:shd w:val="clear" w:color="000000" w:fill="EBF1DE"/>
            <w:vAlign w:val="center"/>
            <w:hideMark/>
          </w:tcPr>
          <w:p w14:paraId="72C3259C"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368</w:t>
            </w:r>
          </w:p>
        </w:tc>
        <w:tc>
          <w:tcPr>
            <w:tcW w:w="262" w:type="pct"/>
            <w:tcBorders>
              <w:top w:val="nil"/>
              <w:left w:val="nil"/>
              <w:bottom w:val="single" w:sz="8" w:space="0" w:color="auto"/>
              <w:right w:val="single" w:sz="8" w:space="0" w:color="auto"/>
            </w:tcBorders>
            <w:shd w:val="clear" w:color="000000" w:fill="EBF1DE"/>
            <w:vAlign w:val="center"/>
            <w:hideMark/>
          </w:tcPr>
          <w:p w14:paraId="4386BD45" w14:textId="77777777" w:rsidR="003740FA" w:rsidRPr="009C52C4" w:rsidRDefault="003740FA" w:rsidP="00CC263E">
            <w:pPr>
              <w:jc w:val="center"/>
              <w:rPr>
                <w:rFonts w:ascii="Times New Roman" w:eastAsia="Times New Roman" w:hAnsi="Times New Roman" w:cs="Times New Roman"/>
                <w:sz w:val="24"/>
                <w:szCs w:val="24"/>
              </w:rPr>
            </w:pPr>
            <w:r w:rsidRPr="009C52C4">
              <w:rPr>
                <w:rFonts w:ascii="Times New Roman" w:eastAsia="Times New Roman" w:hAnsi="Times New Roman" w:cs="Times New Roman"/>
                <w:sz w:val="24"/>
                <w:szCs w:val="24"/>
              </w:rPr>
              <w:t>167</w:t>
            </w:r>
          </w:p>
        </w:tc>
      </w:tr>
    </w:tbl>
    <w:p w14:paraId="641DF5D1" w14:textId="77777777" w:rsidR="00D4611E" w:rsidRPr="009C52C4" w:rsidRDefault="000B57C1">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6C6C2D36" w14:textId="77777777" w:rsidR="00D4611E" w:rsidRPr="009C52C4" w:rsidRDefault="00D4611E">
      <w:pPr>
        <w:rPr>
          <w:rFonts w:ascii="Times New Roman" w:hAnsi="Times New Roman" w:cs="Times New Roman"/>
          <w:sz w:val="24"/>
          <w:szCs w:val="24"/>
        </w:rPr>
      </w:pPr>
    </w:p>
    <w:p w14:paraId="0D0F6C1A" w14:textId="77777777" w:rsidR="003740FA" w:rsidRPr="009C52C4" w:rsidRDefault="003740FA" w:rsidP="00853BC8">
      <w:pPr>
        <w:numPr>
          <w:ilvl w:val="3"/>
          <w:numId w:val="13"/>
        </w:numPr>
        <w:ind w:hanging="863"/>
        <w:contextualSpacing/>
        <w:rPr>
          <w:rFonts w:ascii="Times New Roman" w:hAnsi="Times New Roman" w:cs="Times New Roman"/>
          <w:b/>
          <w:sz w:val="24"/>
          <w:szCs w:val="24"/>
        </w:rPr>
        <w:sectPr w:rsidR="003740FA" w:rsidRPr="009C52C4" w:rsidSect="00227458">
          <w:pgSz w:w="16838" w:h="11906" w:orient="landscape"/>
          <w:pgMar w:top="1417" w:right="1417" w:bottom="1417" w:left="1417" w:header="720" w:footer="720" w:gutter="0"/>
          <w:cols w:space="720"/>
          <w:docGrid w:linePitch="299"/>
        </w:sectPr>
      </w:pPr>
    </w:p>
    <w:p w14:paraId="23B2E21C"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lastRenderedPageBreak/>
        <w:t>Karakteristično razdoblje izgradnje do 1940. godine</w:t>
      </w:r>
    </w:p>
    <w:p w14:paraId="20991CA6" w14:textId="77777777" w:rsidR="00B122B4" w:rsidRPr="009C52C4" w:rsidRDefault="00B122B4">
      <w:pPr>
        <w:rPr>
          <w:rFonts w:ascii="Times New Roman" w:hAnsi="Times New Roman" w:cs="Times New Roman"/>
          <w:sz w:val="24"/>
          <w:szCs w:val="24"/>
        </w:rPr>
      </w:pPr>
    </w:p>
    <w:p w14:paraId="2CECC2EE" w14:textId="26418302" w:rsidR="00BD461D" w:rsidRPr="009C52C4" w:rsidRDefault="00BD461D" w:rsidP="00BD461D">
      <w:pPr>
        <w:rPr>
          <w:rFonts w:ascii="Times New Roman" w:hAnsi="Times New Roman" w:cs="Times New Roman"/>
          <w:sz w:val="24"/>
          <w:szCs w:val="24"/>
        </w:rPr>
      </w:pPr>
      <w:bookmarkStart w:id="57" w:name="h.qsh70q" w:colFirst="0" w:colLast="0"/>
      <w:bookmarkEnd w:id="57"/>
      <w:r w:rsidRPr="009C52C4">
        <w:rPr>
          <w:rFonts w:ascii="Times New Roman" w:hAnsi="Times New Roman" w:cs="Times New Roman"/>
          <w:sz w:val="24"/>
          <w:szCs w:val="24"/>
        </w:rPr>
        <w:t>Osnovno obilježje zgrada ovog</w:t>
      </w:r>
      <w:r w:rsidR="003E2084" w:rsidRPr="009C52C4">
        <w:rPr>
          <w:rFonts w:ascii="Times New Roman" w:hAnsi="Times New Roman" w:cs="Times New Roman"/>
          <w:sz w:val="24"/>
          <w:szCs w:val="24"/>
        </w:rPr>
        <w:t>a</w:t>
      </w:r>
      <w:r w:rsidRPr="009C52C4">
        <w:rPr>
          <w:rFonts w:ascii="Times New Roman" w:hAnsi="Times New Roman" w:cs="Times New Roman"/>
          <w:sz w:val="24"/>
          <w:szCs w:val="24"/>
        </w:rPr>
        <w:t xml:space="preserve"> razdoblja je gradnja tradicionalnim tehnikama i materijalima, bez primjene toplinske zaštite. Zgrade su građene kao zidane konstrukcije od pune opeke ili kamena (prvenstveno u primorskom području), debljine zida od 30 do 60 cm zadovoljavajući statiku konstrukcije. Stropovi su uglavnom drveni ili masivni od opeke, kamena ili betonskih elemenata (rebričasti betonski strop). Takve zgrade masivnih debelih zidova, zbog velike debljine konstrukcije i relativno niskog stupnja zagrijavanja prostora, nisu imale tako velike toplinske gubitke, kao novije lake betonske konstrukcije bez toplinske zaštite. Vrijednosti koeficijenta prolaska topline prikazani </w:t>
      </w:r>
      <w:r w:rsidR="00EA52CE" w:rsidRPr="009C52C4">
        <w:rPr>
          <w:rFonts w:ascii="Times New Roman" w:hAnsi="Times New Roman" w:cs="Times New Roman"/>
          <w:sz w:val="24"/>
          <w:szCs w:val="24"/>
        </w:rPr>
        <w:t>tablicom u nastavku</w:t>
      </w:r>
      <w:r w:rsidRPr="009C52C4">
        <w:rPr>
          <w:rFonts w:ascii="Times New Roman" w:hAnsi="Times New Roman" w:cs="Times New Roman"/>
          <w:sz w:val="24"/>
          <w:szCs w:val="24"/>
        </w:rPr>
        <w:t xml:space="preserve"> </w:t>
      </w:r>
      <w:r w:rsidR="00EA52CE" w:rsidRPr="009C52C4">
        <w:rPr>
          <w:rFonts w:ascii="Times New Roman" w:hAnsi="Times New Roman" w:cs="Times New Roman"/>
          <w:sz w:val="24"/>
          <w:szCs w:val="24"/>
        </w:rPr>
        <w:t>(</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_Ref483403876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11</w:t>
      </w:r>
      <w:r w:rsidR="003D0360" w:rsidRPr="009C52C4">
        <w:rPr>
          <w:rFonts w:ascii="Times New Roman" w:hAnsi="Times New Roman" w:cs="Times New Roman"/>
          <w:sz w:val="24"/>
          <w:szCs w:val="24"/>
        </w:rPr>
        <w:fldChar w:fldCharType="end"/>
      </w:r>
      <w:r w:rsidR="00EA52CE" w:rsidRPr="009C52C4">
        <w:rPr>
          <w:rFonts w:ascii="Times New Roman" w:hAnsi="Times New Roman" w:cs="Times New Roman"/>
          <w:sz w:val="24"/>
          <w:szCs w:val="24"/>
        </w:rPr>
        <w:t>)</w:t>
      </w:r>
      <w:r w:rsidRPr="009C52C4">
        <w:rPr>
          <w:rFonts w:ascii="Times New Roman" w:hAnsi="Times New Roman" w:cs="Times New Roman"/>
          <w:sz w:val="24"/>
          <w:szCs w:val="24"/>
        </w:rPr>
        <w:t xml:space="preserve"> ne zadovoljavaju zahtjeve današnjih propisa te se kroz njih gubi znatan dio toplinske energije i pojavljuje se problem vlage. Provjetravani podrumi služe kao tampon prostor između tla i prostora prizemlja, a stropovi prema negrijanom tavanu se najčešće izvode kao drveni stropovi s podgledom (žbuka na daščanoj oplati), nasipom šute i gornjom daščanom oplatom kao podom tavana. Prozori i vrata zgrada ovog</w:t>
      </w:r>
      <w:r w:rsidR="003E2084" w:rsidRPr="009C52C4">
        <w:rPr>
          <w:rFonts w:ascii="Times New Roman" w:hAnsi="Times New Roman" w:cs="Times New Roman"/>
          <w:sz w:val="24"/>
          <w:szCs w:val="24"/>
        </w:rPr>
        <w:t>a</w:t>
      </w:r>
      <w:r w:rsidRPr="009C52C4">
        <w:rPr>
          <w:rFonts w:ascii="Times New Roman" w:hAnsi="Times New Roman" w:cs="Times New Roman"/>
          <w:sz w:val="24"/>
          <w:szCs w:val="24"/>
        </w:rPr>
        <w:t xml:space="preserve"> razdoblja izgradnje uglavnom su drveni, jednostruki ili dvostruki, </w:t>
      </w:r>
      <w:r w:rsidR="006107D4" w:rsidRPr="009C52C4">
        <w:rPr>
          <w:rFonts w:ascii="Times New Roman" w:hAnsi="Times New Roman" w:cs="Times New Roman"/>
          <w:sz w:val="24"/>
          <w:szCs w:val="24"/>
        </w:rPr>
        <w:t>ostakljeni</w:t>
      </w:r>
      <w:r w:rsidRPr="009C52C4">
        <w:rPr>
          <w:rFonts w:ascii="Times New Roman" w:hAnsi="Times New Roman" w:cs="Times New Roman"/>
          <w:sz w:val="24"/>
          <w:szCs w:val="24"/>
        </w:rPr>
        <w:t xml:space="preserve"> s jednim ili dva stakla po krilu, i bez brtvi.</w:t>
      </w:r>
    </w:p>
    <w:p w14:paraId="11FEE7E6" w14:textId="77777777" w:rsidR="00B122B4" w:rsidRPr="009C52C4" w:rsidRDefault="00B122B4">
      <w:pPr>
        <w:jc w:val="left"/>
        <w:rPr>
          <w:rFonts w:ascii="Times New Roman" w:hAnsi="Times New Roman" w:cs="Times New Roman"/>
          <w:sz w:val="24"/>
          <w:szCs w:val="24"/>
        </w:rPr>
      </w:pPr>
    </w:p>
    <w:p w14:paraId="49EFEC9C" w14:textId="6A148575" w:rsidR="004F7490" w:rsidRPr="009C52C4" w:rsidRDefault="006730B1" w:rsidP="004F7490">
      <w:pPr>
        <w:pStyle w:val="Caption"/>
        <w:rPr>
          <w:rFonts w:ascii="Times New Roman" w:hAnsi="Times New Roman" w:cs="Times New Roman"/>
          <w:b w:val="0"/>
          <w:bCs w:val="0"/>
          <w:color w:val="000000"/>
          <w:sz w:val="24"/>
          <w:szCs w:val="24"/>
          <w:vertAlign w:val="superscript"/>
        </w:rPr>
      </w:pPr>
      <w:bookmarkStart w:id="58" w:name="h.3as4poj" w:colFirst="0" w:colLast="0"/>
      <w:bookmarkStart w:id="59" w:name="_Ref483403876"/>
      <w:bookmarkStart w:id="60" w:name="_Toc2681304"/>
      <w:bookmarkEnd w:id="58"/>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11</w:t>
      </w:r>
      <w:r w:rsidR="00B6149D" w:rsidRPr="009C52C4">
        <w:rPr>
          <w:rFonts w:ascii="Times New Roman" w:hAnsi="Times New Roman" w:cs="Times New Roman"/>
          <w:noProof/>
          <w:sz w:val="24"/>
          <w:szCs w:val="24"/>
        </w:rPr>
        <w:fldChar w:fldCharType="end"/>
      </w:r>
      <w:bookmarkEnd w:id="59"/>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Koeficijenti prolaska topline za karakteristične građevne dijelove</w:t>
      </w:r>
      <w:bookmarkEnd w:id="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40"/>
        <w:gridCol w:w="1224"/>
        <w:gridCol w:w="1468"/>
        <w:gridCol w:w="1470"/>
      </w:tblGrid>
      <w:tr w:rsidR="00D41DA8" w:rsidRPr="009C52C4" w14:paraId="541D1AF9" w14:textId="77777777" w:rsidTr="00887E64">
        <w:trPr>
          <w:trHeight w:val="20"/>
        </w:trPr>
        <w:tc>
          <w:tcPr>
            <w:tcW w:w="2763" w:type="pct"/>
            <w:shd w:val="clear" w:color="auto" w:fill="C2D69B"/>
            <w:tcMar>
              <w:left w:w="115" w:type="dxa"/>
              <w:right w:w="115" w:type="dxa"/>
            </w:tcMar>
            <w:vAlign w:val="center"/>
          </w:tcPr>
          <w:p w14:paraId="28FE6306" w14:textId="77777777" w:rsidR="00D41DA8" w:rsidRPr="009C52C4" w:rsidRDefault="00D41DA8">
            <w:pPr>
              <w:tabs>
                <w:tab w:val="left" w:pos="851"/>
              </w:tabs>
              <w:jc w:val="center"/>
              <w:rPr>
                <w:rFonts w:ascii="Times New Roman" w:hAnsi="Times New Roman" w:cs="Times New Roman"/>
                <w:sz w:val="24"/>
                <w:szCs w:val="24"/>
              </w:rPr>
            </w:pPr>
            <w:r w:rsidRPr="009C52C4">
              <w:rPr>
                <w:rFonts w:ascii="Times New Roman" w:hAnsi="Times New Roman" w:cs="Times New Roman"/>
                <w:b/>
                <w:sz w:val="24"/>
                <w:szCs w:val="24"/>
              </w:rPr>
              <w:t>Karakteristični građevinski dio</w:t>
            </w:r>
          </w:p>
        </w:tc>
        <w:tc>
          <w:tcPr>
            <w:tcW w:w="2237" w:type="pct"/>
            <w:gridSpan w:val="3"/>
            <w:shd w:val="clear" w:color="auto" w:fill="C2D69B"/>
            <w:tcMar>
              <w:left w:w="115" w:type="dxa"/>
              <w:right w:w="115" w:type="dxa"/>
            </w:tcMar>
            <w:vAlign w:val="center"/>
          </w:tcPr>
          <w:p w14:paraId="4229AEA0" w14:textId="77777777" w:rsidR="00D41DA8" w:rsidRPr="009C52C4" w:rsidRDefault="00D41DA8"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Koeficijent prolaska topline, U [W/m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K]</w:t>
            </w:r>
          </w:p>
        </w:tc>
      </w:tr>
      <w:tr w:rsidR="00B122B4" w:rsidRPr="009C52C4" w14:paraId="3F1EE66F" w14:textId="77777777" w:rsidTr="00887E64">
        <w:trPr>
          <w:trHeight w:val="20"/>
        </w:trPr>
        <w:tc>
          <w:tcPr>
            <w:tcW w:w="2763" w:type="pct"/>
            <w:shd w:val="clear" w:color="auto" w:fill="C2D69B"/>
            <w:tcMar>
              <w:left w:w="115" w:type="dxa"/>
              <w:right w:w="115" w:type="dxa"/>
            </w:tcMar>
            <w:vAlign w:val="center"/>
          </w:tcPr>
          <w:p w14:paraId="7BA09D0B" w14:textId="77777777" w:rsidR="00B122B4" w:rsidRPr="009C52C4" w:rsidRDefault="00F54CC3">
            <w:pPr>
              <w:tabs>
                <w:tab w:val="left" w:pos="851"/>
              </w:tabs>
              <w:jc w:val="center"/>
              <w:rPr>
                <w:rFonts w:ascii="Times New Roman" w:hAnsi="Times New Roman" w:cs="Times New Roman"/>
                <w:sz w:val="24"/>
                <w:szCs w:val="24"/>
              </w:rPr>
            </w:pPr>
            <w:r w:rsidRPr="009C52C4">
              <w:rPr>
                <w:rFonts w:ascii="Times New Roman" w:hAnsi="Times New Roman" w:cs="Times New Roman"/>
                <w:b/>
                <w:sz w:val="24"/>
                <w:szCs w:val="24"/>
              </w:rPr>
              <w:t>Karakteristično razdoblje</w:t>
            </w:r>
          </w:p>
        </w:tc>
        <w:tc>
          <w:tcPr>
            <w:tcW w:w="658" w:type="pct"/>
            <w:shd w:val="clear" w:color="auto" w:fill="C2D69B"/>
            <w:tcMar>
              <w:left w:w="115" w:type="dxa"/>
              <w:right w:w="115" w:type="dxa"/>
            </w:tcMar>
            <w:vAlign w:val="center"/>
          </w:tcPr>
          <w:p w14:paraId="5BB59FFD"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b/>
                <w:sz w:val="24"/>
                <w:szCs w:val="24"/>
              </w:rPr>
              <w:t>do 1940.</w:t>
            </w:r>
          </w:p>
        </w:tc>
        <w:tc>
          <w:tcPr>
            <w:tcW w:w="789" w:type="pct"/>
            <w:shd w:val="clear" w:color="auto" w:fill="C2D69B"/>
            <w:tcMar>
              <w:left w:w="115" w:type="dxa"/>
              <w:right w:w="115" w:type="dxa"/>
            </w:tcMar>
            <w:vAlign w:val="center"/>
          </w:tcPr>
          <w:p w14:paraId="61C7837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b/>
                <w:sz w:val="24"/>
                <w:szCs w:val="24"/>
              </w:rPr>
              <w:t>1941.-1970.</w:t>
            </w:r>
          </w:p>
        </w:tc>
        <w:tc>
          <w:tcPr>
            <w:tcW w:w="790" w:type="pct"/>
            <w:shd w:val="clear" w:color="auto" w:fill="C2D69B"/>
            <w:tcMar>
              <w:left w:w="115" w:type="dxa"/>
              <w:right w:w="115" w:type="dxa"/>
            </w:tcMar>
            <w:vAlign w:val="center"/>
          </w:tcPr>
          <w:p w14:paraId="3E0ACB1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b/>
                <w:sz w:val="24"/>
                <w:szCs w:val="24"/>
              </w:rPr>
              <w:t>1971.-1980.</w:t>
            </w:r>
          </w:p>
        </w:tc>
      </w:tr>
      <w:tr w:rsidR="00B122B4" w:rsidRPr="009C52C4" w14:paraId="2B31C28A" w14:textId="77777777" w:rsidTr="00887E64">
        <w:trPr>
          <w:trHeight w:val="20"/>
        </w:trPr>
        <w:tc>
          <w:tcPr>
            <w:tcW w:w="2763" w:type="pct"/>
            <w:shd w:val="clear" w:color="auto" w:fill="EAF1DD"/>
            <w:tcMar>
              <w:left w:w="115" w:type="dxa"/>
              <w:right w:w="115" w:type="dxa"/>
            </w:tcMar>
            <w:vAlign w:val="center"/>
          </w:tcPr>
          <w:p w14:paraId="1F7B146E"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 prema garaži ili tavanu</w:t>
            </w:r>
          </w:p>
        </w:tc>
        <w:tc>
          <w:tcPr>
            <w:tcW w:w="658" w:type="pct"/>
            <w:shd w:val="clear" w:color="auto" w:fill="EAF1DD"/>
            <w:tcMar>
              <w:left w:w="115" w:type="dxa"/>
              <w:right w:w="115" w:type="dxa"/>
            </w:tcMar>
            <w:vAlign w:val="center"/>
          </w:tcPr>
          <w:p w14:paraId="4FCB8D36"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1,40*</w:t>
            </w:r>
            <w:r w:rsidRPr="009C52C4">
              <w:rPr>
                <w:rFonts w:ascii="Times New Roman" w:hAnsi="Times New Roman" w:cs="Times New Roman"/>
                <w:sz w:val="24"/>
                <w:szCs w:val="24"/>
                <w:vertAlign w:val="superscript"/>
              </w:rPr>
              <w:t>1</w:t>
            </w:r>
          </w:p>
        </w:tc>
        <w:tc>
          <w:tcPr>
            <w:tcW w:w="789" w:type="pct"/>
            <w:shd w:val="clear" w:color="auto" w:fill="EAF1DD"/>
            <w:tcMar>
              <w:left w:w="115" w:type="dxa"/>
              <w:right w:w="115" w:type="dxa"/>
            </w:tcMar>
            <w:vAlign w:val="center"/>
          </w:tcPr>
          <w:p w14:paraId="4EF534DF"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3,56*</w:t>
            </w:r>
            <w:r w:rsidRPr="009C52C4">
              <w:rPr>
                <w:rFonts w:ascii="Times New Roman" w:hAnsi="Times New Roman" w:cs="Times New Roman"/>
                <w:sz w:val="24"/>
                <w:szCs w:val="24"/>
                <w:vertAlign w:val="superscript"/>
              </w:rPr>
              <w:t>6</w:t>
            </w:r>
          </w:p>
        </w:tc>
        <w:tc>
          <w:tcPr>
            <w:tcW w:w="790" w:type="pct"/>
            <w:shd w:val="clear" w:color="auto" w:fill="EAF1DD"/>
            <w:tcMar>
              <w:left w:w="115" w:type="dxa"/>
              <w:right w:w="115" w:type="dxa"/>
            </w:tcMar>
            <w:vAlign w:val="center"/>
          </w:tcPr>
          <w:p w14:paraId="2FFA2A3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1,13*</w:t>
            </w:r>
            <w:r w:rsidRPr="009C52C4">
              <w:rPr>
                <w:rFonts w:ascii="Times New Roman" w:hAnsi="Times New Roman" w:cs="Times New Roman"/>
                <w:sz w:val="24"/>
                <w:szCs w:val="24"/>
                <w:vertAlign w:val="superscript"/>
              </w:rPr>
              <w:t>13</w:t>
            </w:r>
          </w:p>
        </w:tc>
      </w:tr>
      <w:tr w:rsidR="00B122B4" w:rsidRPr="009C52C4" w14:paraId="3529A851" w14:textId="77777777" w:rsidTr="00887E64">
        <w:trPr>
          <w:trHeight w:val="20"/>
        </w:trPr>
        <w:tc>
          <w:tcPr>
            <w:tcW w:w="2763" w:type="pct"/>
            <w:shd w:val="clear" w:color="auto" w:fill="EAF1DD"/>
            <w:tcMar>
              <w:left w:w="115" w:type="dxa"/>
              <w:right w:w="115" w:type="dxa"/>
            </w:tcMar>
            <w:vAlign w:val="center"/>
          </w:tcPr>
          <w:p w14:paraId="2F010412"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Pod na tlu</w:t>
            </w:r>
          </w:p>
        </w:tc>
        <w:tc>
          <w:tcPr>
            <w:tcW w:w="658" w:type="pct"/>
            <w:shd w:val="clear" w:color="auto" w:fill="EAF1DD"/>
            <w:tcMar>
              <w:left w:w="115" w:type="dxa"/>
              <w:right w:w="115" w:type="dxa"/>
            </w:tcMar>
            <w:vAlign w:val="center"/>
          </w:tcPr>
          <w:p w14:paraId="5505FB82"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2,67</w:t>
            </w:r>
          </w:p>
        </w:tc>
        <w:tc>
          <w:tcPr>
            <w:tcW w:w="789" w:type="pct"/>
            <w:shd w:val="clear" w:color="auto" w:fill="EAF1DD"/>
            <w:tcMar>
              <w:left w:w="115" w:type="dxa"/>
              <w:right w:w="115" w:type="dxa"/>
            </w:tcMar>
            <w:vAlign w:val="center"/>
          </w:tcPr>
          <w:p w14:paraId="618E835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2,67</w:t>
            </w:r>
          </w:p>
        </w:tc>
        <w:tc>
          <w:tcPr>
            <w:tcW w:w="790" w:type="pct"/>
            <w:shd w:val="clear" w:color="auto" w:fill="EAF1DD"/>
            <w:tcMar>
              <w:left w:w="115" w:type="dxa"/>
              <w:right w:w="115" w:type="dxa"/>
            </w:tcMar>
            <w:vAlign w:val="center"/>
          </w:tcPr>
          <w:p w14:paraId="3350932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0,89*</w:t>
            </w:r>
            <w:r w:rsidRPr="009C52C4">
              <w:rPr>
                <w:rFonts w:ascii="Times New Roman" w:hAnsi="Times New Roman" w:cs="Times New Roman"/>
                <w:sz w:val="24"/>
                <w:szCs w:val="24"/>
                <w:vertAlign w:val="superscript"/>
              </w:rPr>
              <w:t>14</w:t>
            </w:r>
          </w:p>
        </w:tc>
      </w:tr>
      <w:tr w:rsidR="00B122B4" w:rsidRPr="009C52C4" w14:paraId="28458092" w14:textId="77777777" w:rsidTr="00887E64">
        <w:trPr>
          <w:trHeight w:val="20"/>
        </w:trPr>
        <w:tc>
          <w:tcPr>
            <w:tcW w:w="2763" w:type="pct"/>
            <w:shd w:val="clear" w:color="auto" w:fill="EAF1DD"/>
            <w:tcMar>
              <w:left w:w="115" w:type="dxa"/>
              <w:right w:w="115" w:type="dxa"/>
            </w:tcMar>
            <w:vAlign w:val="center"/>
          </w:tcPr>
          <w:p w14:paraId="1A2AF5E8"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Zid prema negrijanom stubištu</w:t>
            </w:r>
          </w:p>
        </w:tc>
        <w:tc>
          <w:tcPr>
            <w:tcW w:w="658" w:type="pct"/>
            <w:shd w:val="clear" w:color="auto" w:fill="EAF1DD"/>
            <w:tcMar>
              <w:left w:w="115" w:type="dxa"/>
              <w:right w:w="115" w:type="dxa"/>
            </w:tcMar>
            <w:vAlign w:val="center"/>
          </w:tcPr>
          <w:p w14:paraId="7D288DE2"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1,64*</w:t>
            </w:r>
            <w:r w:rsidRPr="009C52C4">
              <w:rPr>
                <w:rFonts w:ascii="Times New Roman" w:hAnsi="Times New Roman" w:cs="Times New Roman"/>
                <w:sz w:val="24"/>
                <w:szCs w:val="24"/>
                <w:vertAlign w:val="superscript"/>
              </w:rPr>
              <w:t>2</w:t>
            </w:r>
          </w:p>
        </w:tc>
        <w:tc>
          <w:tcPr>
            <w:tcW w:w="789" w:type="pct"/>
            <w:shd w:val="clear" w:color="auto" w:fill="EAF1DD"/>
            <w:tcMar>
              <w:left w:w="115" w:type="dxa"/>
              <w:right w:w="115" w:type="dxa"/>
            </w:tcMar>
            <w:vAlign w:val="center"/>
          </w:tcPr>
          <w:p w14:paraId="17D817A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2,84*</w:t>
            </w:r>
            <w:r w:rsidRPr="009C52C4">
              <w:rPr>
                <w:rFonts w:ascii="Times New Roman" w:hAnsi="Times New Roman" w:cs="Times New Roman"/>
                <w:sz w:val="24"/>
                <w:szCs w:val="24"/>
                <w:vertAlign w:val="superscript"/>
              </w:rPr>
              <w:t>7</w:t>
            </w:r>
          </w:p>
        </w:tc>
        <w:tc>
          <w:tcPr>
            <w:tcW w:w="790" w:type="pct"/>
            <w:shd w:val="clear" w:color="auto" w:fill="EAF1DD"/>
            <w:tcMar>
              <w:left w:w="115" w:type="dxa"/>
              <w:right w:w="115" w:type="dxa"/>
            </w:tcMar>
            <w:vAlign w:val="center"/>
          </w:tcPr>
          <w:p w14:paraId="58113C5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w:t>
            </w:r>
          </w:p>
        </w:tc>
      </w:tr>
      <w:tr w:rsidR="00B122B4" w:rsidRPr="009C52C4" w14:paraId="1A29896C" w14:textId="77777777" w:rsidTr="00887E64">
        <w:trPr>
          <w:trHeight w:val="20"/>
        </w:trPr>
        <w:tc>
          <w:tcPr>
            <w:tcW w:w="2763" w:type="pct"/>
            <w:shd w:val="clear" w:color="auto" w:fill="EAF1DD"/>
            <w:tcMar>
              <w:left w:w="115" w:type="dxa"/>
              <w:right w:w="115" w:type="dxa"/>
            </w:tcMar>
            <w:vAlign w:val="center"/>
          </w:tcPr>
          <w:p w14:paraId="0D623124"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 prema terenu</w:t>
            </w:r>
          </w:p>
        </w:tc>
        <w:tc>
          <w:tcPr>
            <w:tcW w:w="658" w:type="pct"/>
            <w:shd w:val="clear" w:color="auto" w:fill="EAF1DD"/>
            <w:tcMar>
              <w:left w:w="115" w:type="dxa"/>
              <w:right w:w="115" w:type="dxa"/>
            </w:tcMar>
            <w:vAlign w:val="center"/>
          </w:tcPr>
          <w:p w14:paraId="0B03EC3A"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1,15*</w:t>
            </w:r>
            <w:r w:rsidRPr="009C52C4">
              <w:rPr>
                <w:rFonts w:ascii="Times New Roman" w:hAnsi="Times New Roman" w:cs="Times New Roman"/>
                <w:sz w:val="24"/>
                <w:szCs w:val="24"/>
                <w:vertAlign w:val="superscript"/>
              </w:rPr>
              <w:t>3</w:t>
            </w:r>
          </w:p>
        </w:tc>
        <w:tc>
          <w:tcPr>
            <w:tcW w:w="789" w:type="pct"/>
            <w:shd w:val="clear" w:color="auto" w:fill="EAF1DD"/>
            <w:tcMar>
              <w:left w:w="115" w:type="dxa"/>
              <w:right w:w="115" w:type="dxa"/>
            </w:tcMar>
            <w:vAlign w:val="center"/>
          </w:tcPr>
          <w:p w14:paraId="308A1EC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4,42*</w:t>
            </w:r>
            <w:r w:rsidRPr="009C52C4">
              <w:rPr>
                <w:rFonts w:ascii="Times New Roman" w:hAnsi="Times New Roman" w:cs="Times New Roman"/>
                <w:sz w:val="24"/>
                <w:szCs w:val="24"/>
                <w:vertAlign w:val="superscript"/>
              </w:rPr>
              <w:t>8</w:t>
            </w:r>
          </w:p>
        </w:tc>
        <w:tc>
          <w:tcPr>
            <w:tcW w:w="790" w:type="pct"/>
            <w:shd w:val="clear" w:color="auto" w:fill="EAF1DD"/>
            <w:tcMar>
              <w:left w:w="115" w:type="dxa"/>
              <w:right w:w="115" w:type="dxa"/>
            </w:tcMar>
            <w:vAlign w:val="center"/>
          </w:tcPr>
          <w:p w14:paraId="3DCA6FA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4,42*</w:t>
            </w:r>
            <w:r w:rsidRPr="009C52C4">
              <w:rPr>
                <w:rFonts w:ascii="Times New Roman" w:hAnsi="Times New Roman" w:cs="Times New Roman"/>
                <w:sz w:val="24"/>
                <w:szCs w:val="24"/>
                <w:vertAlign w:val="superscript"/>
              </w:rPr>
              <w:t>8</w:t>
            </w:r>
          </w:p>
        </w:tc>
      </w:tr>
      <w:tr w:rsidR="00B122B4" w:rsidRPr="009C52C4" w14:paraId="1DD7D6BD" w14:textId="77777777" w:rsidTr="00887E64">
        <w:trPr>
          <w:trHeight w:val="20"/>
        </w:trPr>
        <w:tc>
          <w:tcPr>
            <w:tcW w:w="2763" w:type="pct"/>
            <w:shd w:val="clear" w:color="auto" w:fill="EAF1DD"/>
            <w:tcMar>
              <w:left w:w="115" w:type="dxa"/>
              <w:right w:w="115" w:type="dxa"/>
            </w:tcMar>
            <w:vAlign w:val="center"/>
          </w:tcPr>
          <w:p w14:paraId="4689B978"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Strop prema negrijanom tavanu ili podrumu</w:t>
            </w:r>
          </w:p>
        </w:tc>
        <w:tc>
          <w:tcPr>
            <w:tcW w:w="658" w:type="pct"/>
            <w:shd w:val="clear" w:color="auto" w:fill="EAF1DD"/>
            <w:tcMar>
              <w:left w:w="115" w:type="dxa"/>
              <w:right w:w="115" w:type="dxa"/>
            </w:tcMar>
            <w:vAlign w:val="center"/>
          </w:tcPr>
          <w:p w14:paraId="2C9D0424"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1,16*</w:t>
            </w:r>
            <w:r w:rsidRPr="009C52C4">
              <w:rPr>
                <w:rFonts w:ascii="Times New Roman" w:hAnsi="Times New Roman" w:cs="Times New Roman"/>
                <w:sz w:val="24"/>
                <w:szCs w:val="24"/>
                <w:vertAlign w:val="superscript"/>
              </w:rPr>
              <w:t>4</w:t>
            </w:r>
          </w:p>
        </w:tc>
        <w:tc>
          <w:tcPr>
            <w:tcW w:w="789" w:type="pct"/>
            <w:shd w:val="clear" w:color="auto" w:fill="EAF1DD"/>
            <w:tcMar>
              <w:left w:w="115" w:type="dxa"/>
              <w:right w:w="115" w:type="dxa"/>
            </w:tcMar>
            <w:vAlign w:val="center"/>
          </w:tcPr>
          <w:p w14:paraId="1EB4A0D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4,20*</w:t>
            </w:r>
            <w:r w:rsidRPr="009C52C4">
              <w:rPr>
                <w:rFonts w:ascii="Times New Roman" w:hAnsi="Times New Roman" w:cs="Times New Roman"/>
                <w:sz w:val="24"/>
                <w:szCs w:val="24"/>
                <w:vertAlign w:val="superscript"/>
              </w:rPr>
              <w:t>9</w:t>
            </w:r>
          </w:p>
        </w:tc>
        <w:tc>
          <w:tcPr>
            <w:tcW w:w="790" w:type="pct"/>
            <w:shd w:val="clear" w:color="auto" w:fill="EAF1DD"/>
            <w:tcMar>
              <w:left w:w="115" w:type="dxa"/>
              <w:right w:w="115" w:type="dxa"/>
            </w:tcMar>
            <w:vAlign w:val="center"/>
          </w:tcPr>
          <w:p w14:paraId="128BF237" w14:textId="77777777" w:rsidR="00B122B4" w:rsidRPr="009C52C4" w:rsidRDefault="00B122B4">
            <w:pPr>
              <w:jc w:val="center"/>
              <w:rPr>
                <w:rFonts w:ascii="Times New Roman" w:hAnsi="Times New Roman" w:cs="Times New Roman"/>
                <w:sz w:val="24"/>
                <w:szCs w:val="24"/>
              </w:rPr>
            </w:pPr>
          </w:p>
        </w:tc>
      </w:tr>
      <w:tr w:rsidR="00B122B4" w:rsidRPr="009C52C4" w14:paraId="6D447FFF" w14:textId="77777777" w:rsidTr="00887E64">
        <w:trPr>
          <w:trHeight w:val="20"/>
        </w:trPr>
        <w:tc>
          <w:tcPr>
            <w:tcW w:w="2763" w:type="pct"/>
            <w:shd w:val="clear" w:color="auto" w:fill="EAF1DD"/>
            <w:tcMar>
              <w:left w:w="115" w:type="dxa"/>
              <w:right w:w="115" w:type="dxa"/>
            </w:tcMar>
            <w:vAlign w:val="center"/>
          </w:tcPr>
          <w:p w14:paraId="7C55D152"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Strop iznad vanjskog prostora</w:t>
            </w:r>
          </w:p>
        </w:tc>
        <w:tc>
          <w:tcPr>
            <w:tcW w:w="658" w:type="pct"/>
            <w:shd w:val="clear" w:color="auto" w:fill="EAF1DD"/>
            <w:tcMar>
              <w:left w:w="115" w:type="dxa"/>
              <w:right w:w="115" w:type="dxa"/>
            </w:tcMar>
            <w:vAlign w:val="center"/>
          </w:tcPr>
          <w:p w14:paraId="034C2DA1"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789" w:type="pct"/>
            <w:shd w:val="clear" w:color="auto" w:fill="EAF1DD"/>
            <w:tcMar>
              <w:left w:w="115" w:type="dxa"/>
              <w:right w:w="115" w:type="dxa"/>
            </w:tcMar>
            <w:vAlign w:val="center"/>
          </w:tcPr>
          <w:p w14:paraId="1C7F304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2,19*</w:t>
            </w:r>
            <w:r w:rsidRPr="009C52C4">
              <w:rPr>
                <w:rFonts w:ascii="Times New Roman" w:hAnsi="Times New Roman" w:cs="Times New Roman"/>
                <w:sz w:val="24"/>
                <w:szCs w:val="24"/>
                <w:vertAlign w:val="superscript"/>
              </w:rPr>
              <w:t>10</w:t>
            </w:r>
          </w:p>
        </w:tc>
        <w:tc>
          <w:tcPr>
            <w:tcW w:w="790" w:type="pct"/>
            <w:shd w:val="clear" w:color="auto" w:fill="EAF1DD"/>
            <w:tcMar>
              <w:left w:w="115" w:type="dxa"/>
              <w:right w:w="115" w:type="dxa"/>
            </w:tcMar>
            <w:vAlign w:val="center"/>
          </w:tcPr>
          <w:p w14:paraId="566B4BB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1,41*</w:t>
            </w:r>
            <w:r w:rsidRPr="009C52C4">
              <w:rPr>
                <w:rFonts w:ascii="Times New Roman" w:hAnsi="Times New Roman" w:cs="Times New Roman"/>
                <w:sz w:val="24"/>
                <w:szCs w:val="24"/>
                <w:vertAlign w:val="superscript"/>
              </w:rPr>
              <w:t>15</w:t>
            </w:r>
          </w:p>
        </w:tc>
      </w:tr>
      <w:tr w:rsidR="00B122B4" w:rsidRPr="009C52C4" w14:paraId="24A5C5A8" w14:textId="77777777" w:rsidTr="00887E64">
        <w:trPr>
          <w:trHeight w:val="20"/>
        </w:trPr>
        <w:tc>
          <w:tcPr>
            <w:tcW w:w="2763" w:type="pct"/>
            <w:shd w:val="clear" w:color="auto" w:fill="EAF1DD"/>
            <w:tcMar>
              <w:left w:w="115" w:type="dxa"/>
              <w:right w:w="115" w:type="dxa"/>
            </w:tcMar>
            <w:vAlign w:val="center"/>
          </w:tcPr>
          <w:p w14:paraId="77EF55A4"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Kosi krov (stambeni prostor ispod krova)</w:t>
            </w:r>
          </w:p>
        </w:tc>
        <w:tc>
          <w:tcPr>
            <w:tcW w:w="658" w:type="pct"/>
            <w:shd w:val="clear" w:color="auto" w:fill="EAF1DD"/>
            <w:tcMar>
              <w:left w:w="115" w:type="dxa"/>
              <w:right w:w="115" w:type="dxa"/>
            </w:tcMar>
            <w:vAlign w:val="center"/>
          </w:tcPr>
          <w:p w14:paraId="33B56618"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789" w:type="pct"/>
            <w:shd w:val="clear" w:color="auto" w:fill="EAF1DD"/>
            <w:tcMar>
              <w:left w:w="115" w:type="dxa"/>
              <w:right w:w="115" w:type="dxa"/>
            </w:tcMar>
            <w:vAlign w:val="center"/>
          </w:tcPr>
          <w:p w14:paraId="511A87C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790" w:type="pct"/>
            <w:shd w:val="clear" w:color="auto" w:fill="EAF1DD"/>
            <w:tcMar>
              <w:left w:w="115" w:type="dxa"/>
              <w:right w:w="115" w:type="dxa"/>
            </w:tcMar>
            <w:vAlign w:val="center"/>
          </w:tcPr>
          <w:p w14:paraId="01D6B33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0,63*</w:t>
            </w:r>
            <w:r w:rsidRPr="009C52C4">
              <w:rPr>
                <w:rFonts w:ascii="Times New Roman" w:hAnsi="Times New Roman" w:cs="Times New Roman"/>
                <w:sz w:val="24"/>
                <w:szCs w:val="24"/>
                <w:vertAlign w:val="superscript"/>
              </w:rPr>
              <w:t>16</w:t>
            </w:r>
          </w:p>
        </w:tc>
      </w:tr>
      <w:tr w:rsidR="00B122B4" w:rsidRPr="009C52C4" w14:paraId="77ADE100" w14:textId="77777777" w:rsidTr="00887E64">
        <w:trPr>
          <w:trHeight w:val="20"/>
        </w:trPr>
        <w:tc>
          <w:tcPr>
            <w:tcW w:w="2763" w:type="pct"/>
            <w:shd w:val="clear" w:color="auto" w:fill="EAF1DD"/>
            <w:tcMar>
              <w:left w:w="115" w:type="dxa"/>
              <w:right w:w="115" w:type="dxa"/>
            </w:tcMar>
            <w:vAlign w:val="center"/>
          </w:tcPr>
          <w:p w14:paraId="069C89DD"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Ravni krov (stambeni prostor ispod krova)</w:t>
            </w:r>
          </w:p>
        </w:tc>
        <w:tc>
          <w:tcPr>
            <w:tcW w:w="658" w:type="pct"/>
            <w:shd w:val="clear" w:color="auto" w:fill="EAF1DD"/>
            <w:tcMar>
              <w:left w:w="115" w:type="dxa"/>
              <w:right w:w="115" w:type="dxa"/>
            </w:tcMar>
            <w:vAlign w:val="center"/>
          </w:tcPr>
          <w:p w14:paraId="3E61A6DF"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789" w:type="pct"/>
            <w:shd w:val="clear" w:color="auto" w:fill="EAF1DD"/>
            <w:tcMar>
              <w:left w:w="115" w:type="dxa"/>
              <w:right w:w="115" w:type="dxa"/>
            </w:tcMar>
            <w:vAlign w:val="center"/>
          </w:tcPr>
          <w:p w14:paraId="434B8CB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0,96*</w:t>
            </w:r>
            <w:r w:rsidRPr="009C52C4">
              <w:rPr>
                <w:rFonts w:ascii="Times New Roman" w:hAnsi="Times New Roman" w:cs="Times New Roman"/>
                <w:sz w:val="24"/>
                <w:szCs w:val="24"/>
                <w:vertAlign w:val="superscript"/>
              </w:rPr>
              <w:t>11</w:t>
            </w:r>
          </w:p>
        </w:tc>
        <w:tc>
          <w:tcPr>
            <w:tcW w:w="790" w:type="pct"/>
            <w:shd w:val="clear" w:color="auto" w:fill="EAF1DD"/>
            <w:tcMar>
              <w:left w:w="115" w:type="dxa"/>
              <w:right w:w="115" w:type="dxa"/>
            </w:tcMar>
            <w:vAlign w:val="center"/>
          </w:tcPr>
          <w:p w14:paraId="4461D179"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0,96*</w:t>
            </w:r>
            <w:r w:rsidRPr="009C52C4">
              <w:rPr>
                <w:rFonts w:ascii="Times New Roman" w:hAnsi="Times New Roman" w:cs="Times New Roman"/>
                <w:sz w:val="24"/>
                <w:szCs w:val="24"/>
                <w:vertAlign w:val="superscript"/>
              </w:rPr>
              <w:t>11</w:t>
            </w:r>
          </w:p>
        </w:tc>
      </w:tr>
      <w:tr w:rsidR="00B122B4" w:rsidRPr="009C52C4" w14:paraId="0407BC01" w14:textId="77777777" w:rsidTr="00887E64">
        <w:trPr>
          <w:trHeight w:val="20"/>
        </w:trPr>
        <w:tc>
          <w:tcPr>
            <w:tcW w:w="2763" w:type="pct"/>
            <w:shd w:val="clear" w:color="auto" w:fill="EAF1DD"/>
            <w:tcMar>
              <w:left w:w="115" w:type="dxa"/>
              <w:right w:w="115" w:type="dxa"/>
            </w:tcMar>
            <w:vAlign w:val="center"/>
          </w:tcPr>
          <w:p w14:paraId="649DB93B"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Prozori</w:t>
            </w:r>
          </w:p>
        </w:tc>
        <w:tc>
          <w:tcPr>
            <w:tcW w:w="658" w:type="pct"/>
            <w:shd w:val="clear" w:color="auto" w:fill="EAF1DD"/>
            <w:tcMar>
              <w:left w:w="115" w:type="dxa"/>
              <w:right w:w="115" w:type="dxa"/>
            </w:tcMar>
            <w:vAlign w:val="center"/>
          </w:tcPr>
          <w:p w14:paraId="11D7EC92"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3,6*</w:t>
            </w:r>
            <w:r w:rsidRPr="009C52C4">
              <w:rPr>
                <w:rFonts w:ascii="Times New Roman" w:hAnsi="Times New Roman" w:cs="Times New Roman"/>
                <w:sz w:val="24"/>
                <w:szCs w:val="24"/>
                <w:vertAlign w:val="superscript"/>
              </w:rPr>
              <w:t>5</w:t>
            </w:r>
          </w:p>
        </w:tc>
        <w:tc>
          <w:tcPr>
            <w:tcW w:w="789" w:type="pct"/>
            <w:shd w:val="clear" w:color="auto" w:fill="EAF1DD"/>
            <w:tcMar>
              <w:left w:w="115" w:type="dxa"/>
              <w:right w:w="115" w:type="dxa"/>
            </w:tcMar>
            <w:vAlign w:val="center"/>
          </w:tcPr>
          <w:p w14:paraId="239B523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5,2*</w:t>
            </w:r>
            <w:r w:rsidRPr="009C52C4">
              <w:rPr>
                <w:rFonts w:ascii="Times New Roman" w:hAnsi="Times New Roman" w:cs="Times New Roman"/>
                <w:sz w:val="24"/>
                <w:szCs w:val="24"/>
                <w:vertAlign w:val="superscript"/>
              </w:rPr>
              <w:t>12</w:t>
            </w:r>
          </w:p>
        </w:tc>
        <w:tc>
          <w:tcPr>
            <w:tcW w:w="790" w:type="pct"/>
            <w:shd w:val="clear" w:color="auto" w:fill="EAF1DD"/>
            <w:tcMar>
              <w:left w:w="115" w:type="dxa"/>
              <w:right w:w="115" w:type="dxa"/>
            </w:tcMar>
            <w:vAlign w:val="center"/>
          </w:tcPr>
          <w:p w14:paraId="18AEC6A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4,0*</w:t>
            </w:r>
            <w:r w:rsidRPr="009C52C4">
              <w:rPr>
                <w:rFonts w:ascii="Times New Roman" w:hAnsi="Times New Roman" w:cs="Times New Roman"/>
                <w:sz w:val="24"/>
                <w:szCs w:val="24"/>
                <w:vertAlign w:val="superscript"/>
              </w:rPr>
              <w:t>17</w:t>
            </w:r>
          </w:p>
        </w:tc>
      </w:tr>
    </w:tbl>
    <w:p w14:paraId="37C422D8"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 </w:t>
      </w:r>
      <w:r w:rsidRPr="009C52C4">
        <w:rPr>
          <w:rFonts w:ascii="Times New Roman" w:hAnsi="Times New Roman" w:cs="Times New Roman"/>
          <w:sz w:val="24"/>
          <w:szCs w:val="24"/>
        </w:rPr>
        <w:t>Puna opeka (obostrano ožbukana) debljine 45 cm.</w:t>
      </w:r>
    </w:p>
    <w:p w14:paraId="7A797FF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2 </w:t>
      </w:r>
      <w:r w:rsidRPr="009C52C4">
        <w:rPr>
          <w:rFonts w:ascii="Times New Roman" w:hAnsi="Times New Roman" w:cs="Times New Roman"/>
          <w:sz w:val="24"/>
          <w:szCs w:val="24"/>
        </w:rPr>
        <w:t>Puna opeka (obostrano ožbukana) debljine 30 cm.</w:t>
      </w:r>
    </w:p>
    <w:p w14:paraId="222E720F"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3 </w:t>
      </w:r>
      <w:r w:rsidRPr="009C52C4">
        <w:rPr>
          <w:rFonts w:ascii="Times New Roman" w:hAnsi="Times New Roman" w:cs="Times New Roman"/>
          <w:sz w:val="24"/>
          <w:szCs w:val="24"/>
        </w:rPr>
        <w:t>Puna opeka (obostrano ožbukana) debljine 60 cm.</w:t>
      </w:r>
    </w:p>
    <w:p w14:paraId="6ADA68C3"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4 </w:t>
      </w:r>
      <w:r w:rsidRPr="009C52C4">
        <w:rPr>
          <w:rFonts w:ascii="Times New Roman" w:hAnsi="Times New Roman" w:cs="Times New Roman"/>
          <w:sz w:val="24"/>
          <w:szCs w:val="24"/>
        </w:rPr>
        <w:t>Drveni strop 40 cm s ispunom od pijeska ili šute, obloga od punih opečnih elemenata 6 cm.</w:t>
      </w:r>
    </w:p>
    <w:p w14:paraId="57F1ED56"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5 </w:t>
      </w:r>
      <w:r w:rsidRPr="009C52C4">
        <w:rPr>
          <w:rFonts w:ascii="Times New Roman" w:hAnsi="Times New Roman" w:cs="Times New Roman"/>
          <w:sz w:val="24"/>
          <w:szCs w:val="24"/>
        </w:rPr>
        <w:t>Drveni okvir, 2 x 1 struko ostakljenje (4 mm), 2 doprozornika na razmaku d=30 cm bez brtvljenja.</w:t>
      </w:r>
    </w:p>
    <w:p w14:paraId="772AD6AD"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6 </w:t>
      </w:r>
      <w:r w:rsidRPr="009C52C4">
        <w:rPr>
          <w:rFonts w:ascii="Times New Roman" w:hAnsi="Times New Roman" w:cs="Times New Roman"/>
          <w:sz w:val="24"/>
          <w:szCs w:val="24"/>
        </w:rPr>
        <w:t>Armirani beton debljine 25 cm (iznutra ožbukan 1,5 cm).</w:t>
      </w:r>
    </w:p>
    <w:p w14:paraId="417AB444"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7 </w:t>
      </w:r>
      <w:r w:rsidRPr="009C52C4">
        <w:rPr>
          <w:rFonts w:ascii="Times New Roman" w:hAnsi="Times New Roman" w:cs="Times New Roman"/>
          <w:sz w:val="24"/>
          <w:szCs w:val="24"/>
        </w:rPr>
        <w:t>Armirani beton debljine 20 cm (iznutra ožbukan 1,5 cm).</w:t>
      </w:r>
    </w:p>
    <w:p w14:paraId="1B6273A4"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8 </w:t>
      </w:r>
      <w:r w:rsidRPr="009C52C4">
        <w:rPr>
          <w:rFonts w:ascii="Times New Roman" w:hAnsi="Times New Roman" w:cs="Times New Roman"/>
          <w:sz w:val="24"/>
          <w:szCs w:val="24"/>
        </w:rPr>
        <w:t>Armirani beton debljine 25 cm.</w:t>
      </w:r>
    </w:p>
    <w:p w14:paraId="2AFB1360"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9 </w:t>
      </w:r>
      <w:r w:rsidRPr="009C52C4">
        <w:rPr>
          <w:rFonts w:ascii="Times New Roman" w:hAnsi="Times New Roman" w:cs="Times New Roman"/>
          <w:sz w:val="24"/>
          <w:szCs w:val="24"/>
        </w:rPr>
        <w:t>Sitnorebričasti strop debljine ploče 6 cm, ukupne visine 40 cm.</w:t>
      </w:r>
    </w:p>
    <w:p w14:paraId="7D23179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10 </w:t>
      </w:r>
      <w:r w:rsidRPr="009C52C4">
        <w:rPr>
          <w:rFonts w:ascii="Times New Roman" w:hAnsi="Times New Roman" w:cs="Times New Roman"/>
          <w:sz w:val="24"/>
          <w:szCs w:val="24"/>
        </w:rPr>
        <w:t>Armirani beton debljine 16 cm.</w:t>
      </w:r>
    </w:p>
    <w:p w14:paraId="464C4A1A"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11 </w:t>
      </w:r>
      <w:r w:rsidRPr="009C52C4">
        <w:rPr>
          <w:rFonts w:ascii="Times New Roman" w:hAnsi="Times New Roman" w:cs="Times New Roman"/>
          <w:sz w:val="24"/>
          <w:szCs w:val="24"/>
        </w:rPr>
        <w:t>Betonska ploča 16 cm, t.i. 3 cm, cementni estrih i hidroizolacija.</w:t>
      </w:r>
    </w:p>
    <w:p w14:paraId="77C3B044"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12 </w:t>
      </w:r>
      <w:r w:rsidRPr="009C52C4">
        <w:rPr>
          <w:rFonts w:ascii="Times New Roman" w:hAnsi="Times New Roman" w:cs="Times New Roman"/>
          <w:sz w:val="24"/>
          <w:szCs w:val="24"/>
        </w:rPr>
        <w:t>Drveni okvir, 1 struko ostakljenje (4 mm) bez brtvljenja.</w:t>
      </w:r>
    </w:p>
    <w:p w14:paraId="294E2554"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13 </w:t>
      </w:r>
      <w:r w:rsidRPr="009C52C4">
        <w:rPr>
          <w:rFonts w:ascii="Times New Roman" w:hAnsi="Times New Roman" w:cs="Times New Roman"/>
          <w:sz w:val="24"/>
          <w:szCs w:val="24"/>
        </w:rPr>
        <w:t>Armirani beton 15 cm, toplinska izolacija 3 cm i fasadna opeka 12 cm.</w:t>
      </w:r>
    </w:p>
    <w:p w14:paraId="35FACE79" w14:textId="3E407C3A"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14 </w:t>
      </w:r>
      <w:r w:rsidRPr="009C52C4">
        <w:rPr>
          <w:rFonts w:ascii="Times New Roman" w:hAnsi="Times New Roman" w:cs="Times New Roman"/>
          <w:sz w:val="24"/>
          <w:szCs w:val="24"/>
        </w:rPr>
        <w:t>Pod na tlu s toplinskom izolacijom debljine 3 cm.</w:t>
      </w:r>
    </w:p>
    <w:p w14:paraId="71CFD251"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15 </w:t>
      </w:r>
      <w:r w:rsidRPr="009C52C4">
        <w:rPr>
          <w:rFonts w:ascii="Times New Roman" w:hAnsi="Times New Roman" w:cs="Times New Roman"/>
          <w:sz w:val="24"/>
          <w:szCs w:val="24"/>
        </w:rPr>
        <w:t>Opečni elementi 14 cm + betonska ploča 6 cm.</w:t>
      </w:r>
    </w:p>
    <w:p w14:paraId="4CC46FE0"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 xml:space="preserve">16 </w:t>
      </w:r>
      <w:r w:rsidRPr="009C52C4">
        <w:rPr>
          <w:rFonts w:ascii="Times New Roman" w:hAnsi="Times New Roman" w:cs="Times New Roman"/>
          <w:sz w:val="24"/>
          <w:szCs w:val="24"/>
        </w:rPr>
        <w:t>Drvene grede ispunjene toplinskom izolacijom debljine 5 cm.</w:t>
      </w:r>
    </w:p>
    <w:p w14:paraId="2704C75B"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t>17</w:t>
      </w:r>
      <w:r w:rsidRPr="009C52C4">
        <w:rPr>
          <w:rFonts w:ascii="Times New Roman" w:hAnsi="Times New Roman" w:cs="Times New Roman"/>
          <w:sz w:val="24"/>
          <w:szCs w:val="24"/>
        </w:rPr>
        <w:t>Metalni okvir bez prekinutog toplinskog mosta, 2-struko obično ostakljenje(4/6-8/4 mm) bez brtvljenja</w:t>
      </w:r>
    </w:p>
    <w:p w14:paraId="7D60C5DF" w14:textId="77777777" w:rsidR="00B122B4" w:rsidRPr="009C52C4" w:rsidRDefault="00B122B4">
      <w:pPr>
        <w:rPr>
          <w:rFonts w:ascii="Times New Roman" w:hAnsi="Times New Roman" w:cs="Times New Roman"/>
          <w:sz w:val="24"/>
          <w:szCs w:val="24"/>
        </w:rPr>
      </w:pPr>
    </w:p>
    <w:p w14:paraId="0493F7B9" w14:textId="77777777" w:rsidR="00FE2C0B" w:rsidRPr="009C52C4" w:rsidRDefault="00BD461D">
      <w:pPr>
        <w:rPr>
          <w:rFonts w:ascii="Times New Roman" w:hAnsi="Times New Roman" w:cs="Times New Roman"/>
          <w:sz w:val="24"/>
          <w:szCs w:val="24"/>
        </w:rPr>
      </w:pPr>
      <w:r w:rsidRPr="009C52C4">
        <w:rPr>
          <w:rFonts w:ascii="Times New Roman" w:hAnsi="Times New Roman" w:cs="Times New Roman"/>
          <w:sz w:val="24"/>
          <w:szCs w:val="24"/>
        </w:rPr>
        <w:lastRenderedPageBreak/>
        <w:t>Ovdje treba naglasiti da se nakon donošenja propisa 1980. godine u pogledu toplinske zaštite zgrada u okviru norme JUS U.J5.600, smatra da karakteristični građevni dijelovi zgrada imaju U-koeficijente jednake važećem zakonodavnom okviru od 1980. godina pa nadalje, a koji su navedeni za svako karakteristično razdoblje.</w:t>
      </w:r>
    </w:p>
    <w:p w14:paraId="3B93237D" w14:textId="77777777" w:rsidR="001F15D3" w:rsidRPr="009C52C4" w:rsidRDefault="001F15D3">
      <w:pPr>
        <w:rPr>
          <w:rFonts w:ascii="Times New Roman" w:hAnsi="Times New Roman" w:cs="Times New Roman"/>
          <w:b/>
          <w:sz w:val="24"/>
          <w:szCs w:val="24"/>
        </w:rPr>
      </w:pPr>
      <w:r w:rsidRPr="009C52C4">
        <w:rPr>
          <w:rFonts w:ascii="Times New Roman" w:hAnsi="Times New Roman" w:cs="Times New Roman"/>
          <w:b/>
          <w:sz w:val="24"/>
          <w:szCs w:val="24"/>
        </w:rPr>
        <w:br w:type="page"/>
      </w:r>
    </w:p>
    <w:p w14:paraId="16C53D7E"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lastRenderedPageBreak/>
        <w:t>Karakteristično razdoblje izgradnje od 1941. do 1970. godine</w:t>
      </w:r>
    </w:p>
    <w:p w14:paraId="27D4BE67" w14:textId="77777777" w:rsidR="00B122B4" w:rsidRPr="009C52C4" w:rsidRDefault="00B122B4" w:rsidP="00887E64">
      <w:pPr>
        <w:rPr>
          <w:rFonts w:ascii="Times New Roman" w:hAnsi="Times New Roman" w:cs="Times New Roman"/>
          <w:sz w:val="24"/>
          <w:szCs w:val="24"/>
        </w:rPr>
      </w:pPr>
    </w:p>
    <w:p w14:paraId="27992EAA" w14:textId="0524A754"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Osnovno obilježje gradnje ovog</w:t>
      </w:r>
      <w:r w:rsidR="006A04B5" w:rsidRPr="009C52C4">
        <w:rPr>
          <w:rFonts w:ascii="Times New Roman" w:hAnsi="Times New Roman" w:cs="Times New Roman"/>
          <w:sz w:val="24"/>
          <w:szCs w:val="24"/>
        </w:rPr>
        <w:t>a</w:t>
      </w:r>
      <w:r w:rsidRPr="009C52C4">
        <w:rPr>
          <w:rFonts w:ascii="Times New Roman" w:hAnsi="Times New Roman" w:cs="Times New Roman"/>
          <w:sz w:val="24"/>
          <w:szCs w:val="24"/>
        </w:rPr>
        <w:t xml:space="preserve"> razdoblja je, s jedne strane, primjena tradicionalnih tehnika i materijala opisanih u prethodnom poglavlju, a s druge strane, početak primjene novih materijala i statički tanjih, laganijih konstrukcija većih raspona, velikih staklenih površina s jednostrukim ostakljenjem, loših toplinskih karakteristika i bez primjene toplinske zaštite. Armirani beton dopušta statički „tanke“ konstruktivne elemente koji bez toplinske izolacije imaju velike toplinske gubitke. U cilju zadovoljavanja statičkih zahtjeva na građevinu, koriste se metalni profili izuzetno loših toplinskih svojstava. Može se zaključiti da su zgrade izgrađene u razdoblju od 1941.-1970. godine, u pravilu lošijih toplinskih karakteristika od zgrada građenih u prethodnom razdoblju -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_Ref483403876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11</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 a karakterizira ih pojava vlage i kondenzata (poglavito u prizemlju i zadnjoj grijanoj etaži) brojni toplinski mostovi i nezadovoljavajuće brtvljenje prozora.</w:t>
      </w:r>
    </w:p>
    <w:p w14:paraId="3AA000E8" w14:textId="77777777" w:rsidR="00B122B4" w:rsidRPr="009C52C4" w:rsidRDefault="00B122B4">
      <w:pPr>
        <w:rPr>
          <w:rFonts w:ascii="Times New Roman" w:hAnsi="Times New Roman" w:cs="Times New Roman"/>
          <w:sz w:val="24"/>
          <w:szCs w:val="24"/>
        </w:rPr>
      </w:pPr>
    </w:p>
    <w:p w14:paraId="274F9342"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t>Karakteristično razdoblje izgradnje od 1971. do 1980. godine</w:t>
      </w:r>
    </w:p>
    <w:p w14:paraId="32D10FB0" w14:textId="77777777" w:rsidR="00B122B4" w:rsidRPr="009C52C4" w:rsidRDefault="00B122B4">
      <w:pPr>
        <w:rPr>
          <w:rFonts w:ascii="Times New Roman" w:hAnsi="Times New Roman" w:cs="Times New Roman"/>
          <w:sz w:val="24"/>
          <w:szCs w:val="24"/>
        </w:rPr>
      </w:pPr>
    </w:p>
    <w:p w14:paraId="19539C12" w14:textId="2C8A8287"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Razdoblje izgradnje od 1971. do 1980. godine karakterizira donošenje prvog propisa o toplinskoj zaštiti zgrada 1970. godine (Pravilnik o tehničkim mjerama i uvjetima za toplinsku zaštitu zgrada – Službeni list SFRJ 35/70), kojim je područje Republike Hrvatske podijeljeno u tri građevinske klimatske zone za koje su propisane najveće dopuštene vrijednosti koeficijenta prolaska topline k (W/m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K) (danas U) za pojedine elemente vanjske ovojnice zgrade.</w:t>
      </w:r>
    </w:p>
    <w:p w14:paraId="37971CCE" w14:textId="77777777" w:rsidR="00BD461D" w:rsidRPr="009C52C4" w:rsidRDefault="00BD461D" w:rsidP="00BD461D">
      <w:pPr>
        <w:rPr>
          <w:rFonts w:ascii="Times New Roman" w:hAnsi="Times New Roman" w:cs="Times New Roman"/>
          <w:sz w:val="24"/>
          <w:szCs w:val="24"/>
        </w:rPr>
      </w:pPr>
    </w:p>
    <w:p w14:paraId="3B38E281" w14:textId="47970806"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 xml:space="preserve">Razdoblje karakterizira skromna primjena toplinske izolacije debljine 2-4 cm tipa heraklit, drvolit ili okipor. Armirano betonske konstrukcije zgrada postaju sve tanje i lakše, a ne primjenjuje se nikakav energetski koncept. Armirano betonski zidovi izvode se u minimalnim statičkim debljinama od 16 i 18 cm. Gradnju karakteriziraju brojni toplinski mostovi što rezultira pojavom vlage i plijesni na unutarnjoj strani zidova. Koriste se uglavnom prozori s izo staklom, ali vrlo loših profila, bez prekinutog toplinskog mosta te s lošim brtvljenjem. Površine staklenih ploha se povećavaju u odnosu na prethodno razdoblje. Koeficijenti prolaska topline pojedinih karakterističnih građevnih dijelova dani su </w:t>
      </w:r>
      <w:r w:rsidR="00EA52CE" w:rsidRPr="009C52C4">
        <w:rPr>
          <w:rFonts w:ascii="Times New Roman" w:hAnsi="Times New Roman" w:cs="Times New Roman"/>
          <w:sz w:val="24"/>
          <w:szCs w:val="24"/>
        </w:rPr>
        <w:t>prethodnom tablicom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_Ref483403876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11</w:t>
      </w:r>
      <w:r w:rsidR="003D0360" w:rsidRPr="009C52C4">
        <w:rPr>
          <w:rFonts w:ascii="Times New Roman" w:hAnsi="Times New Roman" w:cs="Times New Roman"/>
          <w:sz w:val="24"/>
          <w:szCs w:val="24"/>
        </w:rPr>
        <w:fldChar w:fldCharType="end"/>
      </w:r>
      <w:r w:rsidR="00EA52CE" w:rsidRPr="009C52C4">
        <w:rPr>
          <w:rFonts w:ascii="Times New Roman" w:hAnsi="Times New Roman" w:cs="Times New Roman"/>
          <w:sz w:val="24"/>
          <w:szCs w:val="24"/>
        </w:rPr>
        <w:t>)</w:t>
      </w:r>
      <w:r w:rsidRPr="009C52C4">
        <w:rPr>
          <w:rFonts w:ascii="Times New Roman" w:hAnsi="Times New Roman" w:cs="Times New Roman"/>
          <w:sz w:val="24"/>
          <w:szCs w:val="24"/>
        </w:rPr>
        <w:t xml:space="preserve"> dok su najveći dopušteni koeficijenti prolaza topline</w:t>
      </w:r>
      <w:r w:rsidR="006A04B5" w:rsidRPr="009C52C4">
        <w:rPr>
          <w:rFonts w:ascii="Times New Roman" w:hAnsi="Times New Roman" w:cs="Times New Roman"/>
          <w:i/>
          <w:sz w:val="24"/>
          <w:szCs w:val="24"/>
        </w:rPr>
        <w:t xml:space="preserve"> U</w:t>
      </w:r>
      <w:r w:rsidR="006A04B5" w:rsidRPr="009C52C4">
        <w:rPr>
          <w:rFonts w:ascii="Times New Roman" w:hAnsi="Times New Roman" w:cs="Times New Roman"/>
          <w:sz w:val="24"/>
          <w:szCs w:val="24"/>
        </w:rPr>
        <w:t>(</w:t>
      </w:r>
      <w:r w:rsidR="006A04B5" w:rsidRPr="009C52C4">
        <w:rPr>
          <w:rFonts w:ascii="Times New Roman" w:hAnsi="Times New Roman" w:cs="Times New Roman"/>
          <w:i/>
          <w:sz w:val="24"/>
          <w:szCs w:val="24"/>
        </w:rPr>
        <w:t>k</w:t>
      </w:r>
      <w:r w:rsidR="006A04B5"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 dani </w:t>
      </w:r>
      <w:r w:rsidR="00EA52CE" w:rsidRPr="009C52C4">
        <w:rPr>
          <w:rFonts w:ascii="Times New Roman" w:hAnsi="Times New Roman" w:cs="Times New Roman"/>
          <w:sz w:val="24"/>
          <w:szCs w:val="24"/>
        </w:rPr>
        <w:t xml:space="preserve">tablicom </w:t>
      </w:r>
      <w:r w:rsidRPr="009C52C4">
        <w:rPr>
          <w:rFonts w:ascii="Times New Roman" w:hAnsi="Times New Roman" w:cs="Times New Roman"/>
          <w:sz w:val="24"/>
          <w:szCs w:val="24"/>
        </w:rPr>
        <w:t xml:space="preserve">u </w:t>
      </w:r>
      <w:r w:rsidR="00EA52CE" w:rsidRPr="009C52C4">
        <w:rPr>
          <w:rFonts w:ascii="Times New Roman" w:hAnsi="Times New Roman" w:cs="Times New Roman"/>
          <w:sz w:val="24"/>
          <w:szCs w:val="24"/>
        </w:rPr>
        <w:t>nastavku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_Ref483403942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12</w:t>
      </w:r>
      <w:r w:rsidR="003D0360" w:rsidRPr="009C52C4">
        <w:rPr>
          <w:rFonts w:ascii="Times New Roman" w:hAnsi="Times New Roman" w:cs="Times New Roman"/>
          <w:sz w:val="24"/>
          <w:szCs w:val="24"/>
        </w:rPr>
        <w:fldChar w:fldCharType="end"/>
      </w:r>
      <w:r w:rsidR="00EA52CE" w:rsidRPr="009C52C4">
        <w:rPr>
          <w:rFonts w:ascii="Times New Roman" w:hAnsi="Times New Roman" w:cs="Times New Roman"/>
          <w:sz w:val="24"/>
          <w:szCs w:val="24"/>
        </w:rPr>
        <w:t>).</w:t>
      </w:r>
    </w:p>
    <w:p w14:paraId="10563646" w14:textId="77777777" w:rsidR="00B122B4" w:rsidRPr="009C52C4" w:rsidRDefault="00B122B4">
      <w:pPr>
        <w:rPr>
          <w:rFonts w:ascii="Times New Roman" w:hAnsi="Times New Roman" w:cs="Times New Roman"/>
          <w:sz w:val="24"/>
          <w:szCs w:val="24"/>
        </w:rPr>
      </w:pPr>
    </w:p>
    <w:p w14:paraId="566CD2E0" w14:textId="7BF50F4E" w:rsidR="006730B1" w:rsidRPr="009C52C4" w:rsidRDefault="006730B1" w:rsidP="006730B1">
      <w:pPr>
        <w:pStyle w:val="Caption"/>
        <w:rPr>
          <w:rFonts w:ascii="Times New Roman" w:hAnsi="Times New Roman" w:cs="Times New Roman"/>
          <w:sz w:val="24"/>
          <w:szCs w:val="24"/>
        </w:rPr>
      </w:pPr>
      <w:bookmarkStart w:id="61" w:name="h.1pxezwc" w:colFirst="0" w:colLast="0"/>
      <w:bookmarkStart w:id="62" w:name="_Ref483403942"/>
      <w:bookmarkStart w:id="63" w:name="_Toc2681305"/>
      <w:bookmarkEnd w:id="61"/>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12</w:t>
      </w:r>
      <w:r w:rsidR="00B6149D" w:rsidRPr="009C52C4">
        <w:rPr>
          <w:rFonts w:ascii="Times New Roman" w:hAnsi="Times New Roman" w:cs="Times New Roman"/>
          <w:noProof/>
          <w:sz w:val="24"/>
          <w:szCs w:val="24"/>
        </w:rPr>
        <w:fldChar w:fldCharType="end"/>
      </w:r>
      <w:bookmarkEnd w:id="62"/>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Najveći dopušteni koeficijenti prolaza topline k [W/m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K] prema Pravilniku o tehničkim mjerama i uvjetima za toplinsku zaštitu zgrada – Službeni list SFRJ 35/70</w:t>
      </w:r>
      <w:bookmarkEnd w:id="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10"/>
        <w:gridCol w:w="1338"/>
        <w:gridCol w:w="1678"/>
        <w:gridCol w:w="1676"/>
      </w:tblGrid>
      <w:tr w:rsidR="006730B1" w:rsidRPr="009C52C4" w14:paraId="1FF720E1" w14:textId="77777777" w:rsidTr="00887E64">
        <w:trPr>
          <w:trHeight w:val="20"/>
        </w:trPr>
        <w:tc>
          <w:tcPr>
            <w:tcW w:w="2478" w:type="pct"/>
            <w:vMerge w:val="restart"/>
            <w:shd w:val="clear" w:color="auto" w:fill="C2D69B"/>
            <w:tcMar>
              <w:left w:w="115" w:type="dxa"/>
              <w:right w:w="115" w:type="dxa"/>
            </w:tcMar>
            <w:vAlign w:val="center"/>
          </w:tcPr>
          <w:p w14:paraId="27E2C51A" w14:textId="77777777" w:rsidR="006730B1" w:rsidRPr="009C52C4" w:rsidRDefault="006730B1">
            <w:pPr>
              <w:tabs>
                <w:tab w:val="left" w:pos="851"/>
              </w:tabs>
              <w:rPr>
                <w:rFonts w:ascii="Times New Roman" w:hAnsi="Times New Roman" w:cs="Times New Roman"/>
                <w:sz w:val="24"/>
                <w:szCs w:val="24"/>
              </w:rPr>
            </w:pPr>
            <w:r w:rsidRPr="009C52C4">
              <w:rPr>
                <w:rFonts w:ascii="Times New Roman" w:hAnsi="Times New Roman" w:cs="Times New Roman"/>
                <w:b/>
                <w:sz w:val="24"/>
                <w:szCs w:val="24"/>
              </w:rPr>
              <w:t>Građevinski element</w:t>
            </w:r>
          </w:p>
        </w:tc>
        <w:tc>
          <w:tcPr>
            <w:tcW w:w="2522" w:type="pct"/>
            <w:gridSpan w:val="3"/>
            <w:shd w:val="clear" w:color="auto" w:fill="C2D69B"/>
            <w:tcMar>
              <w:left w:w="115" w:type="dxa"/>
              <w:right w:w="115" w:type="dxa"/>
            </w:tcMar>
            <w:vAlign w:val="center"/>
          </w:tcPr>
          <w:p w14:paraId="41B0353C"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Građevinska klimatska zona</w:t>
            </w:r>
          </w:p>
        </w:tc>
      </w:tr>
      <w:tr w:rsidR="006730B1" w:rsidRPr="009C52C4" w14:paraId="28F0379E" w14:textId="77777777" w:rsidTr="00887E64">
        <w:trPr>
          <w:trHeight w:val="20"/>
        </w:trPr>
        <w:tc>
          <w:tcPr>
            <w:tcW w:w="2478" w:type="pct"/>
            <w:vMerge/>
            <w:shd w:val="clear" w:color="auto" w:fill="C2D69B"/>
            <w:tcMar>
              <w:left w:w="115" w:type="dxa"/>
              <w:right w:w="115" w:type="dxa"/>
            </w:tcMar>
            <w:vAlign w:val="center"/>
          </w:tcPr>
          <w:p w14:paraId="66B528A9" w14:textId="77777777" w:rsidR="006730B1" w:rsidRPr="009C52C4" w:rsidRDefault="006730B1">
            <w:pPr>
              <w:tabs>
                <w:tab w:val="left" w:pos="851"/>
              </w:tabs>
              <w:rPr>
                <w:rFonts w:ascii="Times New Roman" w:hAnsi="Times New Roman" w:cs="Times New Roman"/>
                <w:sz w:val="24"/>
                <w:szCs w:val="24"/>
              </w:rPr>
            </w:pPr>
          </w:p>
        </w:tc>
        <w:tc>
          <w:tcPr>
            <w:tcW w:w="719" w:type="pct"/>
            <w:shd w:val="clear" w:color="auto" w:fill="C2D69B"/>
            <w:tcMar>
              <w:left w:w="115" w:type="dxa"/>
              <w:right w:w="115" w:type="dxa"/>
            </w:tcMar>
            <w:vAlign w:val="center"/>
          </w:tcPr>
          <w:p w14:paraId="4EE5BBD4" w14:textId="77777777" w:rsidR="006730B1" w:rsidRPr="009C52C4" w:rsidRDefault="006730B1">
            <w:pPr>
              <w:ind w:hanging="107"/>
              <w:jc w:val="center"/>
              <w:rPr>
                <w:rFonts w:ascii="Times New Roman" w:hAnsi="Times New Roman" w:cs="Times New Roman"/>
                <w:sz w:val="24"/>
                <w:szCs w:val="24"/>
              </w:rPr>
            </w:pPr>
            <w:r w:rsidRPr="009C52C4">
              <w:rPr>
                <w:rFonts w:ascii="Times New Roman" w:hAnsi="Times New Roman" w:cs="Times New Roman"/>
                <w:b/>
                <w:sz w:val="24"/>
                <w:szCs w:val="24"/>
              </w:rPr>
              <w:t>I.</w:t>
            </w:r>
          </w:p>
        </w:tc>
        <w:tc>
          <w:tcPr>
            <w:tcW w:w="902" w:type="pct"/>
            <w:shd w:val="clear" w:color="auto" w:fill="C2D69B"/>
            <w:tcMar>
              <w:left w:w="115" w:type="dxa"/>
              <w:right w:w="115" w:type="dxa"/>
            </w:tcMar>
            <w:vAlign w:val="center"/>
          </w:tcPr>
          <w:p w14:paraId="5E638516"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II.</w:t>
            </w:r>
          </w:p>
        </w:tc>
        <w:tc>
          <w:tcPr>
            <w:tcW w:w="902" w:type="pct"/>
            <w:shd w:val="clear" w:color="auto" w:fill="C2D69B"/>
            <w:tcMar>
              <w:left w:w="115" w:type="dxa"/>
              <w:right w:w="115" w:type="dxa"/>
            </w:tcMar>
            <w:vAlign w:val="center"/>
          </w:tcPr>
          <w:p w14:paraId="2AF58B5D"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III.</w:t>
            </w:r>
          </w:p>
        </w:tc>
      </w:tr>
      <w:tr w:rsidR="00B122B4" w:rsidRPr="009C52C4" w14:paraId="03375D5F" w14:textId="77777777" w:rsidTr="00887E64">
        <w:trPr>
          <w:trHeight w:val="20"/>
        </w:trPr>
        <w:tc>
          <w:tcPr>
            <w:tcW w:w="2478" w:type="pct"/>
            <w:shd w:val="clear" w:color="auto" w:fill="EAF1DD"/>
            <w:tcMar>
              <w:left w:w="115" w:type="dxa"/>
              <w:right w:w="115" w:type="dxa"/>
            </w:tcMar>
            <w:vAlign w:val="center"/>
          </w:tcPr>
          <w:p w14:paraId="22927128"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w:t>
            </w:r>
          </w:p>
        </w:tc>
        <w:tc>
          <w:tcPr>
            <w:tcW w:w="719" w:type="pct"/>
            <w:shd w:val="clear" w:color="auto" w:fill="EAF1DD"/>
            <w:tcMar>
              <w:left w:w="115" w:type="dxa"/>
              <w:right w:w="115" w:type="dxa"/>
            </w:tcMar>
            <w:vAlign w:val="center"/>
          </w:tcPr>
          <w:p w14:paraId="670BCD51"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1,69</w:t>
            </w:r>
          </w:p>
        </w:tc>
        <w:tc>
          <w:tcPr>
            <w:tcW w:w="902" w:type="pct"/>
            <w:shd w:val="clear" w:color="auto" w:fill="EAF1DD"/>
            <w:tcMar>
              <w:left w:w="115" w:type="dxa"/>
              <w:right w:w="115" w:type="dxa"/>
            </w:tcMar>
            <w:vAlign w:val="center"/>
          </w:tcPr>
          <w:p w14:paraId="4AD088B2"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1,45</w:t>
            </w:r>
          </w:p>
        </w:tc>
        <w:tc>
          <w:tcPr>
            <w:tcW w:w="902" w:type="pct"/>
            <w:shd w:val="clear" w:color="auto" w:fill="EAF1DD"/>
            <w:tcMar>
              <w:left w:w="115" w:type="dxa"/>
              <w:right w:w="115" w:type="dxa"/>
            </w:tcMar>
            <w:vAlign w:val="center"/>
          </w:tcPr>
          <w:p w14:paraId="3D19009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1,28</w:t>
            </w:r>
          </w:p>
        </w:tc>
      </w:tr>
      <w:tr w:rsidR="00B122B4" w:rsidRPr="009C52C4" w14:paraId="370A04A7" w14:textId="77777777" w:rsidTr="00887E64">
        <w:trPr>
          <w:trHeight w:val="20"/>
        </w:trPr>
        <w:tc>
          <w:tcPr>
            <w:tcW w:w="2478" w:type="pct"/>
            <w:shd w:val="clear" w:color="auto" w:fill="EAF1DD"/>
            <w:tcMar>
              <w:left w:w="115" w:type="dxa"/>
              <w:right w:w="115" w:type="dxa"/>
            </w:tcMar>
            <w:vAlign w:val="center"/>
          </w:tcPr>
          <w:p w14:paraId="7E05BCCE"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Pod na tlu</w:t>
            </w:r>
          </w:p>
        </w:tc>
        <w:tc>
          <w:tcPr>
            <w:tcW w:w="719" w:type="pct"/>
            <w:shd w:val="clear" w:color="auto" w:fill="EAF1DD"/>
            <w:tcMar>
              <w:left w:w="115" w:type="dxa"/>
              <w:right w:w="115" w:type="dxa"/>
            </w:tcMar>
            <w:vAlign w:val="center"/>
          </w:tcPr>
          <w:p w14:paraId="3D292CFD"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902" w:type="pct"/>
            <w:shd w:val="clear" w:color="auto" w:fill="EAF1DD"/>
            <w:tcMar>
              <w:left w:w="115" w:type="dxa"/>
              <w:right w:w="115" w:type="dxa"/>
            </w:tcMar>
            <w:vAlign w:val="center"/>
          </w:tcPr>
          <w:p w14:paraId="6FAFC3F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902" w:type="pct"/>
            <w:shd w:val="clear" w:color="auto" w:fill="EAF1DD"/>
            <w:tcMar>
              <w:left w:w="115" w:type="dxa"/>
              <w:right w:w="115" w:type="dxa"/>
            </w:tcMar>
            <w:vAlign w:val="center"/>
          </w:tcPr>
          <w:p w14:paraId="44FCF32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0,93</w:t>
            </w:r>
          </w:p>
        </w:tc>
      </w:tr>
      <w:tr w:rsidR="00B122B4" w:rsidRPr="009C52C4" w14:paraId="5BC181A9" w14:textId="77777777" w:rsidTr="00887E64">
        <w:trPr>
          <w:trHeight w:val="20"/>
        </w:trPr>
        <w:tc>
          <w:tcPr>
            <w:tcW w:w="2478" w:type="pct"/>
            <w:shd w:val="clear" w:color="auto" w:fill="EAF1DD"/>
            <w:tcMar>
              <w:left w:w="115" w:type="dxa"/>
              <w:right w:w="115" w:type="dxa"/>
            </w:tcMar>
            <w:vAlign w:val="center"/>
          </w:tcPr>
          <w:p w14:paraId="16614573"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Strop prema tavanu</w:t>
            </w:r>
          </w:p>
        </w:tc>
        <w:tc>
          <w:tcPr>
            <w:tcW w:w="719" w:type="pct"/>
            <w:shd w:val="clear" w:color="auto" w:fill="EAF1DD"/>
            <w:tcMar>
              <w:left w:w="115" w:type="dxa"/>
              <w:right w:w="115" w:type="dxa"/>
            </w:tcMar>
            <w:vAlign w:val="center"/>
          </w:tcPr>
          <w:p w14:paraId="2CB20AE5"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1,16</w:t>
            </w:r>
          </w:p>
        </w:tc>
        <w:tc>
          <w:tcPr>
            <w:tcW w:w="902" w:type="pct"/>
            <w:shd w:val="clear" w:color="auto" w:fill="EAF1DD"/>
            <w:tcMar>
              <w:left w:w="115" w:type="dxa"/>
              <w:right w:w="115" w:type="dxa"/>
            </w:tcMar>
            <w:vAlign w:val="center"/>
          </w:tcPr>
          <w:p w14:paraId="4558BCE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1,16</w:t>
            </w:r>
          </w:p>
        </w:tc>
        <w:tc>
          <w:tcPr>
            <w:tcW w:w="902" w:type="pct"/>
            <w:shd w:val="clear" w:color="auto" w:fill="EAF1DD"/>
            <w:tcMar>
              <w:left w:w="115" w:type="dxa"/>
              <w:right w:w="115" w:type="dxa"/>
            </w:tcMar>
            <w:vAlign w:val="center"/>
          </w:tcPr>
          <w:p w14:paraId="7854796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1,16</w:t>
            </w:r>
          </w:p>
        </w:tc>
      </w:tr>
      <w:tr w:rsidR="00B122B4" w:rsidRPr="009C52C4" w14:paraId="4095EB55" w14:textId="77777777" w:rsidTr="00887E64">
        <w:trPr>
          <w:trHeight w:val="20"/>
        </w:trPr>
        <w:tc>
          <w:tcPr>
            <w:tcW w:w="2478" w:type="pct"/>
            <w:shd w:val="clear" w:color="auto" w:fill="EAF1DD"/>
            <w:tcMar>
              <w:left w:w="115" w:type="dxa"/>
              <w:right w:w="115" w:type="dxa"/>
            </w:tcMar>
            <w:vAlign w:val="center"/>
          </w:tcPr>
          <w:p w14:paraId="29982150"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Strop iznad podruma</w:t>
            </w:r>
          </w:p>
        </w:tc>
        <w:tc>
          <w:tcPr>
            <w:tcW w:w="719" w:type="pct"/>
            <w:shd w:val="clear" w:color="auto" w:fill="EAF1DD"/>
            <w:tcMar>
              <w:left w:w="115" w:type="dxa"/>
              <w:right w:w="115" w:type="dxa"/>
            </w:tcMar>
            <w:vAlign w:val="center"/>
          </w:tcPr>
          <w:p w14:paraId="4C42C9A3"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1,05</w:t>
            </w:r>
          </w:p>
        </w:tc>
        <w:tc>
          <w:tcPr>
            <w:tcW w:w="902" w:type="pct"/>
            <w:shd w:val="clear" w:color="auto" w:fill="EAF1DD"/>
            <w:tcMar>
              <w:left w:w="115" w:type="dxa"/>
              <w:right w:w="115" w:type="dxa"/>
            </w:tcMar>
            <w:vAlign w:val="center"/>
          </w:tcPr>
          <w:p w14:paraId="393E484F"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1,05</w:t>
            </w:r>
          </w:p>
        </w:tc>
        <w:tc>
          <w:tcPr>
            <w:tcW w:w="902" w:type="pct"/>
            <w:shd w:val="clear" w:color="auto" w:fill="EAF1DD"/>
            <w:tcMar>
              <w:left w:w="115" w:type="dxa"/>
              <w:right w:w="115" w:type="dxa"/>
            </w:tcMar>
            <w:vAlign w:val="center"/>
          </w:tcPr>
          <w:p w14:paraId="2568CD3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1,05</w:t>
            </w:r>
          </w:p>
        </w:tc>
      </w:tr>
      <w:tr w:rsidR="00B122B4" w:rsidRPr="009C52C4" w14:paraId="6174F666" w14:textId="77777777" w:rsidTr="00887E64">
        <w:trPr>
          <w:trHeight w:val="20"/>
        </w:trPr>
        <w:tc>
          <w:tcPr>
            <w:tcW w:w="2478" w:type="pct"/>
            <w:shd w:val="clear" w:color="auto" w:fill="EAF1DD"/>
            <w:tcMar>
              <w:left w:w="115" w:type="dxa"/>
              <w:right w:w="115" w:type="dxa"/>
            </w:tcMar>
            <w:vAlign w:val="center"/>
          </w:tcPr>
          <w:p w14:paraId="5271FDBC"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Strop iznad otvorenih prolaza</w:t>
            </w:r>
          </w:p>
        </w:tc>
        <w:tc>
          <w:tcPr>
            <w:tcW w:w="719" w:type="pct"/>
            <w:shd w:val="clear" w:color="auto" w:fill="EAF1DD"/>
            <w:tcMar>
              <w:left w:w="115" w:type="dxa"/>
              <w:right w:w="115" w:type="dxa"/>
            </w:tcMar>
            <w:vAlign w:val="center"/>
          </w:tcPr>
          <w:p w14:paraId="7A1FF7AD"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0,70</w:t>
            </w:r>
          </w:p>
        </w:tc>
        <w:tc>
          <w:tcPr>
            <w:tcW w:w="902" w:type="pct"/>
            <w:shd w:val="clear" w:color="auto" w:fill="EAF1DD"/>
            <w:tcMar>
              <w:left w:w="115" w:type="dxa"/>
              <w:right w:w="115" w:type="dxa"/>
            </w:tcMar>
            <w:vAlign w:val="center"/>
          </w:tcPr>
          <w:p w14:paraId="376D94A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0,58</w:t>
            </w:r>
          </w:p>
        </w:tc>
        <w:tc>
          <w:tcPr>
            <w:tcW w:w="902" w:type="pct"/>
            <w:shd w:val="clear" w:color="auto" w:fill="EAF1DD"/>
            <w:tcMar>
              <w:left w:w="115" w:type="dxa"/>
              <w:right w:w="115" w:type="dxa"/>
            </w:tcMar>
            <w:vAlign w:val="center"/>
          </w:tcPr>
          <w:p w14:paraId="01EC4DE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0,52</w:t>
            </w:r>
          </w:p>
        </w:tc>
      </w:tr>
      <w:tr w:rsidR="00B122B4" w:rsidRPr="009C52C4" w14:paraId="5BF334B6" w14:textId="77777777" w:rsidTr="00887E64">
        <w:trPr>
          <w:trHeight w:val="20"/>
        </w:trPr>
        <w:tc>
          <w:tcPr>
            <w:tcW w:w="2478" w:type="pct"/>
            <w:shd w:val="clear" w:color="auto" w:fill="EAF1DD"/>
            <w:tcMar>
              <w:left w:w="115" w:type="dxa"/>
              <w:right w:w="115" w:type="dxa"/>
            </w:tcMar>
            <w:vAlign w:val="center"/>
          </w:tcPr>
          <w:p w14:paraId="5F1D8757"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Kosi i ravni krov</w:t>
            </w:r>
          </w:p>
        </w:tc>
        <w:tc>
          <w:tcPr>
            <w:tcW w:w="719" w:type="pct"/>
            <w:shd w:val="clear" w:color="auto" w:fill="EAF1DD"/>
            <w:tcMar>
              <w:left w:w="115" w:type="dxa"/>
              <w:right w:w="115" w:type="dxa"/>
            </w:tcMar>
            <w:vAlign w:val="center"/>
          </w:tcPr>
          <w:p w14:paraId="0ADDEEBF"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902" w:type="pct"/>
            <w:shd w:val="clear" w:color="auto" w:fill="EAF1DD"/>
            <w:tcMar>
              <w:left w:w="115" w:type="dxa"/>
              <w:right w:w="115" w:type="dxa"/>
            </w:tcMar>
            <w:vAlign w:val="center"/>
          </w:tcPr>
          <w:p w14:paraId="7F1CDC9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902" w:type="pct"/>
            <w:shd w:val="clear" w:color="auto" w:fill="EAF1DD"/>
            <w:tcMar>
              <w:left w:w="115" w:type="dxa"/>
              <w:right w:w="115" w:type="dxa"/>
            </w:tcMar>
            <w:vAlign w:val="center"/>
          </w:tcPr>
          <w:p w14:paraId="114695F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0,93</w:t>
            </w:r>
          </w:p>
        </w:tc>
      </w:tr>
    </w:tbl>
    <w:p w14:paraId="1C3A151E" w14:textId="77777777" w:rsidR="006730B1" w:rsidRPr="009C52C4" w:rsidRDefault="006730B1" w:rsidP="006730B1">
      <w:pPr>
        <w:ind w:left="864"/>
        <w:contextualSpacing/>
        <w:rPr>
          <w:rFonts w:ascii="Times New Roman" w:hAnsi="Times New Roman" w:cs="Times New Roman"/>
          <w:sz w:val="24"/>
          <w:szCs w:val="24"/>
        </w:rPr>
      </w:pPr>
    </w:p>
    <w:p w14:paraId="7B48E20F" w14:textId="77777777" w:rsidR="001F15D3" w:rsidRPr="009C52C4" w:rsidRDefault="001F15D3">
      <w:pPr>
        <w:rPr>
          <w:rFonts w:ascii="Times New Roman" w:hAnsi="Times New Roman" w:cs="Times New Roman"/>
          <w:b/>
          <w:sz w:val="24"/>
          <w:szCs w:val="24"/>
        </w:rPr>
      </w:pPr>
      <w:r w:rsidRPr="009C52C4">
        <w:rPr>
          <w:rFonts w:ascii="Times New Roman" w:hAnsi="Times New Roman" w:cs="Times New Roman"/>
          <w:b/>
          <w:sz w:val="24"/>
          <w:szCs w:val="24"/>
        </w:rPr>
        <w:br w:type="page"/>
      </w:r>
    </w:p>
    <w:p w14:paraId="36154233"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lastRenderedPageBreak/>
        <w:t>Karakteristično razdoblje od 1981. do 1987. godine</w:t>
      </w:r>
    </w:p>
    <w:p w14:paraId="689975F7" w14:textId="77777777" w:rsidR="00B122B4" w:rsidRPr="009C52C4" w:rsidRDefault="00B122B4">
      <w:pPr>
        <w:rPr>
          <w:rFonts w:ascii="Times New Roman" w:hAnsi="Times New Roman" w:cs="Times New Roman"/>
          <w:sz w:val="24"/>
          <w:szCs w:val="24"/>
        </w:rPr>
      </w:pPr>
    </w:p>
    <w:p w14:paraId="624F83F5" w14:textId="0BFD6ABF"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 xml:space="preserve">Godine 1980. doneseni su novi zahtjevi u pogledu toplinske zaštite zgrada u okviru norme JUS U.J5.600: Toplinska tehnika u građevinarstvu i tehnički uvjeti za projektiranje i građenje zgrada kojima su vrijednosti dopuštenih koeficijenata prolaska topline </w:t>
      </w:r>
      <w:r w:rsidRPr="009C52C4">
        <w:rPr>
          <w:rFonts w:ascii="Times New Roman" w:hAnsi="Times New Roman" w:cs="Times New Roman"/>
          <w:i/>
          <w:sz w:val="24"/>
          <w:szCs w:val="24"/>
        </w:rPr>
        <w:t>U</w:t>
      </w:r>
      <w:r w:rsidRPr="009C52C4">
        <w:rPr>
          <w:rFonts w:ascii="Times New Roman" w:hAnsi="Times New Roman" w:cs="Times New Roman"/>
          <w:sz w:val="24"/>
          <w:szCs w:val="24"/>
        </w:rPr>
        <w:t>(</w:t>
      </w:r>
      <w:r w:rsidRPr="009C52C4">
        <w:rPr>
          <w:rFonts w:ascii="Times New Roman" w:hAnsi="Times New Roman" w:cs="Times New Roman"/>
          <w:i/>
          <w:sz w:val="24"/>
          <w:szCs w:val="24"/>
        </w:rPr>
        <w:t>k</w:t>
      </w:r>
      <w:r w:rsidRPr="009C52C4">
        <w:rPr>
          <w:rFonts w:ascii="Times New Roman" w:hAnsi="Times New Roman" w:cs="Times New Roman"/>
          <w:sz w:val="24"/>
          <w:szCs w:val="24"/>
        </w:rPr>
        <w:t>) smanjene za cca 30%. U gradnji se koriste svi raspoloživi materijali na tržištu, ali dominira armirani beton zbog dobrih statičkih karakteristika i dostupnosti na tržištu, a unatoč loših toplinskih svojstava što rezultira pojavom velikog broja toplinskih mostova koji značajno utječu na toplinske gubitke zgrada</w:t>
      </w:r>
      <w:r w:rsidR="00600FC3" w:rsidRPr="009C52C4">
        <w:rPr>
          <w:rFonts w:ascii="Times New Roman" w:hAnsi="Times New Roman" w:cs="Times New Roman"/>
          <w:sz w:val="24"/>
          <w:szCs w:val="24"/>
          <w:vertAlign w:val="superscript"/>
        </w:rPr>
        <w:t>14</w:t>
      </w:r>
      <w:r w:rsidRPr="009C52C4">
        <w:rPr>
          <w:rFonts w:ascii="Times New Roman" w:hAnsi="Times New Roman" w:cs="Times New Roman"/>
          <w:sz w:val="24"/>
          <w:szCs w:val="24"/>
        </w:rPr>
        <w:t xml:space="preserve">. Najveći dopušteni koeficijenti prolaza topline, k za građevinske elemente </w:t>
      </w:r>
      <w:r w:rsidR="001860CF" w:rsidRPr="009C52C4">
        <w:rPr>
          <w:rFonts w:ascii="Times New Roman" w:hAnsi="Times New Roman" w:cs="Times New Roman"/>
          <w:sz w:val="24"/>
          <w:szCs w:val="24"/>
        </w:rPr>
        <w:t xml:space="preserve">te za prozore i vrata </w:t>
      </w:r>
      <w:r w:rsidRPr="009C52C4">
        <w:rPr>
          <w:rFonts w:ascii="Times New Roman" w:hAnsi="Times New Roman" w:cs="Times New Roman"/>
          <w:sz w:val="24"/>
          <w:szCs w:val="24"/>
        </w:rPr>
        <w:t xml:space="preserve">dani su </w:t>
      </w:r>
      <w:r w:rsidR="001860CF" w:rsidRPr="009C52C4">
        <w:rPr>
          <w:rFonts w:ascii="Times New Roman" w:hAnsi="Times New Roman" w:cs="Times New Roman"/>
          <w:sz w:val="24"/>
          <w:szCs w:val="24"/>
        </w:rPr>
        <w:t xml:space="preserve">tablicama </w:t>
      </w:r>
      <w:r w:rsidRPr="009C52C4">
        <w:rPr>
          <w:rFonts w:ascii="Times New Roman" w:hAnsi="Times New Roman" w:cs="Times New Roman"/>
          <w:sz w:val="24"/>
          <w:szCs w:val="24"/>
        </w:rPr>
        <w:t xml:space="preserve">u </w:t>
      </w:r>
      <w:r w:rsidR="001860CF" w:rsidRPr="009C52C4">
        <w:rPr>
          <w:rFonts w:ascii="Times New Roman" w:hAnsi="Times New Roman" w:cs="Times New Roman"/>
          <w:sz w:val="24"/>
          <w:szCs w:val="24"/>
        </w:rPr>
        <w:t>nastavku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_Ref483403966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13</w:t>
      </w:r>
      <w:r w:rsidR="003D0360" w:rsidRPr="009C52C4">
        <w:rPr>
          <w:rFonts w:ascii="Times New Roman" w:hAnsi="Times New Roman" w:cs="Times New Roman"/>
          <w:sz w:val="24"/>
          <w:szCs w:val="24"/>
        </w:rPr>
        <w:fldChar w:fldCharType="end"/>
      </w:r>
      <w:r w:rsidR="001860CF" w:rsidRPr="009C52C4">
        <w:rPr>
          <w:rFonts w:ascii="Times New Roman" w:hAnsi="Times New Roman" w:cs="Times New Roman"/>
          <w:sz w:val="24"/>
          <w:szCs w:val="24"/>
        </w:rPr>
        <w:t xml:space="preserve"> i</w:t>
      </w:r>
      <w:r w:rsidRPr="009C52C4">
        <w:rPr>
          <w:rFonts w:ascii="Times New Roman" w:hAnsi="Times New Roman" w:cs="Times New Roman"/>
          <w:sz w:val="24"/>
          <w:szCs w:val="24"/>
        </w:rPr>
        <w:t xml:space="preserve">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_Ref483403975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14</w:t>
      </w:r>
      <w:r w:rsidR="003D0360" w:rsidRPr="009C52C4">
        <w:rPr>
          <w:rFonts w:ascii="Times New Roman" w:hAnsi="Times New Roman" w:cs="Times New Roman"/>
          <w:sz w:val="24"/>
          <w:szCs w:val="24"/>
        </w:rPr>
        <w:fldChar w:fldCharType="end"/>
      </w:r>
      <w:r w:rsidR="001860CF" w:rsidRPr="009C52C4">
        <w:rPr>
          <w:rFonts w:ascii="Times New Roman" w:hAnsi="Times New Roman" w:cs="Times New Roman"/>
          <w:sz w:val="24"/>
          <w:szCs w:val="24"/>
        </w:rPr>
        <w:t>).</w:t>
      </w:r>
    </w:p>
    <w:p w14:paraId="1F86382E" w14:textId="77777777" w:rsidR="00B122B4" w:rsidRPr="009C52C4" w:rsidRDefault="00B122B4">
      <w:pPr>
        <w:rPr>
          <w:rFonts w:ascii="Times New Roman" w:hAnsi="Times New Roman" w:cs="Times New Roman"/>
          <w:sz w:val="24"/>
          <w:szCs w:val="24"/>
        </w:rPr>
      </w:pPr>
    </w:p>
    <w:p w14:paraId="7B25FEF2" w14:textId="5C7F4EFA" w:rsidR="006730B1" w:rsidRPr="009C52C4" w:rsidRDefault="006730B1" w:rsidP="006730B1">
      <w:pPr>
        <w:pStyle w:val="Caption"/>
        <w:rPr>
          <w:rFonts w:ascii="Times New Roman" w:hAnsi="Times New Roman" w:cs="Times New Roman"/>
          <w:b w:val="0"/>
          <w:sz w:val="24"/>
          <w:szCs w:val="24"/>
        </w:rPr>
      </w:pPr>
      <w:bookmarkStart w:id="64" w:name="h.49x2ik5" w:colFirst="0" w:colLast="0"/>
      <w:bookmarkStart w:id="65" w:name="_Ref483403966"/>
      <w:bookmarkStart w:id="66" w:name="_Toc2681306"/>
      <w:bookmarkEnd w:id="64"/>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13</w:t>
      </w:r>
      <w:r w:rsidR="00B6149D" w:rsidRPr="009C52C4">
        <w:rPr>
          <w:rFonts w:ascii="Times New Roman" w:hAnsi="Times New Roman" w:cs="Times New Roman"/>
          <w:noProof/>
          <w:sz w:val="24"/>
          <w:szCs w:val="24"/>
        </w:rPr>
        <w:fldChar w:fldCharType="end"/>
      </w:r>
      <w:bookmarkEnd w:id="65"/>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Najveći dopušteni koeficijenti prolaza topline k [W/m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K] prema JUS U.J5.600: Toplinska tehnika u građevinarstvu i tehnički uvjeti za projektiranje i građenje zgrada, 1980. g.</w:t>
      </w:r>
      <w:bookmarkEnd w:id="6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51"/>
        <w:gridCol w:w="1557"/>
        <w:gridCol w:w="1738"/>
        <w:gridCol w:w="2056"/>
      </w:tblGrid>
      <w:tr w:rsidR="006730B1" w:rsidRPr="009C52C4" w14:paraId="22DD046E" w14:textId="77777777" w:rsidTr="00887E64">
        <w:trPr>
          <w:trHeight w:val="20"/>
        </w:trPr>
        <w:tc>
          <w:tcPr>
            <w:tcW w:w="2124" w:type="pct"/>
            <w:vMerge w:val="restart"/>
            <w:shd w:val="clear" w:color="auto" w:fill="C2D69B"/>
            <w:tcMar>
              <w:left w:w="115" w:type="dxa"/>
              <w:right w:w="115" w:type="dxa"/>
            </w:tcMar>
            <w:vAlign w:val="center"/>
          </w:tcPr>
          <w:p w14:paraId="7BB279A1" w14:textId="77777777" w:rsidR="006730B1" w:rsidRPr="009C52C4" w:rsidRDefault="006730B1">
            <w:pPr>
              <w:tabs>
                <w:tab w:val="left" w:pos="851"/>
              </w:tabs>
              <w:rPr>
                <w:rFonts w:ascii="Times New Roman" w:hAnsi="Times New Roman" w:cs="Times New Roman"/>
                <w:sz w:val="24"/>
                <w:szCs w:val="24"/>
              </w:rPr>
            </w:pPr>
            <w:r w:rsidRPr="009C52C4">
              <w:rPr>
                <w:rFonts w:ascii="Times New Roman" w:hAnsi="Times New Roman" w:cs="Times New Roman"/>
                <w:b/>
                <w:sz w:val="24"/>
                <w:szCs w:val="24"/>
              </w:rPr>
              <w:t>Građevinski element</w:t>
            </w:r>
          </w:p>
        </w:tc>
        <w:tc>
          <w:tcPr>
            <w:tcW w:w="2876" w:type="pct"/>
            <w:gridSpan w:val="3"/>
            <w:shd w:val="clear" w:color="auto" w:fill="C2D69B"/>
            <w:tcMar>
              <w:left w:w="115" w:type="dxa"/>
              <w:right w:w="115" w:type="dxa"/>
            </w:tcMar>
            <w:vAlign w:val="center"/>
          </w:tcPr>
          <w:p w14:paraId="08F10F1A"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Građevinska klimatska zona</w:t>
            </w:r>
          </w:p>
        </w:tc>
      </w:tr>
      <w:tr w:rsidR="006730B1" w:rsidRPr="009C52C4" w14:paraId="37372BD9" w14:textId="77777777" w:rsidTr="00887E64">
        <w:trPr>
          <w:trHeight w:val="20"/>
        </w:trPr>
        <w:tc>
          <w:tcPr>
            <w:tcW w:w="2124" w:type="pct"/>
            <w:vMerge/>
            <w:shd w:val="clear" w:color="auto" w:fill="C2D69B"/>
            <w:tcMar>
              <w:left w:w="115" w:type="dxa"/>
              <w:right w:w="115" w:type="dxa"/>
            </w:tcMar>
            <w:vAlign w:val="center"/>
          </w:tcPr>
          <w:p w14:paraId="13FFBB58" w14:textId="77777777" w:rsidR="006730B1" w:rsidRPr="009C52C4" w:rsidRDefault="006730B1">
            <w:pPr>
              <w:tabs>
                <w:tab w:val="left" w:pos="851"/>
              </w:tabs>
              <w:rPr>
                <w:rFonts w:ascii="Times New Roman" w:hAnsi="Times New Roman" w:cs="Times New Roman"/>
                <w:sz w:val="24"/>
                <w:szCs w:val="24"/>
              </w:rPr>
            </w:pPr>
          </w:p>
        </w:tc>
        <w:tc>
          <w:tcPr>
            <w:tcW w:w="837" w:type="pct"/>
            <w:shd w:val="clear" w:color="auto" w:fill="C2D69B"/>
            <w:tcMar>
              <w:left w:w="115" w:type="dxa"/>
              <w:right w:w="115" w:type="dxa"/>
            </w:tcMar>
            <w:vAlign w:val="center"/>
          </w:tcPr>
          <w:p w14:paraId="54C2C81A" w14:textId="77777777" w:rsidR="006730B1" w:rsidRPr="009C52C4" w:rsidRDefault="006730B1">
            <w:pPr>
              <w:ind w:hanging="107"/>
              <w:jc w:val="center"/>
              <w:rPr>
                <w:rFonts w:ascii="Times New Roman" w:hAnsi="Times New Roman" w:cs="Times New Roman"/>
                <w:sz w:val="24"/>
                <w:szCs w:val="24"/>
              </w:rPr>
            </w:pPr>
            <w:r w:rsidRPr="009C52C4">
              <w:rPr>
                <w:rFonts w:ascii="Times New Roman" w:hAnsi="Times New Roman" w:cs="Times New Roman"/>
                <w:b/>
                <w:sz w:val="24"/>
                <w:szCs w:val="24"/>
              </w:rPr>
              <w:t>I.</w:t>
            </w:r>
          </w:p>
        </w:tc>
        <w:tc>
          <w:tcPr>
            <w:tcW w:w="934" w:type="pct"/>
            <w:shd w:val="clear" w:color="auto" w:fill="C2D69B"/>
            <w:tcMar>
              <w:left w:w="115" w:type="dxa"/>
              <w:right w:w="115" w:type="dxa"/>
            </w:tcMar>
            <w:vAlign w:val="center"/>
          </w:tcPr>
          <w:p w14:paraId="4F8382EF"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II.</w:t>
            </w:r>
          </w:p>
        </w:tc>
        <w:tc>
          <w:tcPr>
            <w:tcW w:w="1106" w:type="pct"/>
            <w:shd w:val="clear" w:color="auto" w:fill="C2D69B"/>
            <w:tcMar>
              <w:left w:w="115" w:type="dxa"/>
              <w:right w:w="115" w:type="dxa"/>
            </w:tcMar>
            <w:vAlign w:val="center"/>
          </w:tcPr>
          <w:p w14:paraId="0342DD79"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III.</w:t>
            </w:r>
          </w:p>
        </w:tc>
      </w:tr>
      <w:tr w:rsidR="00B122B4" w:rsidRPr="009C52C4" w14:paraId="68339C44" w14:textId="77777777" w:rsidTr="00887E64">
        <w:trPr>
          <w:trHeight w:val="20"/>
        </w:trPr>
        <w:tc>
          <w:tcPr>
            <w:tcW w:w="2124" w:type="pct"/>
            <w:shd w:val="clear" w:color="auto" w:fill="EAF1DD"/>
            <w:tcMar>
              <w:left w:w="115" w:type="dxa"/>
              <w:right w:w="115" w:type="dxa"/>
            </w:tcMar>
            <w:vAlign w:val="center"/>
          </w:tcPr>
          <w:p w14:paraId="5A99E2D9"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zidovi</w:t>
            </w:r>
          </w:p>
        </w:tc>
        <w:tc>
          <w:tcPr>
            <w:tcW w:w="837" w:type="pct"/>
            <w:shd w:val="clear" w:color="auto" w:fill="EAF1DD"/>
            <w:tcMar>
              <w:left w:w="115" w:type="dxa"/>
              <w:right w:w="115" w:type="dxa"/>
            </w:tcMar>
            <w:vAlign w:val="center"/>
          </w:tcPr>
          <w:p w14:paraId="5CA08675"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1,225</w:t>
            </w:r>
          </w:p>
        </w:tc>
        <w:tc>
          <w:tcPr>
            <w:tcW w:w="934" w:type="pct"/>
            <w:shd w:val="clear" w:color="auto" w:fill="EAF1DD"/>
            <w:tcMar>
              <w:left w:w="115" w:type="dxa"/>
              <w:right w:w="115" w:type="dxa"/>
            </w:tcMar>
            <w:vAlign w:val="center"/>
          </w:tcPr>
          <w:p w14:paraId="1553185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1106" w:type="pct"/>
            <w:shd w:val="clear" w:color="auto" w:fill="EAF1DD"/>
            <w:tcMar>
              <w:left w:w="115" w:type="dxa"/>
              <w:right w:w="115" w:type="dxa"/>
            </w:tcMar>
            <w:vAlign w:val="center"/>
          </w:tcPr>
          <w:p w14:paraId="2FDA63C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0,83</w:t>
            </w:r>
          </w:p>
        </w:tc>
      </w:tr>
      <w:tr w:rsidR="00B122B4" w:rsidRPr="009C52C4" w14:paraId="5F58F365" w14:textId="77777777" w:rsidTr="00887E64">
        <w:trPr>
          <w:trHeight w:val="20"/>
        </w:trPr>
        <w:tc>
          <w:tcPr>
            <w:tcW w:w="2124" w:type="pct"/>
            <w:shd w:val="clear" w:color="auto" w:fill="EAF1DD"/>
            <w:tcMar>
              <w:left w:w="115" w:type="dxa"/>
              <w:right w:w="115" w:type="dxa"/>
            </w:tcMar>
            <w:vAlign w:val="center"/>
          </w:tcPr>
          <w:p w14:paraId="1EFED304"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Pod na tlu</w:t>
            </w:r>
          </w:p>
        </w:tc>
        <w:tc>
          <w:tcPr>
            <w:tcW w:w="837" w:type="pct"/>
            <w:shd w:val="clear" w:color="auto" w:fill="EAF1DD"/>
            <w:tcMar>
              <w:left w:w="115" w:type="dxa"/>
              <w:right w:w="115" w:type="dxa"/>
            </w:tcMar>
            <w:vAlign w:val="center"/>
          </w:tcPr>
          <w:p w14:paraId="30F21306"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0,93</w:t>
            </w:r>
          </w:p>
        </w:tc>
        <w:tc>
          <w:tcPr>
            <w:tcW w:w="934" w:type="pct"/>
            <w:shd w:val="clear" w:color="auto" w:fill="EAF1DD"/>
            <w:tcMar>
              <w:left w:w="115" w:type="dxa"/>
              <w:right w:w="115" w:type="dxa"/>
            </w:tcMar>
            <w:vAlign w:val="center"/>
          </w:tcPr>
          <w:p w14:paraId="51D0AD7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0,76</w:t>
            </w:r>
          </w:p>
        </w:tc>
        <w:tc>
          <w:tcPr>
            <w:tcW w:w="1106" w:type="pct"/>
            <w:shd w:val="clear" w:color="auto" w:fill="EAF1DD"/>
            <w:tcMar>
              <w:left w:w="115" w:type="dxa"/>
              <w:right w:w="115" w:type="dxa"/>
            </w:tcMar>
            <w:vAlign w:val="center"/>
          </w:tcPr>
          <w:p w14:paraId="4D9B715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0,68</w:t>
            </w:r>
          </w:p>
        </w:tc>
      </w:tr>
      <w:tr w:rsidR="00B122B4" w:rsidRPr="009C52C4" w14:paraId="68A5CD09" w14:textId="77777777" w:rsidTr="00887E64">
        <w:trPr>
          <w:trHeight w:val="20"/>
        </w:trPr>
        <w:tc>
          <w:tcPr>
            <w:tcW w:w="2124" w:type="pct"/>
            <w:shd w:val="clear" w:color="auto" w:fill="EAF1DD"/>
            <w:tcMar>
              <w:left w:w="115" w:type="dxa"/>
              <w:right w:w="115" w:type="dxa"/>
            </w:tcMar>
            <w:vAlign w:val="center"/>
          </w:tcPr>
          <w:p w14:paraId="727E5822"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prema tavanu</w:t>
            </w:r>
          </w:p>
        </w:tc>
        <w:tc>
          <w:tcPr>
            <w:tcW w:w="837" w:type="pct"/>
            <w:shd w:val="clear" w:color="auto" w:fill="EAF1DD"/>
            <w:tcMar>
              <w:left w:w="115" w:type="dxa"/>
              <w:right w:w="115" w:type="dxa"/>
            </w:tcMar>
            <w:vAlign w:val="center"/>
          </w:tcPr>
          <w:p w14:paraId="74080683"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0,69</w:t>
            </w:r>
          </w:p>
        </w:tc>
        <w:tc>
          <w:tcPr>
            <w:tcW w:w="934" w:type="pct"/>
            <w:shd w:val="clear" w:color="auto" w:fill="EAF1DD"/>
            <w:tcMar>
              <w:left w:w="115" w:type="dxa"/>
              <w:right w:w="115" w:type="dxa"/>
            </w:tcMar>
            <w:vAlign w:val="center"/>
          </w:tcPr>
          <w:p w14:paraId="72EEBAA9"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0,69</w:t>
            </w:r>
          </w:p>
        </w:tc>
        <w:tc>
          <w:tcPr>
            <w:tcW w:w="1106" w:type="pct"/>
            <w:shd w:val="clear" w:color="auto" w:fill="EAF1DD"/>
            <w:tcMar>
              <w:left w:w="115" w:type="dxa"/>
              <w:right w:w="115" w:type="dxa"/>
            </w:tcMar>
            <w:vAlign w:val="center"/>
          </w:tcPr>
          <w:p w14:paraId="4B7BD4F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0,69</w:t>
            </w:r>
          </w:p>
        </w:tc>
      </w:tr>
      <w:tr w:rsidR="00B122B4" w:rsidRPr="009C52C4" w14:paraId="765D64CD" w14:textId="77777777" w:rsidTr="00887E64">
        <w:trPr>
          <w:trHeight w:val="20"/>
        </w:trPr>
        <w:tc>
          <w:tcPr>
            <w:tcW w:w="2124" w:type="pct"/>
            <w:shd w:val="clear" w:color="auto" w:fill="EAF1DD"/>
            <w:tcMar>
              <w:left w:w="115" w:type="dxa"/>
              <w:right w:w="115" w:type="dxa"/>
            </w:tcMar>
            <w:vAlign w:val="center"/>
          </w:tcPr>
          <w:p w14:paraId="3BB7D326"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iznad podruma</w:t>
            </w:r>
          </w:p>
        </w:tc>
        <w:tc>
          <w:tcPr>
            <w:tcW w:w="837" w:type="pct"/>
            <w:shd w:val="clear" w:color="auto" w:fill="EAF1DD"/>
            <w:tcMar>
              <w:left w:w="115" w:type="dxa"/>
              <w:right w:w="115" w:type="dxa"/>
            </w:tcMar>
            <w:vAlign w:val="center"/>
          </w:tcPr>
          <w:p w14:paraId="162C1C78"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0,75</w:t>
            </w:r>
          </w:p>
        </w:tc>
        <w:tc>
          <w:tcPr>
            <w:tcW w:w="934" w:type="pct"/>
            <w:shd w:val="clear" w:color="auto" w:fill="EAF1DD"/>
            <w:tcMar>
              <w:left w:w="115" w:type="dxa"/>
              <w:right w:w="115" w:type="dxa"/>
            </w:tcMar>
            <w:vAlign w:val="center"/>
          </w:tcPr>
          <w:p w14:paraId="354CDBE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0,63</w:t>
            </w:r>
          </w:p>
        </w:tc>
        <w:tc>
          <w:tcPr>
            <w:tcW w:w="1106" w:type="pct"/>
            <w:shd w:val="clear" w:color="auto" w:fill="EAF1DD"/>
            <w:tcMar>
              <w:left w:w="115" w:type="dxa"/>
              <w:right w:w="115" w:type="dxa"/>
            </w:tcMar>
            <w:vAlign w:val="center"/>
          </w:tcPr>
          <w:p w14:paraId="609CB1C9"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0,52</w:t>
            </w:r>
          </w:p>
        </w:tc>
      </w:tr>
      <w:tr w:rsidR="00B122B4" w:rsidRPr="009C52C4" w14:paraId="071ABC01" w14:textId="77777777" w:rsidTr="00887E64">
        <w:trPr>
          <w:trHeight w:val="20"/>
        </w:trPr>
        <w:tc>
          <w:tcPr>
            <w:tcW w:w="2124" w:type="pct"/>
            <w:shd w:val="clear" w:color="auto" w:fill="EAF1DD"/>
            <w:tcMar>
              <w:left w:w="115" w:type="dxa"/>
              <w:right w:w="115" w:type="dxa"/>
            </w:tcMar>
            <w:vAlign w:val="center"/>
          </w:tcPr>
          <w:p w14:paraId="77F1052E"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iznad otvorenih prolaza</w:t>
            </w:r>
          </w:p>
        </w:tc>
        <w:tc>
          <w:tcPr>
            <w:tcW w:w="837" w:type="pct"/>
            <w:shd w:val="clear" w:color="auto" w:fill="EAF1DD"/>
            <w:tcMar>
              <w:left w:w="115" w:type="dxa"/>
              <w:right w:w="115" w:type="dxa"/>
            </w:tcMar>
            <w:vAlign w:val="center"/>
          </w:tcPr>
          <w:p w14:paraId="7460A786"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934" w:type="pct"/>
            <w:shd w:val="clear" w:color="auto" w:fill="EAF1DD"/>
            <w:tcMar>
              <w:left w:w="115" w:type="dxa"/>
              <w:right w:w="115" w:type="dxa"/>
            </w:tcMar>
            <w:vAlign w:val="center"/>
          </w:tcPr>
          <w:p w14:paraId="3B07BC9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0,46</w:t>
            </w:r>
          </w:p>
        </w:tc>
        <w:tc>
          <w:tcPr>
            <w:tcW w:w="1106" w:type="pct"/>
            <w:shd w:val="clear" w:color="auto" w:fill="EAF1DD"/>
            <w:tcMar>
              <w:left w:w="115" w:type="dxa"/>
              <w:right w:w="115" w:type="dxa"/>
            </w:tcMar>
            <w:vAlign w:val="center"/>
          </w:tcPr>
          <w:p w14:paraId="32DA988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0,43</w:t>
            </w:r>
          </w:p>
        </w:tc>
      </w:tr>
      <w:tr w:rsidR="00B122B4" w:rsidRPr="009C52C4" w14:paraId="4D2F905A" w14:textId="77777777" w:rsidTr="00887E64">
        <w:trPr>
          <w:trHeight w:val="20"/>
        </w:trPr>
        <w:tc>
          <w:tcPr>
            <w:tcW w:w="2124" w:type="pct"/>
            <w:shd w:val="clear" w:color="auto" w:fill="EAF1DD"/>
            <w:tcMar>
              <w:left w:w="115" w:type="dxa"/>
              <w:right w:w="115" w:type="dxa"/>
            </w:tcMar>
            <w:vAlign w:val="center"/>
          </w:tcPr>
          <w:p w14:paraId="27AB2BFC"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Kosi i ravni krov iznad grijanih prostora</w:t>
            </w:r>
          </w:p>
        </w:tc>
        <w:tc>
          <w:tcPr>
            <w:tcW w:w="837" w:type="pct"/>
            <w:shd w:val="clear" w:color="auto" w:fill="EAF1DD"/>
            <w:tcMar>
              <w:left w:w="115" w:type="dxa"/>
              <w:right w:w="115" w:type="dxa"/>
            </w:tcMar>
            <w:vAlign w:val="center"/>
          </w:tcPr>
          <w:p w14:paraId="6CC3302C"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0,78</w:t>
            </w:r>
          </w:p>
        </w:tc>
        <w:tc>
          <w:tcPr>
            <w:tcW w:w="934" w:type="pct"/>
            <w:shd w:val="clear" w:color="auto" w:fill="EAF1DD"/>
            <w:tcMar>
              <w:left w:w="115" w:type="dxa"/>
              <w:right w:w="115" w:type="dxa"/>
            </w:tcMar>
            <w:vAlign w:val="center"/>
          </w:tcPr>
          <w:p w14:paraId="171BE8B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0,65</w:t>
            </w:r>
          </w:p>
        </w:tc>
        <w:tc>
          <w:tcPr>
            <w:tcW w:w="1106" w:type="pct"/>
            <w:shd w:val="clear" w:color="auto" w:fill="EAF1DD"/>
            <w:tcMar>
              <w:left w:w="115" w:type="dxa"/>
              <w:right w:w="115" w:type="dxa"/>
            </w:tcMar>
            <w:vAlign w:val="center"/>
          </w:tcPr>
          <w:p w14:paraId="24BBA18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0,55</w:t>
            </w:r>
          </w:p>
        </w:tc>
      </w:tr>
    </w:tbl>
    <w:p w14:paraId="34C1B944" w14:textId="77777777" w:rsidR="00B122B4" w:rsidRPr="009C52C4" w:rsidRDefault="00B122B4">
      <w:pPr>
        <w:rPr>
          <w:rFonts w:ascii="Times New Roman" w:hAnsi="Times New Roman" w:cs="Times New Roman"/>
          <w:sz w:val="24"/>
          <w:szCs w:val="24"/>
        </w:rPr>
      </w:pPr>
    </w:p>
    <w:p w14:paraId="06ED471D" w14:textId="1A8F1AEA" w:rsidR="006730B1" w:rsidRPr="009C52C4" w:rsidRDefault="006730B1" w:rsidP="006730B1">
      <w:pPr>
        <w:pStyle w:val="Caption"/>
        <w:rPr>
          <w:rFonts w:ascii="Times New Roman" w:hAnsi="Times New Roman" w:cs="Times New Roman"/>
          <w:sz w:val="24"/>
          <w:szCs w:val="24"/>
        </w:rPr>
      </w:pPr>
      <w:bookmarkStart w:id="67" w:name="h.2p2csry" w:colFirst="0" w:colLast="0"/>
      <w:bookmarkStart w:id="68" w:name="_Ref483403975"/>
      <w:bookmarkStart w:id="69" w:name="_Toc2681307"/>
      <w:bookmarkEnd w:id="67"/>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14</w:t>
      </w:r>
      <w:r w:rsidR="00B6149D" w:rsidRPr="009C52C4">
        <w:rPr>
          <w:rFonts w:ascii="Times New Roman" w:hAnsi="Times New Roman" w:cs="Times New Roman"/>
          <w:noProof/>
          <w:sz w:val="24"/>
          <w:szCs w:val="24"/>
        </w:rPr>
        <w:fldChar w:fldCharType="end"/>
      </w:r>
      <w:bookmarkEnd w:id="68"/>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Koeficijenti prolaza topline k [W/m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K] za prozore i balkonska vrata u ovisnosti o ostakljenju i materijalu okvira prema JUS U.J5.600: Toplinska tehnika u građevinarstvu i tehnički uvjeti za projektiranje i građenje zgrada, 1980. g.</w:t>
      </w:r>
      <w:bookmarkEnd w:id="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54"/>
        <w:gridCol w:w="1609"/>
        <w:gridCol w:w="1754"/>
        <w:gridCol w:w="1985"/>
      </w:tblGrid>
      <w:tr w:rsidR="006730B1" w:rsidRPr="009C52C4" w14:paraId="0320B5CC" w14:textId="77777777" w:rsidTr="00887E64">
        <w:trPr>
          <w:trHeight w:val="20"/>
        </w:trPr>
        <w:tc>
          <w:tcPr>
            <w:tcW w:w="2125" w:type="pct"/>
            <w:vMerge w:val="restart"/>
            <w:shd w:val="clear" w:color="auto" w:fill="C2D69B"/>
            <w:tcMar>
              <w:left w:w="115" w:type="dxa"/>
              <w:right w:w="115" w:type="dxa"/>
            </w:tcMar>
            <w:vAlign w:val="center"/>
          </w:tcPr>
          <w:p w14:paraId="57CDDC1B" w14:textId="77777777" w:rsidR="006730B1" w:rsidRPr="009C52C4" w:rsidRDefault="006730B1">
            <w:pPr>
              <w:tabs>
                <w:tab w:val="left" w:pos="851"/>
              </w:tabs>
              <w:rPr>
                <w:rFonts w:ascii="Times New Roman" w:hAnsi="Times New Roman" w:cs="Times New Roman"/>
                <w:sz w:val="24"/>
                <w:szCs w:val="24"/>
              </w:rPr>
            </w:pPr>
            <w:r w:rsidRPr="009C52C4">
              <w:rPr>
                <w:rFonts w:ascii="Times New Roman" w:hAnsi="Times New Roman" w:cs="Times New Roman"/>
                <w:b/>
                <w:sz w:val="24"/>
                <w:szCs w:val="24"/>
              </w:rPr>
              <w:t>Ostakljenje</w:t>
            </w:r>
          </w:p>
        </w:tc>
        <w:tc>
          <w:tcPr>
            <w:tcW w:w="2875" w:type="pct"/>
            <w:gridSpan w:val="3"/>
            <w:shd w:val="clear" w:color="auto" w:fill="C2D69B"/>
            <w:tcMar>
              <w:left w:w="115" w:type="dxa"/>
              <w:right w:w="115" w:type="dxa"/>
            </w:tcMar>
            <w:vAlign w:val="center"/>
          </w:tcPr>
          <w:p w14:paraId="0F81D6F9"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Materijal okvira - grupe</w:t>
            </w:r>
          </w:p>
        </w:tc>
      </w:tr>
      <w:tr w:rsidR="006730B1" w:rsidRPr="009C52C4" w14:paraId="3E47A8DB" w14:textId="77777777" w:rsidTr="00887E64">
        <w:trPr>
          <w:trHeight w:val="20"/>
        </w:trPr>
        <w:tc>
          <w:tcPr>
            <w:tcW w:w="2125" w:type="pct"/>
            <w:vMerge/>
            <w:shd w:val="clear" w:color="auto" w:fill="C2D69B"/>
            <w:tcMar>
              <w:left w:w="115" w:type="dxa"/>
              <w:right w:w="115" w:type="dxa"/>
            </w:tcMar>
            <w:vAlign w:val="center"/>
          </w:tcPr>
          <w:p w14:paraId="18EB1473" w14:textId="77777777" w:rsidR="006730B1" w:rsidRPr="009C52C4" w:rsidRDefault="006730B1">
            <w:pPr>
              <w:tabs>
                <w:tab w:val="left" w:pos="851"/>
              </w:tabs>
              <w:rPr>
                <w:rFonts w:ascii="Times New Roman" w:hAnsi="Times New Roman" w:cs="Times New Roman"/>
                <w:sz w:val="24"/>
                <w:szCs w:val="24"/>
              </w:rPr>
            </w:pPr>
          </w:p>
        </w:tc>
        <w:tc>
          <w:tcPr>
            <w:tcW w:w="865" w:type="pct"/>
            <w:shd w:val="clear" w:color="auto" w:fill="C2D69B"/>
            <w:tcMar>
              <w:left w:w="115" w:type="dxa"/>
              <w:right w:w="115" w:type="dxa"/>
            </w:tcMar>
            <w:vAlign w:val="center"/>
          </w:tcPr>
          <w:p w14:paraId="0D7C423F" w14:textId="77777777" w:rsidR="006730B1" w:rsidRPr="009C52C4" w:rsidRDefault="006730B1">
            <w:pPr>
              <w:ind w:hanging="107"/>
              <w:jc w:val="center"/>
              <w:rPr>
                <w:rFonts w:ascii="Times New Roman" w:hAnsi="Times New Roman" w:cs="Times New Roman"/>
                <w:sz w:val="24"/>
                <w:szCs w:val="24"/>
              </w:rPr>
            </w:pPr>
            <w:r w:rsidRPr="009C52C4">
              <w:rPr>
                <w:rFonts w:ascii="Times New Roman" w:hAnsi="Times New Roman" w:cs="Times New Roman"/>
                <w:b/>
                <w:sz w:val="24"/>
                <w:szCs w:val="24"/>
              </w:rPr>
              <w:t>1</w:t>
            </w:r>
          </w:p>
        </w:tc>
        <w:tc>
          <w:tcPr>
            <w:tcW w:w="943" w:type="pct"/>
            <w:shd w:val="clear" w:color="auto" w:fill="C2D69B"/>
            <w:tcMar>
              <w:left w:w="115" w:type="dxa"/>
              <w:right w:w="115" w:type="dxa"/>
            </w:tcMar>
            <w:vAlign w:val="center"/>
          </w:tcPr>
          <w:p w14:paraId="7306136C"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2</w:t>
            </w:r>
          </w:p>
        </w:tc>
        <w:tc>
          <w:tcPr>
            <w:tcW w:w="1067" w:type="pct"/>
            <w:shd w:val="clear" w:color="auto" w:fill="C2D69B"/>
            <w:tcMar>
              <w:left w:w="115" w:type="dxa"/>
              <w:right w:w="115" w:type="dxa"/>
            </w:tcMar>
            <w:vAlign w:val="center"/>
          </w:tcPr>
          <w:p w14:paraId="4B23FA57"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3</w:t>
            </w:r>
          </w:p>
        </w:tc>
      </w:tr>
      <w:tr w:rsidR="00B122B4" w:rsidRPr="009C52C4" w14:paraId="715EBF42" w14:textId="77777777" w:rsidTr="00887E64">
        <w:trPr>
          <w:trHeight w:val="20"/>
        </w:trPr>
        <w:tc>
          <w:tcPr>
            <w:tcW w:w="2125" w:type="pct"/>
            <w:shd w:val="clear" w:color="auto" w:fill="EAF1DD"/>
            <w:tcMar>
              <w:left w:w="115" w:type="dxa"/>
              <w:right w:w="115" w:type="dxa"/>
            </w:tcMar>
            <w:vAlign w:val="center"/>
          </w:tcPr>
          <w:p w14:paraId="5E25BDD0"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Jednostruki s dvostrukim izolirajućim staklom (6 mm međuslojnog zraka)</w:t>
            </w:r>
          </w:p>
        </w:tc>
        <w:tc>
          <w:tcPr>
            <w:tcW w:w="865" w:type="pct"/>
            <w:shd w:val="clear" w:color="auto" w:fill="EAF1DD"/>
            <w:tcMar>
              <w:left w:w="115" w:type="dxa"/>
              <w:right w:w="115" w:type="dxa"/>
            </w:tcMar>
            <w:vAlign w:val="center"/>
          </w:tcPr>
          <w:p w14:paraId="68EFAFC0"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3,3</w:t>
            </w:r>
          </w:p>
        </w:tc>
        <w:tc>
          <w:tcPr>
            <w:tcW w:w="943" w:type="pct"/>
            <w:shd w:val="clear" w:color="auto" w:fill="EAF1DD"/>
            <w:tcMar>
              <w:left w:w="115" w:type="dxa"/>
              <w:right w:w="115" w:type="dxa"/>
            </w:tcMar>
            <w:vAlign w:val="center"/>
          </w:tcPr>
          <w:p w14:paraId="4E3634C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3,5</w:t>
            </w:r>
          </w:p>
        </w:tc>
        <w:tc>
          <w:tcPr>
            <w:tcW w:w="1067" w:type="pct"/>
            <w:shd w:val="clear" w:color="auto" w:fill="EAF1DD"/>
            <w:tcMar>
              <w:left w:w="115" w:type="dxa"/>
              <w:right w:w="115" w:type="dxa"/>
            </w:tcMar>
            <w:vAlign w:val="center"/>
          </w:tcPr>
          <w:p w14:paraId="1092F8C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3,8</w:t>
            </w:r>
          </w:p>
        </w:tc>
      </w:tr>
      <w:tr w:rsidR="00B122B4" w:rsidRPr="009C52C4" w14:paraId="7C91D3D6" w14:textId="77777777" w:rsidTr="00887E64">
        <w:trPr>
          <w:trHeight w:val="20"/>
        </w:trPr>
        <w:tc>
          <w:tcPr>
            <w:tcW w:w="2125" w:type="pct"/>
            <w:shd w:val="clear" w:color="auto" w:fill="EAF1DD"/>
            <w:tcMar>
              <w:left w:w="115" w:type="dxa"/>
              <w:right w:w="115" w:type="dxa"/>
            </w:tcMar>
            <w:vAlign w:val="center"/>
          </w:tcPr>
          <w:p w14:paraId="5ADC466E"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Jednostruki s dvostrukim izolirajućim staklom (12 mm međuslojnog zraka)</w:t>
            </w:r>
          </w:p>
        </w:tc>
        <w:tc>
          <w:tcPr>
            <w:tcW w:w="865" w:type="pct"/>
            <w:shd w:val="clear" w:color="auto" w:fill="EAF1DD"/>
            <w:tcMar>
              <w:left w:w="115" w:type="dxa"/>
              <w:right w:w="115" w:type="dxa"/>
            </w:tcMar>
            <w:vAlign w:val="center"/>
          </w:tcPr>
          <w:p w14:paraId="4F86C2C0"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3,0</w:t>
            </w:r>
          </w:p>
        </w:tc>
        <w:tc>
          <w:tcPr>
            <w:tcW w:w="943" w:type="pct"/>
            <w:shd w:val="clear" w:color="auto" w:fill="EAF1DD"/>
            <w:tcMar>
              <w:left w:w="115" w:type="dxa"/>
              <w:right w:w="115" w:type="dxa"/>
            </w:tcMar>
            <w:vAlign w:val="center"/>
          </w:tcPr>
          <w:p w14:paraId="7FEA22F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3,3</w:t>
            </w:r>
          </w:p>
        </w:tc>
        <w:tc>
          <w:tcPr>
            <w:tcW w:w="1067" w:type="pct"/>
            <w:shd w:val="clear" w:color="auto" w:fill="EAF1DD"/>
            <w:tcMar>
              <w:left w:w="115" w:type="dxa"/>
              <w:right w:w="115" w:type="dxa"/>
            </w:tcMar>
            <w:vAlign w:val="center"/>
          </w:tcPr>
          <w:p w14:paraId="544BD75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3,5</w:t>
            </w:r>
          </w:p>
        </w:tc>
      </w:tr>
      <w:tr w:rsidR="00B122B4" w:rsidRPr="009C52C4" w14:paraId="07E96EAF" w14:textId="77777777" w:rsidTr="00887E64">
        <w:trPr>
          <w:trHeight w:val="20"/>
        </w:trPr>
        <w:tc>
          <w:tcPr>
            <w:tcW w:w="2125" w:type="pct"/>
            <w:shd w:val="clear" w:color="auto" w:fill="EAF1DD"/>
            <w:tcMar>
              <w:left w:w="115" w:type="dxa"/>
              <w:right w:w="115" w:type="dxa"/>
            </w:tcMar>
            <w:vAlign w:val="center"/>
          </w:tcPr>
          <w:p w14:paraId="0178BCC5"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Jednostruki sa spojenim krilima (krilo na krilo)</w:t>
            </w:r>
          </w:p>
        </w:tc>
        <w:tc>
          <w:tcPr>
            <w:tcW w:w="865" w:type="pct"/>
            <w:shd w:val="clear" w:color="auto" w:fill="EAF1DD"/>
            <w:tcMar>
              <w:left w:w="115" w:type="dxa"/>
              <w:right w:w="115" w:type="dxa"/>
            </w:tcMar>
            <w:vAlign w:val="center"/>
          </w:tcPr>
          <w:p w14:paraId="0FEE8725"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2,8</w:t>
            </w:r>
          </w:p>
        </w:tc>
        <w:tc>
          <w:tcPr>
            <w:tcW w:w="943" w:type="pct"/>
            <w:shd w:val="clear" w:color="auto" w:fill="EAF1DD"/>
            <w:tcMar>
              <w:left w:w="115" w:type="dxa"/>
              <w:right w:w="115" w:type="dxa"/>
            </w:tcMar>
            <w:vAlign w:val="center"/>
          </w:tcPr>
          <w:p w14:paraId="4CC3450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3,0</w:t>
            </w:r>
          </w:p>
        </w:tc>
        <w:tc>
          <w:tcPr>
            <w:tcW w:w="1067" w:type="pct"/>
            <w:shd w:val="clear" w:color="auto" w:fill="EAF1DD"/>
            <w:tcMar>
              <w:left w:w="115" w:type="dxa"/>
              <w:right w:w="115" w:type="dxa"/>
            </w:tcMar>
            <w:vAlign w:val="center"/>
          </w:tcPr>
          <w:p w14:paraId="7A3CC1F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3,3</w:t>
            </w:r>
          </w:p>
        </w:tc>
      </w:tr>
      <w:tr w:rsidR="00B122B4" w:rsidRPr="009C52C4" w14:paraId="646E33D8" w14:textId="77777777" w:rsidTr="00887E64">
        <w:trPr>
          <w:trHeight w:val="20"/>
        </w:trPr>
        <w:tc>
          <w:tcPr>
            <w:tcW w:w="2125" w:type="pct"/>
            <w:shd w:val="clear" w:color="auto" w:fill="EAF1DD"/>
            <w:tcMar>
              <w:left w:w="115" w:type="dxa"/>
              <w:right w:w="115" w:type="dxa"/>
            </w:tcMar>
            <w:vAlign w:val="center"/>
          </w:tcPr>
          <w:p w14:paraId="2147D62A"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Jednostruki sa spojenim krilima (s izolirajućim staklom + 1 staklo)</w:t>
            </w:r>
          </w:p>
        </w:tc>
        <w:tc>
          <w:tcPr>
            <w:tcW w:w="865" w:type="pct"/>
            <w:shd w:val="clear" w:color="auto" w:fill="EAF1DD"/>
            <w:tcMar>
              <w:left w:w="115" w:type="dxa"/>
              <w:right w:w="115" w:type="dxa"/>
            </w:tcMar>
            <w:vAlign w:val="center"/>
          </w:tcPr>
          <w:p w14:paraId="5BEFD1A3"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2,0</w:t>
            </w:r>
          </w:p>
        </w:tc>
        <w:tc>
          <w:tcPr>
            <w:tcW w:w="943" w:type="pct"/>
            <w:shd w:val="clear" w:color="auto" w:fill="EAF1DD"/>
            <w:tcMar>
              <w:left w:w="115" w:type="dxa"/>
              <w:right w:w="115" w:type="dxa"/>
            </w:tcMar>
            <w:vAlign w:val="center"/>
          </w:tcPr>
          <w:p w14:paraId="1A4A45E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2,6</w:t>
            </w:r>
          </w:p>
        </w:tc>
        <w:tc>
          <w:tcPr>
            <w:tcW w:w="1067" w:type="pct"/>
            <w:shd w:val="clear" w:color="auto" w:fill="EAF1DD"/>
            <w:tcMar>
              <w:left w:w="115" w:type="dxa"/>
              <w:right w:w="115" w:type="dxa"/>
            </w:tcMar>
            <w:vAlign w:val="center"/>
          </w:tcPr>
          <w:p w14:paraId="2E67EFF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2,8</w:t>
            </w:r>
          </w:p>
        </w:tc>
      </w:tr>
      <w:tr w:rsidR="00B122B4" w:rsidRPr="009C52C4" w14:paraId="63F2D216" w14:textId="77777777" w:rsidTr="00887E64">
        <w:trPr>
          <w:trHeight w:val="20"/>
        </w:trPr>
        <w:tc>
          <w:tcPr>
            <w:tcW w:w="2125" w:type="pct"/>
            <w:shd w:val="clear" w:color="auto" w:fill="EAF1DD"/>
            <w:tcMar>
              <w:left w:w="115" w:type="dxa"/>
              <w:right w:w="115" w:type="dxa"/>
            </w:tcMar>
            <w:vAlign w:val="center"/>
          </w:tcPr>
          <w:p w14:paraId="72C7C021"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Jednostruki sa spojenim krilima (s dva izolirajuća stakla)</w:t>
            </w:r>
          </w:p>
        </w:tc>
        <w:tc>
          <w:tcPr>
            <w:tcW w:w="865" w:type="pct"/>
            <w:shd w:val="clear" w:color="auto" w:fill="EAF1DD"/>
            <w:tcMar>
              <w:left w:w="115" w:type="dxa"/>
              <w:right w:w="115" w:type="dxa"/>
            </w:tcMar>
            <w:vAlign w:val="center"/>
          </w:tcPr>
          <w:p w14:paraId="7422A9F2"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1,7</w:t>
            </w:r>
          </w:p>
        </w:tc>
        <w:tc>
          <w:tcPr>
            <w:tcW w:w="943" w:type="pct"/>
            <w:shd w:val="clear" w:color="auto" w:fill="EAF1DD"/>
            <w:tcMar>
              <w:left w:w="115" w:type="dxa"/>
              <w:right w:w="115" w:type="dxa"/>
            </w:tcMar>
            <w:vAlign w:val="center"/>
          </w:tcPr>
          <w:p w14:paraId="70DEA1C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2,0</w:t>
            </w:r>
          </w:p>
        </w:tc>
        <w:tc>
          <w:tcPr>
            <w:tcW w:w="1067" w:type="pct"/>
            <w:shd w:val="clear" w:color="auto" w:fill="EAF1DD"/>
            <w:tcMar>
              <w:left w:w="115" w:type="dxa"/>
              <w:right w:w="115" w:type="dxa"/>
            </w:tcMar>
            <w:vAlign w:val="center"/>
          </w:tcPr>
          <w:p w14:paraId="27F10252"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2,3</w:t>
            </w:r>
          </w:p>
        </w:tc>
      </w:tr>
      <w:tr w:rsidR="00B122B4" w:rsidRPr="009C52C4" w14:paraId="2525895B" w14:textId="77777777" w:rsidTr="00887E64">
        <w:trPr>
          <w:trHeight w:val="20"/>
        </w:trPr>
        <w:tc>
          <w:tcPr>
            <w:tcW w:w="2125" w:type="pct"/>
            <w:shd w:val="clear" w:color="auto" w:fill="EAF1DD"/>
            <w:tcMar>
              <w:left w:w="115" w:type="dxa"/>
              <w:right w:w="115" w:type="dxa"/>
            </w:tcMar>
            <w:vAlign w:val="center"/>
          </w:tcPr>
          <w:p w14:paraId="75728F13"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Dvostruki s razmaknutim krilima</w:t>
            </w:r>
          </w:p>
        </w:tc>
        <w:tc>
          <w:tcPr>
            <w:tcW w:w="865" w:type="pct"/>
            <w:shd w:val="clear" w:color="auto" w:fill="EAF1DD"/>
            <w:tcMar>
              <w:left w:w="115" w:type="dxa"/>
              <w:right w:w="115" w:type="dxa"/>
            </w:tcMar>
            <w:vAlign w:val="center"/>
          </w:tcPr>
          <w:p w14:paraId="46E7BA1F"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2,6</w:t>
            </w:r>
          </w:p>
        </w:tc>
        <w:tc>
          <w:tcPr>
            <w:tcW w:w="943" w:type="pct"/>
            <w:shd w:val="clear" w:color="auto" w:fill="EAF1DD"/>
            <w:tcMar>
              <w:left w:w="115" w:type="dxa"/>
              <w:right w:w="115" w:type="dxa"/>
            </w:tcMar>
            <w:vAlign w:val="center"/>
          </w:tcPr>
          <w:p w14:paraId="42DC189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1067" w:type="pct"/>
            <w:shd w:val="clear" w:color="auto" w:fill="EAF1DD"/>
            <w:tcMar>
              <w:left w:w="115" w:type="dxa"/>
              <w:right w:w="115" w:type="dxa"/>
            </w:tcMar>
            <w:vAlign w:val="center"/>
          </w:tcPr>
          <w:p w14:paraId="10A8573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w:t>
            </w:r>
          </w:p>
        </w:tc>
      </w:tr>
    </w:tbl>
    <w:p w14:paraId="2C133563" w14:textId="77777777" w:rsidR="006730B1" w:rsidRPr="009C52C4" w:rsidRDefault="006730B1">
      <w:pPr>
        <w:rPr>
          <w:rFonts w:ascii="Times New Roman" w:hAnsi="Times New Roman" w:cs="Times New Roman"/>
          <w:sz w:val="24"/>
          <w:szCs w:val="24"/>
        </w:rPr>
      </w:pPr>
      <w:r w:rsidRPr="009C52C4">
        <w:rPr>
          <w:rFonts w:ascii="Times New Roman" w:hAnsi="Times New Roman" w:cs="Times New Roman"/>
          <w:sz w:val="24"/>
          <w:szCs w:val="24"/>
        </w:rPr>
        <w:br w:type="page"/>
      </w:r>
    </w:p>
    <w:p w14:paraId="77F3DBD2"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lastRenderedPageBreak/>
        <w:t>Karakteristično razdoblje od 1988. do 2005. godine</w:t>
      </w:r>
    </w:p>
    <w:p w14:paraId="614504B8" w14:textId="77777777" w:rsidR="00B122B4" w:rsidRPr="009C52C4" w:rsidRDefault="00B122B4">
      <w:pPr>
        <w:rPr>
          <w:rFonts w:ascii="Times New Roman" w:hAnsi="Times New Roman" w:cs="Times New Roman"/>
          <w:sz w:val="24"/>
          <w:szCs w:val="24"/>
        </w:rPr>
      </w:pPr>
    </w:p>
    <w:p w14:paraId="2FD2E362" w14:textId="7B5B0AFB" w:rsidR="00BD461D" w:rsidRPr="009C52C4" w:rsidRDefault="00BD461D" w:rsidP="00BD461D">
      <w:pPr>
        <w:rPr>
          <w:rFonts w:ascii="Times New Roman" w:hAnsi="Times New Roman" w:cs="Times New Roman"/>
          <w:sz w:val="24"/>
          <w:szCs w:val="24"/>
        </w:rPr>
      </w:pPr>
      <w:bookmarkStart w:id="70" w:name="h.147n2zr" w:colFirst="0" w:colLast="0"/>
      <w:bookmarkStart w:id="71" w:name="h.3o7alnk" w:colFirst="0" w:colLast="0"/>
      <w:bookmarkEnd w:id="70"/>
      <w:bookmarkEnd w:id="71"/>
      <w:r w:rsidRPr="009C52C4">
        <w:rPr>
          <w:rFonts w:ascii="Times New Roman" w:hAnsi="Times New Roman" w:cs="Times New Roman"/>
          <w:sz w:val="24"/>
          <w:szCs w:val="24"/>
        </w:rPr>
        <w:t>Godine 1987. doneseno je novo, pooštreno i dopunjeno izdanje propisa koji definira zahtjeve u pogledu toplinske zaštite pod nazivom HRN U.J.5.600. Važno je naglasiti da je bitna novost ovog</w:t>
      </w:r>
      <w:r w:rsidR="006A04B5" w:rsidRPr="009C52C4">
        <w:rPr>
          <w:rFonts w:ascii="Times New Roman" w:hAnsi="Times New Roman" w:cs="Times New Roman"/>
          <w:sz w:val="24"/>
          <w:szCs w:val="24"/>
        </w:rPr>
        <w:t>a</w:t>
      </w:r>
      <w:r w:rsidRPr="009C52C4">
        <w:rPr>
          <w:rFonts w:ascii="Times New Roman" w:hAnsi="Times New Roman" w:cs="Times New Roman"/>
          <w:sz w:val="24"/>
          <w:szCs w:val="24"/>
        </w:rPr>
        <w:t xml:space="preserve"> propisa ograničavanje toplinskih gubitaka, ne samo kroz pojedine elemente vanjske ovojnice već i za zgradu kao cjelinu. Bitnog napretka u toplinskoj zaštiti zgrada u razdoblju od 1988. do 2005. godine nema. Gradi se svim dostupnim materijalima na tržištu, a primijenjena toplinska izolacija je takva da zadovoljava postojeće propise. Najveći dopušteni koeficijenti prolaza topline k za građevinske elemente </w:t>
      </w:r>
      <w:r w:rsidR="001860CF" w:rsidRPr="009C52C4">
        <w:rPr>
          <w:rFonts w:ascii="Times New Roman" w:hAnsi="Times New Roman" w:cs="Times New Roman"/>
          <w:sz w:val="24"/>
          <w:szCs w:val="24"/>
        </w:rPr>
        <w:t xml:space="preserve">te za prozore i vrata </w:t>
      </w:r>
      <w:r w:rsidRPr="009C52C4">
        <w:rPr>
          <w:rFonts w:ascii="Times New Roman" w:hAnsi="Times New Roman" w:cs="Times New Roman"/>
          <w:sz w:val="24"/>
          <w:szCs w:val="24"/>
        </w:rPr>
        <w:t>dani su</w:t>
      </w:r>
      <w:r w:rsidR="001860CF" w:rsidRPr="009C52C4">
        <w:rPr>
          <w:rFonts w:ascii="Times New Roman" w:hAnsi="Times New Roman" w:cs="Times New Roman"/>
          <w:sz w:val="24"/>
          <w:szCs w:val="24"/>
        </w:rPr>
        <w:t xml:space="preserve"> tablicama</w:t>
      </w:r>
      <w:r w:rsidRPr="009C52C4">
        <w:rPr>
          <w:rFonts w:ascii="Times New Roman" w:hAnsi="Times New Roman" w:cs="Times New Roman"/>
          <w:sz w:val="24"/>
          <w:szCs w:val="24"/>
        </w:rPr>
        <w:t xml:space="preserve"> u </w:t>
      </w:r>
      <w:r w:rsidR="001860CF" w:rsidRPr="009C52C4">
        <w:rPr>
          <w:rFonts w:ascii="Times New Roman" w:hAnsi="Times New Roman" w:cs="Times New Roman"/>
          <w:sz w:val="24"/>
          <w:szCs w:val="24"/>
        </w:rPr>
        <w:t>nastavku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_Ref483403999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15</w:t>
      </w:r>
      <w:r w:rsidR="003D0360" w:rsidRPr="009C52C4">
        <w:rPr>
          <w:rFonts w:ascii="Times New Roman" w:hAnsi="Times New Roman" w:cs="Times New Roman"/>
          <w:sz w:val="24"/>
          <w:szCs w:val="24"/>
        </w:rPr>
        <w:fldChar w:fldCharType="end"/>
      </w:r>
      <w:r w:rsidR="001860CF" w:rsidRPr="009C52C4">
        <w:rPr>
          <w:rFonts w:ascii="Times New Roman" w:hAnsi="Times New Roman" w:cs="Times New Roman"/>
          <w:sz w:val="24"/>
          <w:szCs w:val="24"/>
        </w:rPr>
        <w:t xml:space="preserve"> i</w:t>
      </w:r>
      <w:r w:rsidRPr="009C52C4">
        <w:rPr>
          <w:rFonts w:ascii="Times New Roman" w:hAnsi="Times New Roman" w:cs="Times New Roman"/>
          <w:sz w:val="24"/>
          <w:szCs w:val="24"/>
        </w:rPr>
        <w:t xml:space="preserve">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_Ref483404012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16</w:t>
      </w:r>
      <w:r w:rsidR="003D0360" w:rsidRPr="009C52C4">
        <w:rPr>
          <w:rFonts w:ascii="Times New Roman" w:hAnsi="Times New Roman" w:cs="Times New Roman"/>
          <w:sz w:val="24"/>
          <w:szCs w:val="24"/>
        </w:rPr>
        <w:fldChar w:fldCharType="end"/>
      </w:r>
      <w:r w:rsidR="001860CF" w:rsidRPr="009C52C4">
        <w:rPr>
          <w:rFonts w:ascii="Times New Roman" w:hAnsi="Times New Roman" w:cs="Times New Roman"/>
          <w:sz w:val="24"/>
          <w:szCs w:val="24"/>
        </w:rPr>
        <w:t>)</w:t>
      </w:r>
      <w:r w:rsidRPr="009C52C4">
        <w:rPr>
          <w:rFonts w:ascii="Times New Roman" w:hAnsi="Times New Roman" w:cs="Times New Roman"/>
          <w:sz w:val="24"/>
          <w:szCs w:val="24"/>
        </w:rPr>
        <w:t>.</w:t>
      </w:r>
    </w:p>
    <w:p w14:paraId="4869E697" w14:textId="77777777" w:rsidR="00B122B4" w:rsidRPr="009C52C4" w:rsidRDefault="00B122B4">
      <w:pPr>
        <w:jc w:val="left"/>
        <w:rPr>
          <w:rFonts w:ascii="Times New Roman" w:hAnsi="Times New Roman" w:cs="Times New Roman"/>
          <w:sz w:val="24"/>
          <w:szCs w:val="24"/>
        </w:rPr>
      </w:pPr>
    </w:p>
    <w:p w14:paraId="21C00D58" w14:textId="29CE7923" w:rsidR="006730B1" w:rsidRPr="009C52C4" w:rsidRDefault="006730B1" w:rsidP="006730B1">
      <w:pPr>
        <w:pStyle w:val="Caption"/>
        <w:rPr>
          <w:rFonts w:ascii="Times New Roman" w:hAnsi="Times New Roman" w:cs="Times New Roman"/>
          <w:sz w:val="24"/>
          <w:szCs w:val="24"/>
        </w:rPr>
      </w:pPr>
      <w:bookmarkStart w:id="72" w:name="_Ref483403999"/>
      <w:bookmarkStart w:id="73" w:name="_Toc2681308"/>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15</w:t>
      </w:r>
      <w:r w:rsidR="00B6149D" w:rsidRPr="009C52C4">
        <w:rPr>
          <w:rFonts w:ascii="Times New Roman" w:hAnsi="Times New Roman" w:cs="Times New Roman"/>
          <w:noProof/>
          <w:sz w:val="24"/>
          <w:szCs w:val="24"/>
        </w:rPr>
        <w:fldChar w:fldCharType="end"/>
      </w:r>
      <w:bookmarkEnd w:id="72"/>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Najveći dopušteni koeficijenti prolaza topline k [W/m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K] prema JUS U.J5.600: Toplinska tehnika u građevinarstvu i tehnički uvjeti za projektiranje i građenje zgrada, 1987. g.</w:t>
      </w:r>
      <w:r w:rsidR="003E69E2" w:rsidRPr="009C52C4">
        <w:rPr>
          <w:rFonts w:ascii="Times New Roman" w:hAnsi="Times New Roman" w:cs="Times New Roman"/>
          <w:b w:val="0"/>
          <w:bCs w:val="0"/>
          <w:color w:val="000000"/>
          <w:sz w:val="24"/>
          <w:szCs w:val="24"/>
          <w:vertAlign w:val="superscript"/>
        </w:rPr>
        <w:t>12,13</w:t>
      </w:r>
      <w:bookmarkEnd w:id="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353"/>
        <w:gridCol w:w="1237"/>
        <w:gridCol w:w="1356"/>
        <w:gridCol w:w="1356"/>
      </w:tblGrid>
      <w:tr w:rsidR="006730B1" w:rsidRPr="009C52C4" w14:paraId="54E9E3A6" w14:textId="77777777" w:rsidTr="00887E64">
        <w:trPr>
          <w:trHeight w:val="20"/>
        </w:trPr>
        <w:tc>
          <w:tcPr>
            <w:tcW w:w="2877" w:type="pct"/>
            <w:vMerge w:val="restart"/>
            <w:shd w:val="clear" w:color="auto" w:fill="C2D69B"/>
            <w:tcMar>
              <w:left w:w="115" w:type="dxa"/>
              <w:right w:w="115" w:type="dxa"/>
            </w:tcMar>
            <w:vAlign w:val="center"/>
          </w:tcPr>
          <w:p w14:paraId="5FCC9E51" w14:textId="77777777" w:rsidR="006730B1" w:rsidRPr="009C52C4" w:rsidRDefault="006730B1">
            <w:pPr>
              <w:tabs>
                <w:tab w:val="left" w:pos="851"/>
              </w:tabs>
              <w:rPr>
                <w:rFonts w:ascii="Times New Roman" w:hAnsi="Times New Roman" w:cs="Times New Roman"/>
                <w:sz w:val="24"/>
                <w:szCs w:val="24"/>
              </w:rPr>
            </w:pPr>
            <w:r w:rsidRPr="009C52C4">
              <w:rPr>
                <w:rFonts w:ascii="Times New Roman" w:hAnsi="Times New Roman" w:cs="Times New Roman"/>
                <w:b/>
                <w:sz w:val="24"/>
                <w:szCs w:val="24"/>
              </w:rPr>
              <w:t>Građevinski element</w:t>
            </w:r>
          </w:p>
        </w:tc>
        <w:tc>
          <w:tcPr>
            <w:tcW w:w="2123" w:type="pct"/>
            <w:gridSpan w:val="3"/>
            <w:shd w:val="clear" w:color="auto" w:fill="C2D69B"/>
            <w:tcMar>
              <w:left w:w="115" w:type="dxa"/>
              <w:right w:w="115" w:type="dxa"/>
            </w:tcMar>
            <w:vAlign w:val="center"/>
          </w:tcPr>
          <w:p w14:paraId="47E26FDA" w14:textId="77777777" w:rsidR="006730B1" w:rsidRPr="009C52C4" w:rsidRDefault="006730B1" w:rsidP="00D41DA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Građevinska klimatska zona</w:t>
            </w:r>
          </w:p>
        </w:tc>
      </w:tr>
      <w:tr w:rsidR="006730B1" w:rsidRPr="009C52C4" w14:paraId="298813D6" w14:textId="77777777" w:rsidTr="00887E64">
        <w:trPr>
          <w:trHeight w:val="20"/>
        </w:trPr>
        <w:tc>
          <w:tcPr>
            <w:tcW w:w="2877" w:type="pct"/>
            <w:vMerge/>
            <w:shd w:val="clear" w:color="auto" w:fill="C2D69B"/>
            <w:tcMar>
              <w:left w:w="115" w:type="dxa"/>
              <w:right w:w="115" w:type="dxa"/>
            </w:tcMar>
            <w:vAlign w:val="center"/>
          </w:tcPr>
          <w:p w14:paraId="2BCF2EE6" w14:textId="77777777" w:rsidR="006730B1" w:rsidRPr="009C52C4" w:rsidRDefault="006730B1">
            <w:pPr>
              <w:tabs>
                <w:tab w:val="left" w:pos="851"/>
              </w:tabs>
              <w:rPr>
                <w:rFonts w:ascii="Times New Roman" w:hAnsi="Times New Roman" w:cs="Times New Roman"/>
                <w:sz w:val="24"/>
                <w:szCs w:val="24"/>
              </w:rPr>
            </w:pPr>
          </w:p>
        </w:tc>
        <w:tc>
          <w:tcPr>
            <w:tcW w:w="665" w:type="pct"/>
            <w:shd w:val="clear" w:color="auto" w:fill="C2D69B"/>
            <w:tcMar>
              <w:left w:w="115" w:type="dxa"/>
              <w:right w:w="115" w:type="dxa"/>
            </w:tcMar>
            <w:vAlign w:val="center"/>
          </w:tcPr>
          <w:p w14:paraId="4646EDFE" w14:textId="77777777" w:rsidR="006730B1" w:rsidRPr="009C52C4" w:rsidRDefault="006730B1">
            <w:pPr>
              <w:ind w:hanging="107"/>
              <w:jc w:val="center"/>
              <w:rPr>
                <w:rFonts w:ascii="Times New Roman" w:hAnsi="Times New Roman" w:cs="Times New Roman"/>
                <w:sz w:val="24"/>
                <w:szCs w:val="24"/>
              </w:rPr>
            </w:pPr>
            <w:r w:rsidRPr="009C52C4">
              <w:rPr>
                <w:rFonts w:ascii="Times New Roman" w:hAnsi="Times New Roman" w:cs="Times New Roman"/>
                <w:b/>
                <w:sz w:val="24"/>
                <w:szCs w:val="24"/>
              </w:rPr>
              <w:t>I.</w:t>
            </w:r>
          </w:p>
        </w:tc>
        <w:tc>
          <w:tcPr>
            <w:tcW w:w="729" w:type="pct"/>
            <w:shd w:val="clear" w:color="auto" w:fill="C2D69B"/>
            <w:tcMar>
              <w:left w:w="115" w:type="dxa"/>
              <w:right w:w="115" w:type="dxa"/>
            </w:tcMar>
            <w:vAlign w:val="center"/>
          </w:tcPr>
          <w:p w14:paraId="2A250B35"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II.</w:t>
            </w:r>
          </w:p>
        </w:tc>
        <w:tc>
          <w:tcPr>
            <w:tcW w:w="729" w:type="pct"/>
            <w:shd w:val="clear" w:color="auto" w:fill="C2D69B"/>
            <w:tcMar>
              <w:left w:w="115" w:type="dxa"/>
              <w:right w:w="115" w:type="dxa"/>
            </w:tcMar>
            <w:vAlign w:val="center"/>
          </w:tcPr>
          <w:p w14:paraId="6A2BB33D"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III.</w:t>
            </w:r>
          </w:p>
        </w:tc>
      </w:tr>
      <w:tr w:rsidR="00B122B4" w:rsidRPr="009C52C4" w14:paraId="190C557C" w14:textId="77777777" w:rsidTr="00887E64">
        <w:trPr>
          <w:trHeight w:val="20"/>
        </w:trPr>
        <w:tc>
          <w:tcPr>
            <w:tcW w:w="2877" w:type="pct"/>
            <w:shd w:val="clear" w:color="auto" w:fill="EAF1DD"/>
            <w:tcMar>
              <w:left w:w="115" w:type="dxa"/>
              <w:right w:w="115" w:type="dxa"/>
            </w:tcMar>
            <w:vAlign w:val="center"/>
          </w:tcPr>
          <w:p w14:paraId="646DC910"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zidovi i zidovi prema negrijanom stubištu</w:t>
            </w:r>
          </w:p>
        </w:tc>
        <w:tc>
          <w:tcPr>
            <w:tcW w:w="665" w:type="pct"/>
            <w:shd w:val="clear" w:color="auto" w:fill="EAF1DD"/>
            <w:tcMar>
              <w:left w:w="115" w:type="dxa"/>
              <w:right w:w="115" w:type="dxa"/>
            </w:tcMar>
            <w:vAlign w:val="center"/>
          </w:tcPr>
          <w:p w14:paraId="62C76039"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1,20</w:t>
            </w:r>
          </w:p>
        </w:tc>
        <w:tc>
          <w:tcPr>
            <w:tcW w:w="729" w:type="pct"/>
            <w:shd w:val="clear" w:color="auto" w:fill="EAF1DD"/>
            <w:tcMar>
              <w:left w:w="115" w:type="dxa"/>
              <w:right w:w="115" w:type="dxa"/>
            </w:tcMar>
            <w:vAlign w:val="center"/>
          </w:tcPr>
          <w:p w14:paraId="15C35CC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0,90</w:t>
            </w:r>
          </w:p>
        </w:tc>
        <w:tc>
          <w:tcPr>
            <w:tcW w:w="729" w:type="pct"/>
            <w:shd w:val="clear" w:color="auto" w:fill="EAF1DD"/>
            <w:tcMar>
              <w:left w:w="115" w:type="dxa"/>
              <w:right w:w="115" w:type="dxa"/>
            </w:tcMar>
            <w:vAlign w:val="center"/>
          </w:tcPr>
          <w:p w14:paraId="02C9F6C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B122B4" w:rsidRPr="009C52C4" w14:paraId="40675D4D" w14:textId="77777777" w:rsidTr="00887E64">
        <w:trPr>
          <w:trHeight w:val="20"/>
        </w:trPr>
        <w:tc>
          <w:tcPr>
            <w:tcW w:w="2877" w:type="pct"/>
            <w:shd w:val="clear" w:color="auto" w:fill="EAF1DD"/>
            <w:tcMar>
              <w:left w:w="115" w:type="dxa"/>
              <w:right w:w="115" w:type="dxa"/>
            </w:tcMar>
            <w:vAlign w:val="center"/>
          </w:tcPr>
          <w:p w14:paraId="093823D6"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Vanjski zid u tlu</w:t>
            </w:r>
          </w:p>
        </w:tc>
        <w:tc>
          <w:tcPr>
            <w:tcW w:w="665" w:type="pct"/>
            <w:shd w:val="clear" w:color="auto" w:fill="EAF1DD"/>
            <w:tcMar>
              <w:left w:w="115" w:type="dxa"/>
              <w:right w:w="115" w:type="dxa"/>
            </w:tcMar>
            <w:vAlign w:val="center"/>
          </w:tcPr>
          <w:p w14:paraId="49C36C2F"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1,20</w:t>
            </w:r>
          </w:p>
        </w:tc>
        <w:tc>
          <w:tcPr>
            <w:tcW w:w="729" w:type="pct"/>
            <w:shd w:val="clear" w:color="auto" w:fill="EAF1DD"/>
            <w:tcMar>
              <w:left w:w="115" w:type="dxa"/>
              <w:right w:w="115" w:type="dxa"/>
            </w:tcMar>
            <w:vAlign w:val="center"/>
          </w:tcPr>
          <w:p w14:paraId="691A1DB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0,90</w:t>
            </w:r>
          </w:p>
        </w:tc>
        <w:tc>
          <w:tcPr>
            <w:tcW w:w="729" w:type="pct"/>
            <w:shd w:val="clear" w:color="auto" w:fill="EAF1DD"/>
            <w:tcMar>
              <w:left w:w="115" w:type="dxa"/>
              <w:right w:w="115" w:type="dxa"/>
            </w:tcMar>
            <w:vAlign w:val="center"/>
          </w:tcPr>
          <w:p w14:paraId="29F1E83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B122B4" w:rsidRPr="009C52C4" w14:paraId="5C9B0B0E" w14:textId="77777777" w:rsidTr="00887E64">
        <w:trPr>
          <w:trHeight w:val="20"/>
        </w:trPr>
        <w:tc>
          <w:tcPr>
            <w:tcW w:w="2877" w:type="pct"/>
            <w:shd w:val="clear" w:color="auto" w:fill="EAF1DD"/>
            <w:tcMar>
              <w:left w:w="115" w:type="dxa"/>
              <w:right w:w="115" w:type="dxa"/>
            </w:tcMar>
            <w:vAlign w:val="center"/>
          </w:tcPr>
          <w:p w14:paraId="58733773"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Pod na tlu</w:t>
            </w:r>
          </w:p>
        </w:tc>
        <w:tc>
          <w:tcPr>
            <w:tcW w:w="665" w:type="pct"/>
            <w:shd w:val="clear" w:color="auto" w:fill="EAF1DD"/>
            <w:tcMar>
              <w:left w:w="115" w:type="dxa"/>
              <w:right w:w="115" w:type="dxa"/>
            </w:tcMar>
            <w:vAlign w:val="center"/>
          </w:tcPr>
          <w:p w14:paraId="572326DE"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0,90</w:t>
            </w:r>
          </w:p>
        </w:tc>
        <w:tc>
          <w:tcPr>
            <w:tcW w:w="729" w:type="pct"/>
            <w:shd w:val="clear" w:color="auto" w:fill="EAF1DD"/>
            <w:tcMar>
              <w:left w:w="115" w:type="dxa"/>
              <w:right w:w="115" w:type="dxa"/>
            </w:tcMar>
            <w:vAlign w:val="center"/>
          </w:tcPr>
          <w:p w14:paraId="7A9708A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0,75</w:t>
            </w:r>
          </w:p>
        </w:tc>
        <w:tc>
          <w:tcPr>
            <w:tcW w:w="729" w:type="pct"/>
            <w:shd w:val="clear" w:color="auto" w:fill="EAF1DD"/>
            <w:tcMar>
              <w:left w:w="115" w:type="dxa"/>
              <w:right w:w="115" w:type="dxa"/>
            </w:tcMar>
            <w:vAlign w:val="center"/>
          </w:tcPr>
          <w:p w14:paraId="0F34187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0,65</w:t>
            </w:r>
          </w:p>
        </w:tc>
      </w:tr>
      <w:tr w:rsidR="00B122B4" w:rsidRPr="009C52C4" w14:paraId="0E9EA790" w14:textId="77777777" w:rsidTr="00887E64">
        <w:trPr>
          <w:trHeight w:val="20"/>
        </w:trPr>
        <w:tc>
          <w:tcPr>
            <w:tcW w:w="2877" w:type="pct"/>
            <w:shd w:val="clear" w:color="auto" w:fill="EAF1DD"/>
            <w:tcMar>
              <w:left w:w="115" w:type="dxa"/>
              <w:right w:w="115" w:type="dxa"/>
            </w:tcMar>
            <w:vAlign w:val="center"/>
          </w:tcPr>
          <w:p w14:paraId="43040E06"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prema tavanu</w:t>
            </w:r>
          </w:p>
        </w:tc>
        <w:tc>
          <w:tcPr>
            <w:tcW w:w="665" w:type="pct"/>
            <w:shd w:val="clear" w:color="auto" w:fill="EAF1DD"/>
            <w:tcMar>
              <w:left w:w="115" w:type="dxa"/>
              <w:right w:w="115" w:type="dxa"/>
            </w:tcMar>
            <w:vAlign w:val="center"/>
          </w:tcPr>
          <w:p w14:paraId="0D9AD247"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0,95</w:t>
            </w:r>
          </w:p>
        </w:tc>
        <w:tc>
          <w:tcPr>
            <w:tcW w:w="729" w:type="pct"/>
            <w:shd w:val="clear" w:color="auto" w:fill="EAF1DD"/>
            <w:tcMar>
              <w:left w:w="115" w:type="dxa"/>
              <w:right w:w="115" w:type="dxa"/>
            </w:tcMar>
            <w:vAlign w:val="center"/>
          </w:tcPr>
          <w:p w14:paraId="078195F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729" w:type="pct"/>
            <w:shd w:val="clear" w:color="auto" w:fill="EAF1DD"/>
            <w:tcMar>
              <w:left w:w="115" w:type="dxa"/>
              <w:right w:w="115" w:type="dxa"/>
            </w:tcMar>
            <w:vAlign w:val="center"/>
          </w:tcPr>
          <w:p w14:paraId="1162994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0,70</w:t>
            </w:r>
          </w:p>
        </w:tc>
      </w:tr>
      <w:tr w:rsidR="00B122B4" w:rsidRPr="009C52C4" w14:paraId="6197B3D3" w14:textId="77777777" w:rsidTr="00887E64">
        <w:trPr>
          <w:trHeight w:val="20"/>
        </w:trPr>
        <w:tc>
          <w:tcPr>
            <w:tcW w:w="2877" w:type="pct"/>
            <w:shd w:val="clear" w:color="auto" w:fill="EAF1DD"/>
            <w:tcMar>
              <w:left w:w="115" w:type="dxa"/>
              <w:right w:w="115" w:type="dxa"/>
            </w:tcMar>
            <w:vAlign w:val="center"/>
          </w:tcPr>
          <w:p w14:paraId="778EFB54"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iznad podruma</w:t>
            </w:r>
          </w:p>
        </w:tc>
        <w:tc>
          <w:tcPr>
            <w:tcW w:w="665" w:type="pct"/>
            <w:shd w:val="clear" w:color="auto" w:fill="EAF1DD"/>
            <w:tcMar>
              <w:left w:w="115" w:type="dxa"/>
              <w:right w:w="115" w:type="dxa"/>
            </w:tcMar>
            <w:vAlign w:val="center"/>
          </w:tcPr>
          <w:p w14:paraId="434CB250"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0,75</w:t>
            </w:r>
          </w:p>
        </w:tc>
        <w:tc>
          <w:tcPr>
            <w:tcW w:w="729" w:type="pct"/>
            <w:shd w:val="clear" w:color="auto" w:fill="EAF1DD"/>
            <w:tcMar>
              <w:left w:w="115" w:type="dxa"/>
              <w:right w:w="115" w:type="dxa"/>
            </w:tcMar>
            <w:vAlign w:val="center"/>
          </w:tcPr>
          <w:p w14:paraId="70617702"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0,60</w:t>
            </w:r>
          </w:p>
        </w:tc>
        <w:tc>
          <w:tcPr>
            <w:tcW w:w="729" w:type="pct"/>
            <w:shd w:val="clear" w:color="auto" w:fill="EAF1DD"/>
            <w:tcMar>
              <w:left w:w="115" w:type="dxa"/>
              <w:right w:w="115" w:type="dxa"/>
            </w:tcMar>
            <w:vAlign w:val="center"/>
          </w:tcPr>
          <w:p w14:paraId="661F80A9"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0,50</w:t>
            </w:r>
          </w:p>
        </w:tc>
      </w:tr>
      <w:tr w:rsidR="00B122B4" w:rsidRPr="009C52C4" w14:paraId="77EE6564" w14:textId="77777777" w:rsidTr="00887E64">
        <w:trPr>
          <w:trHeight w:val="20"/>
        </w:trPr>
        <w:tc>
          <w:tcPr>
            <w:tcW w:w="2877" w:type="pct"/>
            <w:shd w:val="clear" w:color="auto" w:fill="EAF1DD"/>
            <w:tcMar>
              <w:left w:w="115" w:type="dxa"/>
              <w:right w:w="115" w:type="dxa"/>
            </w:tcMar>
            <w:vAlign w:val="center"/>
          </w:tcPr>
          <w:p w14:paraId="13DA9D17"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Međukatna konstrukcija iznad otvorenih prolaza ili ispod panelnog i podnog grijanja</w:t>
            </w:r>
          </w:p>
        </w:tc>
        <w:tc>
          <w:tcPr>
            <w:tcW w:w="665" w:type="pct"/>
            <w:shd w:val="clear" w:color="auto" w:fill="EAF1DD"/>
            <w:tcMar>
              <w:left w:w="115" w:type="dxa"/>
              <w:right w:w="115" w:type="dxa"/>
            </w:tcMar>
            <w:vAlign w:val="center"/>
          </w:tcPr>
          <w:p w14:paraId="44C9435D"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729" w:type="pct"/>
            <w:shd w:val="clear" w:color="auto" w:fill="EAF1DD"/>
            <w:tcMar>
              <w:left w:w="115" w:type="dxa"/>
              <w:right w:w="115" w:type="dxa"/>
            </w:tcMar>
            <w:vAlign w:val="center"/>
          </w:tcPr>
          <w:p w14:paraId="782A0F9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0,45</w:t>
            </w:r>
          </w:p>
        </w:tc>
        <w:tc>
          <w:tcPr>
            <w:tcW w:w="729" w:type="pct"/>
            <w:shd w:val="clear" w:color="auto" w:fill="EAF1DD"/>
            <w:tcMar>
              <w:left w:w="115" w:type="dxa"/>
              <w:right w:w="115" w:type="dxa"/>
            </w:tcMar>
            <w:vAlign w:val="center"/>
          </w:tcPr>
          <w:p w14:paraId="00A5E92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0,40</w:t>
            </w:r>
          </w:p>
        </w:tc>
      </w:tr>
      <w:tr w:rsidR="00B122B4" w:rsidRPr="009C52C4" w14:paraId="5ADE671E" w14:textId="77777777" w:rsidTr="00887E64">
        <w:trPr>
          <w:trHeight w:val="20"/>
        </w:trPr>
        <w:tc>
          <w:tcPr>
            <w:tcW w:w="2877" w:type="pct"/>
            <w:shd w:val="clear" w:color="auto" w:fill="EAF1DD"/>
            <w:tcMar>
              <w:left w:w="115" w:type="dxa"/>
              <w:right w:w="115" w:type="dxa"/>
            </w:tcMar>
            <w:vAlign w:val="center"/>
          </w:tcPr>
          <w:p w14:paraId="0FB4A093" w14:textId="77777777" w:rsidR="00B122B4" w:rsidRPr="009C52C4" w:rsidRDefault="00F54CC3">
            <w:pPr>
              <w:tabs>
                <w:tab w:val="left" w:pos="851"/>
              </w:tabs>
              <w:rPr>
                <w:rFonts w:ascii="Times New Roman" w:hAnsi="Times New Roman" w:cs="Times New Roman"/>
                <w:sz w:val="24"/>
                <w:szCs w:val="24"/>
              </w:rPr>
            </w:pPr>
            <w:r w:rsidRPr="009C52C4">
              <w:rPr>
                <w:rFonts w:ascii="Times New Roman" w:hAnsi="Times New Roman" w:cs="Times New Roman"/>
                <w:sz w:val="24"/>
                <w:szCs w:val="24"/>
              </w:rPr>
              <w:t>Kosi i ravni krov iznad grijanih prostora</w:t>
            </w:r>
          </w:p>
        </w:tc>
        <w:tc>
          <w:tcPr>
            <w:tcW w:w="665" w:type="pct"/>
            <w:shd w:val="clear" w:color="auto" w:fill="EAF1DD"/>
            <w:tcMar>
              <w:left w:w="115" w:type="dxa"/>
              <w:right w:w="115" w:type="dxa"/>
            </w:tcMar>
            <w:vAlign w:val="center"/>
          </w:tcPr>
          <w:p w14:paraId="1F80CDFE"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0,75</w:t>
            </w:r>
          </w:p>
        </w:tc>
        <w:tc>
          <w:tcPr>
            <w:tcW w:w="729" w:type="pct"/>
            <w:shd w:val="clear" w:color="auto" w:fill="EAF1DD"/>
            <w:tcMar>
              <w:left w:w="115" w:type="dxa"/>
              <w:right w:w="115" w:type="dxa"/>
            </w:tcMar>
            <w:vAlign w:val="center"/>
          </w:tcPr>
          <w:p w14:paraId="2B6B51A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0,65</w:t>
            </w:r>
          </w:p>
        </w:tc>
        <w:tc>
          <w:tcPr>
            <w:tcW w:w="729" w:type="pct"/>
            <w:shd w:val="clear" w:color="auto" w:fill="EAF1DD"/>
            <w:tcMar>
              <w:left w:w="115" w:type="dxa"/>
              <w:right w:w="115" w:type="dxa"/>
            </w:tcMar>
            <w:vAlign w:val="center"/>
          </w:tcPr>
          <w:p w14:paraId="4F285F5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0,55</w:t>
            </w:r>
          </w:p>
        </w:tc>
      </w:tr>
    </w:tbl>
    <w:p w14:paraId="2126D3ED" w14:textId="77777777" w:rsidR="00B122B4" w:rsidRPr="009C52C4" w:rsidRDefault="00B122B4">
      <w:pPr>
        <w:jc w:val="left"/>
        <w:rPr>
          <w:rFonts w:ascii="Times New Roman" w:hAnsi="Times New Roman" w:cs="Times New Roman"/>
          <w:sz w:val="24"/>
          <w:szCs w:val="24"/>
        </w:rPr>
      </w:pPr>
      <w:bookmarkStart w:id="74" w:name="h.23ckvvd" w:colFirst="0" w:colLast="0"/>
      <w:bookmarkEnd w:id="74"/>
    </w:p>
    <w:p w14:paraId="699CDF65" w14:textId="03A60A8F" w:rsidR="006730B1" w:rsidRPr="009C52C4" w:rsidRDefault="006730B1" w:rsidP="006730B1">
      <w:pPr>
        <w:pStyle w:val="Caption"/>
        <w:rPr>
          <w:rFonts w:ascii="Times New Roman" w:hAnsi="Times New Roman" w:cs="Times New Roman"/>
          <w:sz w:val="24"/>
          <w:szCs w:val="24"/>
        </w:rPr>
      </w:pPr>
      <w:bookmarkStart w:id="75" w:name="h.ihv636" w:colFirst="0" w:colLast="0"/>
      <w:bookmarkStart w:id="76" w:name="_Ref483404012"/>
      <w:bookmarkStart w:id="77" w:name="_Toc2681309"/>
      <w:bookmarkEnd w:id="75"/>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16</w:t>
      </w:r>
      <w:r w:rsidR="00B6149D" w:rsidRPr="009C52C4">
        <w:rPr>
          <w:rFonts w:ascii="Times New Roman" w:hAnsi="Times New Roman" w:cs="Times New Roman"/>
          <w:noProof/>
          <w:sz w:val="24"/>
          <w:szCs w:val="24"/>
        </w:rPr>
        <w:fldChar w:fldCharType="end"/>
      </w:r>
      <w:bookmarkEnd w:id="76"/>
      <w:r w:rsidRPr="009C52C4">
        <w:rPr>
          <w:rFonts w:ascii="Times New Roman" w:hAnsi="Times New Roman" w:cs="Times New Roman"/>
          <w:sz w:val="24"/>
          <w:szCs w:val="24"/>
        </w:rPr>
        <w:t xml:space="preserve"> </w:t>
      </w:r>
      <w:r w:rsidR="00BD461D" w:rsidRPr="009C52C4">
        <w:rPr>
          <w:rFonts w:ascii="Times New Roman" w:hAnsi="Times New Roman" w:cs="Times New Roman"/>
          <w:b w:val="0"/>
          <w:bCs w:val="0"/>
          <w:color w:val="000000"/>
          <w:sz w:val="24"/>
          <w:szCs w:val="24"/>
        </w:rPr>
        <w:t>Koeficijenti prolaza topline k [W/m</w:t>
      </w:r>
      <w:r w:rsidR="00BD461D" w:rsidRPr="009C52C4">
        <w:rPr>
          <w:rFonts w:ascii="Times New Roman" w:hAnsi="Times New Roman" w:cs="Times New Roman"/>
          <w:b w:val="0"/>
          <w:bCs w:val="0"/>
          <w:color w:val="000000"/>
          <w:sz w:val="24"/>
          <w:szCs w:val="24"/>
          <w:vertAlign w:val="superscript"/>
        </w:rPr>
        <w:t>2</w:t>
      </w:r>
      <w:r w:rsidR="00BD461D" w:rsidRPr="009C52C4">
        <w:rPr>
          <w:rFonts w:ascii="Times New Roman" w:hAnsi="Times New Roman" w:cs="Times New Roman"/>
          <w:b w:val="0"/>
          <w:bCs w:val="0"/>
          <w:color w:val="000000"/>
          <w:sz w:val="24"/>
          <w:szCs w:val="24"/>
        </w:rPr>
        <w:t>K] za prozore i balkonska vrata u ovisnosti o ostakljenju i materijalu okvira prema JUS U.J5.600: Toplinska tehnika u građevinarstvu i tehnički uvjeti za projektiranje i građenje zgrada, 1987. g.</w:t>
      </w:r>
      <w:bookmarkEnd w:id="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486"/>
        <w:gridCol w:w="1330"/>
        <w:gridCol w:w="1198"/>
        <w:gridCol w:w="1198"/>
        <w:gridCol w:w="1090"/>
      </w:tblGrid>
      <w:tr w:rsidR="006730B1" w:rsidRPr="009C52C4" w14:paraId="23BC6AC5" w14:textId="77777777" w:rsidTr="00887E64">
        <w:trPr>
          <w:trHeight w:val="500"/>
        </w:trPr>
        <w:tc>
          <w:tcPr>
            <w:tcW w:w="2411" w:type="pct"/>
            <w:vMerge w:val="restart"/>
            <w:shd w:val="clear" w:color="auto" w:fill="C2D69B"/>
            <w:tcMar>
              <w:left w:w="115" w:type="dxa"/>
              <w:right w:w="115" w:type="dxa"/>
            </w:tcMar>
            <w:vAlign w:val="center"/>
          </w:tcPr>
          <w:p w14:paraId="42331DA7" w14:textId="77777777" w:rsidR="006730B1" w:rsidRPr="009C52C4" w:rsidRDefault="006730B1">
            <w:pPr>
              <w:tabs>
                <w:tab w:val="left" w:pos="851"/>
              </w:tabs>
              <w:jc w:val="center"/>
              <w:rPr>
                <w:rFonts w:ascii="Times New Roman" w:hAnsi="Times New Roman" w:cs="Times New Roman"/>
                <w:sz w:val="24"/>
                <w:szCs w:val="24"/>
              </w:rPr>
            </w:pPr>
            <w:r w:rsidRPr="009C52C4">
              <w:rPr>
                <w:rFonts w:ascii="Times New Roman" w:hAnsi="Times New Roman" w:cs="Times New Roman"/>
                <w:b/>
                <w:sz w:val="24"/>
                <w:szCs w:val="24"/>
              </w:rPr>
              <w:t>Ostakljenje</w:t>
            </w:r>
          </w:p>
        </w:tc>
        <w:tc>
          <w:tcPr>
            <w:tcW w:w="715" w:type="pct"/>
            <w:vMerge w:val="restart"/>
            <w:shd w:val="clear" w:color="auto" w:fill="C2D69B"/>
            <w:tcMar>
              <w:left w:w="115" w:type="dxa"/>
              <w:right w:w="115" w:type="dxa"/>
            </w:tcMar>
            <w:vAlign w:val="center"/>
          </w:tcPr>
          <w:p w14:paraId="3E056217"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Bez okvira</w:t>
            </w:r>
          </w:p>
        </w:tc>
        <w:tc>
          <w:tcPr>
            <w:tcW w:w="1873" w:type="pct"/>
            <w:gridSpan w:val="3"/>
            <w:shd w:val="clear" w:color="auto" w:fill="C2D69B"/>
            <w:tcMar>
              <w:left w:w="115" w:type="dxa"/>
              <w:right w:w="115" w:type="dxa"/>
            </w:tcMar>
            <w:vAlign w:val="center"/>
          </w:tcPr>
          <w:p w14:paraId="6F90DEB3"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Materijal okvira - grupe</w:t>
            </w:r>
          </w:p>
        </w:tc>
      </w:tr>
      <w:tr w:rsidR="006730B1" w:rsidRPr="009C52C4" w14:paraId="1341433A" w14:textId="77777777" w:rsidTr="00887E64">
        <w:trPr>
          <w:trHeight w:val="280"/>
        </w:trPr>
        <w:tc>
          <w:tcPr>
            <w:tcW w:w="2411" w:type="pct"/>
            <w:vMerge/>
            <w:shd w:val="clear" w:color="auto" w:fill="C2D69B"/>
            <w:tcMar>
              <w:left w:w="115" w:type="dxa"/>
              <w:right w:w="115" w:type="dxa"/>
            </w:tcMar>
            <w:vAlign w:val="center"/>
          </w:tcPr>
          <w:p w14:paraId="0E58D738" w14:textId="77777777" w:rsidR="006730B1" w:rsidRPr="009C52C4" w:rsidRDefault="006730B1">
            <w:pPr>
              <w:tabs>
                <w:tab w:val="left" w:pos="851"/>
              </w:tabs>
              <w:jc w:val="center"/>
              <w:rPr>
                <w:rFonts w:ascii="Times New Roman" w:hAnsi="Times New Roman" w:cs="Times New Roman"/>
                <w:sz w:val="24"/>
                <w:szCs w:val="24"/>
              </w:rPr>
            </w:pPr>
          </w:p>
        </w:tc>
        <w:tc>
          <w:tcPr>
            <w:tcW w:w="715" w:type="pct"/>
            <w:vMerge/>
            <w:shd w:val="clear" w:color="auto" w:fill="C2D69B"/>
            <w:tcMar>
              <w:left w:w="115" w:type="dxa"/>
              <w:right w:w="115" w:type="dxa"/>
            </w:tcMar>
            <w:vAlign w:val="center"/>
          </w:tcPr>
          <w:p w14:paraId="0145360C" w14:textId="77777777" w:rsidR="006730B1" w:rsidRPr="009C52C4" w:rsidRDefault="006730B1">
            <w:pPr>
              <w:ind w:hanging="107"/>
              <w:jc w:val="center"/>
              <w:rPr>
                <w:rFonts w:ascii="Times New Roman" w:hAnsi="Times New Roman" w:cs="Times New Roman"/>
                <w:sz w:val="24"/>
                <w:szCs w:val="24"/>
              </w:rPr>
            </w:pPr>
          </w:p>
        </w:tc>
        <w:tc>
          <w:tcPr>
            <w:tcW w:w="644" w:type="pct"/>
            <w:shd w:val="clear" w:color="auto" w:fill="C2D69B"/>
            <w:tcMar>
              <w:left w:w="115" w:type="dxa"/>
              <w:right w:w="115" w:type="dxa"/>
            </w:tcMar>
            <w:vAlign w:val="center"/>
          </w:tcPr>
          <w:p w14:paraId="57370E66" w14:textId="77777777" w:rsidR="006730B1" w:rsidRPr="009C52C4" w:rsidRDefault="006730B1">
            <w:pPr>
              <w:ind w:hanging="107"/>
              <w:jc w:val="center"/>
              <w:rPr>
                <w:rFonts w:ascii="Times New Roman" w:hAnsi="Times New Roman" w:cs="Times New Roman"/>
                <w:sz w:val="24"/>
                <w:szCs w:val="24"/>
              </w:rPr>
            </w:pPr>
            <w:r w:rsidRPr="009C52C4">
              <w:rPr>
                <w:rFonts w:ascii="Times New Roman" w:hAnsi="Times New Roman" w:cs="Times New Roman"/>
                <w:b/>
                <w:sz w:val="24"/>
                <w:szCs w:val="24"/>
              </w:rPr>
              <w:t>1</w:t>
            </w:r>
          </w:p>
        </w:tc>
        <w:tc>
          <w:tcPr>
            <w:tcW w:w="644" w:type="pct"/>
            <w:shd w:val="clear" w:color="auto" w:fill="C2D69B"/>
            <w:tcMar>
              <w:left w:w="115" w:type="dxa"/>
              <w:right w:w="115" w:type="dxa"/>
            </w:tcMar>
            <w:vAlign w:val="center"/>
          </w:tcPr>
          <w:p w14:paraId="7630470E"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2</w:t>
            </w:r>
          </w:p>
        </w:tc>
        <w:tc>
          <w:tcPr>
            <w:tcW w:w="586" w:type="pct"/>
            <w:shd w:val="clear" w:color="auto" w:fill="C2D69B"/>
            <w:tcMar>
              <w:left w:w="115" w:type="dxa"/>
              <w:right w:w="115" w:type="dxa"/>
            </w:tcMar>
            <w:vAlign w:val="center"/>
          </w:tcPr>
          <w:p w14:paraId="3522CDE3" w14:textId="77777777" w:rsidR="006730B1" w:rsidRPr="009C52C4" w:rsidRDefault="006730B1">
            <w:pPr>
              <w:tabs>
                <w:tab w:val="left" w:pos="1735"/>
              </w:tabs>
              <w:jc w:val="center"/>
              <w:rPr>
                <w:rFonts w:ascii="Times New Roman" w:hAnsi="Times New Roman" w:cs="Times New Roman"/>
                <w:sz w:val="24"/>
                <w:szCs w:val="24"/>
              </w:rPr>
            </w:pPr>
            <w:r w:rsidRPr="009C52C4">
              <w:rPr>
                <w:rFonts w:ascii="Times New Roman" w:hAnsi="Times New Roman" w:cs="Times New Roman"/>
                <w:b/>
                <w:sz w:val="24"/>
                <w:szCs w:val="24"/>
              </w:rPr>
              <w:t>3</w:t>
            </w:r>
          </w:p>
        </w:tc>
      </w:tr>
      <w:tr w:rsidR="00B122B4" w:rsidRPr="009C52C4" w14:paraId="4DF3A557" w14:textId="77777777" w:rsidTr="00DE2735">
        <w:trPr>
          <w:trHeight w:val="260"/>
        </w:trPr>
        <w:tc>
          <w:tcPr>
            <w:tcW w:w="2411" w:type="pct"/>
            <w:shd w:val="clear" w:color="auto" w:fill="EAF1DD"/>
            <w:tcMar>
              <w:left w:w="115" w:type="dxa"/>
              <w:right w:w="115" w:type="dxa"/>
            </w:tcMar>
            <w:vAlign w:val="center"/>
          </w:tcPr>
          <w:p w14:paraId="49BCBFAB" w14:textId="77777777"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Izolirajuće staklo 6-8 mm međuslojnog zraka (dva sloja stakla)</w:t>
            </w:r>
          </w:p>
        </w:tc>
        <w:tc>
          <w:tcPr>
            <w:tcW w:w="715" w:type="pct"/>
            <w:shd w:val="clear" w:color="auto" w:fill="EAF1DD"/>
            <w:tcMar>
              <w:left w:w="115" w:type="dxa"/>
              <w:right w:w="115" w:type="dxa"/>
            </w:tcMar>
            <w:vAlign w:val="center"/>
          </w:tcPr>
          <w:p w14:paraId="6911D46B"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3,4</w:t>
            </w:r>
          </w:p>
        </w:tc>
        <w:tc>
          <w:tcPr>
            <w:tcW w:w="644" w:type="pct"/>
            <w:shd w:val="clear" w:color="auto" w:fill="EAF1DD"/>
            <w:tcMar>
              <w:left w:w="115" w:type="dxa"/>
              <w:right w:w="115" w:type="dxa"/>
            </w:tcMar>
            <w:vAlign w:val="center"/>
          </w:tcPr>
          <w:p w14:paraId="6C0EE9C8"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3,1</w:t>
            </w:r>
          </w:p>
        </w:tc>
        <w:tc>
          <w:tcPr>
            <w:tcW w:w="644" w:type="pct"/>
            <w:shd w:val="clear" w:color="auto" w:fill="EAF1DD"/>
            <w:tcMar>
              <w:left w:w="115" w:type="dxa"/>
              <w:right w:w="115" w:type="dxa"/>
            </w:tcMar>
            <w:vAlign w:val="center"/>
          </w:tcPr>
          <w:p w14:paraId="132B807D"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3,4</w:t>
            </w:r>
          </w:p>
        </w:tc>
        <w:tc>
          <w:tcPr>
            <w:tcW w:w="586" w:type="pct"/>
            <w:shd w:val="clear" w:color="auto" w:fill="EAF1DD"/>
            <w:tcMar>
              <w:left w:w="115" w:type="dxa"/>
              <w:right w:w="115" w:type="dxa"/>
            </w:tcMar>
            <w:vAlign w:val="center"/>
          </w:tcPr>
          <w:p w14:paraId="06ED055E"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3,7</w:t>
            </w:r>
          </w:p>
        </w:tc>
      </w:tr>
      <w:tr w:rsidR="00B122B4" w:rsidRPr="009C52C4" w14:paraId="3A3FC1B8" w14:textId="77777777" w:rsidTr="00DE2735">
        <w:trPr>
          <w:trHeight w:val="260"/>
        </w:trPr>
        <w:tc>
          <w:tcPr>
            <w:tcW w:w="2411" w:type="pct"/>
            <w:shd w:val="clear" w:color="auto" w:fill="EAF1DD"/>
            <w:tcMar>
              <w:left w:w="115" w:type="dxa"/>
              <w:right w:w="115" w:type="dxa"/>
            </w:tcMar>
            <w:vAlign w:val="center"/>
          </w:tcPr>
          <w:p w14:paraId="171ACB4E" w14:textId="77777777"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Izolirajuće staklo 8-10 mm međuslojnog zraka (dva sloja stakla)</w:t>
            </w:r>
          </w:p>
        </w:tc>
        <w:tc>
          <w:tcPr>
            <w:tcW w:w="715" w:type="pct"/>
            <w:shd w:val="clear" w:color="auto" w:fill="EAF1DD"/>
            <w:tcMar>
              <w:left w:w="115" w:type="dxa"/>
              <w:right w:w="115" w:type="dxa"/>
            </w:tcMar>
            <w:vAlign w:val="center"/>
          </w:tcPr>
          <w:p w14:paraId="79F63ADC"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3,2</w:t>
            </w:r>
          </w:p>
        </w:tc>
        <w:tc>
          <w:tcPr>
            <w:tcW w:w="644" w:type="pct"/>
            <w:shd w:val="clear" w:color="auto" w:fill="EAF1DD"/>
            <w:tcMar>
              <w:left w:w="115" w:type="dxa"/>
              <w:right w:w="115" w:type="dxa"/>
            </w:tcMar>
            <w:vAlign w:val="center"/>
          </w:tcPr>
          <w:p w14:paraId="763D0DB8"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3,0</w:t>
            </w:r>
          </w:p>
        </w:tc>
        <w:tc>
          <w:tcPr>
            <w:tcW w:w="644" w:type="pct"/>
            <w:shd w:val="clear" w:color="auto" w:fill="EAF1DD"/>
            <w:tcMar>
              <w:left w:w="115" w:type="dxa"/>
              <w:right w:w="115" w:type="dxa"/>
            </w:tcMar>
            <w:vAlign w:val="center"/>
          </w:tcPr>
          <w:p w14:paraId="1F44392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3,3</w:t>
            </w:r>
          </w:p>
        </w:tc>
        <w:tc>
          <w:tcPr>
            <w:tcW w:w="586" w:type="pct"/>
            <w:shd w:val="clear" w:color="auto" w:fill="EAF1DD"/>
            <w:tcMar>
              <w:left w:w="115" w:type="dxa"/>
              <w:right w:w="115" w:type="dxa"/>
            </w:tcMar>
            <w:vAlign w:val="center"/>
          </w:tcPr>
          <w:p w14:paraId="1751DAB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3,5</w:t>
            </w:r>
          </w:p>
        </w:tc>
      </w:tr>
      <w:tr w:rsidR="00B122B4" w:rsidRPr="009C52C4" w14:paraId="6BF7EF95" w14:textId="77777777" w:rsidTr="00DE2735">
        <w:trPr>
          <w:trHeight w:val="280"/>
        </w:trPr>
        <w:tc>
          <w:tcPr>
            <w:tcW w:w="2411" w:type="pct"/>
            <w:shd w:val="clear" w:color="auto" w:fill="EAF1DD"/>
            <w:tcMar>
              <w:left w:w="115" w:type="dxa"/>
              <w:right w:w="115" w:type="dxa"/>
            </w:tcMar>
            <w:vAlign w:val="center"/>
          </w:tcPr>
          <w:p w14:paraId="3AF78EA1" w14:textId="77777777"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Izolirajuće staklo 10-16 mm međuslojnog zraka (dva sloja stakla)</w:t>
            </w:r>
          </w:p>
        </w:tc>
        <w:tc>
          <w:tcPr>
            <w:tcW w:w="715" w:type="pct"/>
            <w:shd w:val="clear" w:color="auto" w:fill="EAF1DD"/>
            <w:tcMar>
              <w:left w:w="115" w:type="dxa"/>
              <w:right w:w="115" w:type="dxa"/>
            </w:tcMar>
            <w:vAlign w:val="center"/>
          </w:tcPr>
          <w:p w14:paraId="462787B6"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3,0</w:t>
            </w:r>
          </w:p>
        </w:tc>
        <w:tc>
          <w:tcPr>
            <w:tcW w:w="644" w:type="pct"/>
            <w:shd w:val="clear" w:color="auto" w:fill="EAF1DD"/>
            <w:tcMar>
              <w:left w:w="115" w:type="dxa"/>
              <w:right w:w="115" w:type="dxa"/>
            </w:tcMar>
            <w:vAlign w:val="center"/>
          </w:tcPr>
          <w:p w14:paraId="758E270F"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2,9</w:t>
            </w:r>
          </w:p>
        </w:tc>
        <w:tc>
          <w:tcPr>
            <w:tcW w:w="644" w:type="pct"/>
            <w:shd w:val="clear" w:color="auto" w:fill="EAF1DD"/>
            <w:tcMar>
              <w:left w:w="115" w:type="dxa"/>
              <w:right w:w="115" w:type="dxa"/>
            </w:tcMar>
            <w:vAlign w:val="center"/>
          </w:tcPr>
          <w:p w14:paraId="697D516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3,1</w:t>
            </w:r>
          </w:p>
        </w:tc>
        <w:tc>
          <w:tcPr>
            <w:tcW w:w="586" w:type="pct"/>
            <w:shd w:val="clear" w:color="auto" w:fill="EAF1DD"/>
            <w:tcMar>
              <w:left w:w="115" w:type="dxa"/>
              <w:right w:w="115" w:type="dxa"/>
            </w:tcMar>
            <w:vAlign w:val="center"/>
          </w:tcPr>
          <w:p w14:paraId="07A8A61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3,4</w:t>
            </w:r>
          </w:p>
        </w:tc>
      </w:tr>
      <w:tr w:rsidR="00B122B4" w:rsidRPr="009C52C4" w14:paraId="6F6C6ECC" w14:textId="77777777" w:rsidTr="00DE2735">
        <w:trPr>
          <w:trHeight w:val="280"/>
        </w:trPr>
        <w:tc>
          <w:tcPr>
            <w:tcW w:w="2411" w:type="pct"/>
            <w:shd w:val="clear" w:color="auto" w:fill="EAF1DD"/>
            <w:tcMar>
              <w:left w:w="115" w:type="dxa"/>
              <w:right w:w="115" w:type="dxa"/>
            </w:tcMar>
            <w:vAlign w:val="center"/>
          </w:tcPr>
          <w:p w14:paraId="21AF0850" w14:textId="77777777"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Dvostruko izolirajuće staklo 2x6-8 mm međuslojnog zraka (tri sloja stakla)</w:t>
            </w:r>
          </w:p>
        </w:tc>
        <w:tc>
          <w:tcPr>
            <w:tcW w:w="715" w:type="pct"/>
            <w:shd w:val="clear" w:color="auto" w:fill="EAF1DD"/>
            <w:tcMar>
              <w:left w:w="115" w:type="dxa"/>
              <w:right w:w="115" w:type="dxa"/>
            </w:tcMar>
            <w:vAlign w:val="center"/>
          </w:tcPr>
          <w:p w14:paraId="52DEAF2A"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2,4</w:t>
            </w:r>
          </w:p>
        </w:tc>
        <w:tc>
          <w:tcPr>
            <w:tcW w:w="644" w:type="pct"/>
            <w:shd w:val="clear" w:color="auto" w:fill="EAF1DD"/>
            <w:tcMar>
              <w:left w:w="115" w:type="dxa"/>
              <w:right w:w="115" w:type="dxa"/>
            </w:tcMar>
            <w:vAlign w:val="center"/>
          </w:tcPr>
          <w:p w14:paraId="43F2D0C0"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2,2</w:t>
            </w:r>
          </w:p>
        </w:tc>
        <w:tc>
          <w:tcPr>
            <w:tcW w:w="644" w:type="pct"/>
            <w:shd w:val="clear" w:color="auto" w:fill="EAF1DD"/>
            <w:tcMar>
              <w:left w:w="115" w:type="dxa"/>
              <w:right w:w="115" w:type="dxa"/>
            </w:tcMar>
            <w:vAlign w:val="center"/>
          </w:tcPr>
          <w:p w14:paraId="553F1E3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2,7</w:t>
            </w:r>
          </w:p>
        </w:tc>
        <w:tc>
          <w:tcPr>
            <w:tcW w:w="586" w:type="pct"/>
            <w:shd w:val="clear" w:color="auto" w:fill="EAF1DD"/>
            <w:tcMar>
              <w:left w:w="115" w:type="dxa"/>
              <w:right w:w="115" w:type="dxa"/>
            </w:tcMar>
            <w:vAlign w:val="center"/>
          </w:tcPr>
          <w:p w14:paraId="7176A38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3,0</w:t>
            </w:r>
          </w:p>
        </w:tc>
      </w:tr>
      <w:tr w:rsidR="00B122B4" w:rsidRPr="009C52C4" w14:paraId="6A44F391" w14:textId="77777777" w:rsidTr="00DE2735">
        <w:trPr>
          <w:trHeight w:val="260"/>
        </w:trPr>
        <w:tc>
          <w:tcPr>
            <w:tcW w:w="2411" w:type="pct"/>
            <w:shd w:val="clear" w:color="auto" w:fill="EAF1DD"/>
            <w:tcMar>
              <w:left w:w="115" w:type="dxa"/>
              <w:right w:w="115" w:type="dxa"/>
            </w:tcMar>
            <w:vAlign w:val="center"/>
          </w:tcPr>
          <w:p w14:paraId="2DE37295" w14:textId="13E57718"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Dvostruko izolirajuće staklo 2x8-10 mm međuslojnog zraka (tri sloja stakla</w:t>
            </w:r>
            <w:r w:rsidR="006A04B5" w:rsidRPr="009C52C4">
              <w:rPr>
                <w:rFonts w:ascii="Times New Roman" w:hAnsi="Times New Roman" w:cs="Times New Roman"/>
                <w:sz w:val="24"/>
                <w:szCs w:val="24"/>
              </w:rPr>
              <w:t xml:space="preserve">, </w:t>
            </w:r>
            <w:r w:rsidRPr="009C52C4">
              <w:rPr>
                <w:rFonts w:ascii="Times New Roman" w:hAnsi="Times New Roman" w:cs="Times New Roman"/>
                <w:sz w:val="24"/>
                <w:szCs w:val="24"/>
              </w:rPr>
              <w:t>izolirajuća stakla)</w:t>
            </w:r>
          </w:p>
        </w:tc>
        <w:tc>
          <w:tcPr>
            <w:tcW w:w="715" w:type="pct"/>
            <w:shd w:val="clear" w:color="auto" w:fill="EAF1DD"/>
            <w:tcMar>
              <w:left w:w="115" w:type="dxa"/>
              <w:right w:w="115" w:type="dxa"/>
            </w:tcMar>
            <w:vAlign w:val="center"/>
          </w:tcPr>
          <w:p w14:paraId="09AF9C51"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2,2</w:t>
            </w:r>
          </w:p>
        </w:tc>
        <w:tc>
          <w:tcPr>
            <w:tcW w:w="644" w:type="pct"/>
            <w:shd w:val="clear" w:color="auto" w:fill="EAF1DD"/>
            <w:tcMar>
              <w:left w:w="115" w:type="dxa"/>
              <w:right w:w="115" w:type="dxa"/>
            </w:tcMar>
            <w:vAlign w:val="center"/>
          </w:tcPr>
          <w:p w14:paraId="310C8F44"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2,1</w:t>
            </w:r>
          </w:p>
        </w:tc>
        <w:tc>
          <w:tcPr>
            <w:tcW w:w="644" w:type="pct"/>
            <w:shd w:val="clear" w:color="auto" w:fill="EAF1DD"/>
            <w:tcMar>
              <w:left w:w="115" w:type="dxa"/>
              <w:right w:w="115" w:type="dxa"/>
            </w:tcMar>
            <w:vAlign w:val="center"/>
          </w:tcPr>
          <w:p w14:paraId="49E0F44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2,5</w:t>
            </w:r>
          </w:p>
        </w:tc>
        <w:tc>
          <w:tcPr>
            <w:tcW w:w="586" w:type="pct"/>
            <w:shd w:val="clear" w:color="auto" w:fill="EAF1DD"/>
            <w:tcMar>
              <w:left w:w="115" w:type="dxa"/>
              <w:right w:w="115" w:type="dxa"/>
            </w:tcMar>
            <w:vAlign w:val="center"/>
          </w:tcPr>
          <w:p w14:paraId="56071F3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2,8</w:t>
            </w:r>
          </w:p>
        </w:tc>
      </w:tr>
      <w:tr w:rsidR="00B122B4" w:rsidRPr="009C52C4" w14:paraId="6B17821D" w14:textId="77777777" w:rsidTr="00DE2735">
        <w:trPr>
          <w:trHeight w:val="280"/>
        </w:trPr>
        <w:tc>
          <w:tcPr>
            <w:tcW w:w="2411" w:type="pct"/>
            <w:shd w:val="clear" w:color="auto" w:fill="EAF1DD"/>
            <w:tcMar>
              <w:left w:w="115" w:type="dxa"/>
              <w:right w:w="115" w:type="dxa"/>
            </w:tcMar>
            <w:vAlign w:val="center"/>
          </w:tcPr>
          <w:p w14:paraId="7240EE2B" w14:textId="77777777" w:rsidR="00B122B4" w:rsidRPr="009C52C4" w:rsidRDefault="00F54CC3" w:rsidP="00DE2735">
            <w:pPr>
              <w:tabs>
                <w:tab w:val="left" w:pos="851"/>
              </w:tabs>
              <w:jc w:val="left"/>
              <w:rPr>
                <w:rFonts w:ascii="Times New Roman" w:hAnsi="Times New Roman" w:cs="Times New Roman"/>
                <w:sz w:val="24"/>
                <w:szCs w:val="24"/>
              </w:rPr>
            </w:pPr>
            <w:r w:rsidRPr="009C52C4">
              <w:rPr>
                <w:rFonts w:ascii="Times New Roman" w:hAnsi="Times New Roman" w:cs="Times New Roman"/>
                <w:sz w:val="24"/>
                <w:szCs w:val="24"/>
              </w:rPr>
              <w:t>Dvostruko izolirajuće staklo 2x10-18 mm međuslojnog zraka (tri sloja stakla)</w:t>
            </w:r>
          </w:p>
        </w:tc>
        <w:tc>
          <w:tcPr>
            <w:tcW w:w="715" w:type="pct"/>
            <w:shd w:val="clear" w:color="auto" w:fill="EAF1DD"/>
            <w:tcMar>
              <w:left w:w="115" w:type="dxa"/>
              <w:right w:w="115" w:type="dxa"/>
            </w:tcMar>
            <w:vAlign w:val="center"/>
          </w:tcPr>
          <w:p w14:paraId="3FFDE86C"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2,1</w:t>
            </w:r>
          </w:p>
        </w:tc>
        <w:tc>
          <w:tcPr>
            <w:tcW w:w="644" w:type="pct"/>
            <w:shd w:val="clear" w:color="auto" w:fill="EAF1DD"/>
            <w:tcMar>
              <w:left w:w="115" w:type="dxa"/>
              <w:right w:w="115" w:type="dxa"/>
            </w:tcMar>
            <w:vAlign w:val="center"/>
          </w:tcPr>
          <w:p w14:paraId="0ACA5A5E" w14:textId="77777777" w:rsidR="00B122B4" w:rsidRPr="009C52C4" w:rsidRDefault="00F54CC3">
            <w:pPr>
              <w:ind w:hanging="107"/>
              <w:jc w:val="center"/>
              <w:rPr>
                <w:rFonts w:ascii="Times New Roman" w:hAnsi="Times New Roman" w:cs="Times New Roman"/>
                <w:sz w:val="24"/>
                <w:szCs w:val="24"/>
              </w:rPr>
            </w:pPr>
            <w:r w:rsidRPr="009C52C4">
              <w:rPr>
                <w:rFonts w:ascii="Times New Roman" w:hAnsi="Times New Roman" w:cs="Times New Roman"/>
                <w:sz w:val="24"/>
                <w:szCs w:val="24"/>
              </w:rPr>
              <w:t>2,0</w:t>
            </w:r>
          </w:p>
        </w:tc>
        <w:tc>
          <w:tcPr>
            <w:tcW w:w="644" w:type="pct"/>
            <w:shd w:val="clear" w:color="auto" w:fill="EAF1DD"/>
            <w:tcMar>
              <w:left w:w="115" w:type="dxa"/>
              <w:right w:w="115" w:type="dxa"/>
            </w:tcMar>
            <w:vAlign w:val="center"/>
          </w:tcPr>
          <w:p w14:paraId="0FF9878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2,4</w:t>
            </w:r>
          </w:p>
        </w:tc>
        <w:tc>
          <w:tcPr>
            <w:tcW w:w="586" w:type="pct"/>
            <w:shd w:val="clear" w:color="auto" w:fill="EAF1DD"/>
            <w:tcMar>
              <w:left w:w="115" w:type="dxa"/>
              <w:right w:w="115" w:type="dxa"/>
            </w:tcMar>
            <w:vAlign w:val="center"/>
          </w:tcPr>
          <w:p w14:paraId="72D1863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2,7</w:t>
            </w:r>
          </w:p>
        </w:tc>
      </w:tr>
    </w:tbl>
    <w:p w14:paraId="7FE775F6" w14:textId="77777777" w:rsidR="006730B1" w:rsidRPr="009C52C4" w:rsidRDefault="006730B1">
      <w:pPr>
        <w:rPr>
          <w:rFonts w:ascii="Times New Roman" w:hAnsi="Times New Roman" w:cs="Times New Roman"/>
          <w:sz w:val="24"/>
          <w:szCs w:val="24"/>
        </w:rPr>
      </w:pPr>
      <w:r w:rsidRPr="009C52C4">
        <w:rPr>
          <w:rFonts w:ascii="Times New Roman" w:hAnsi="Times New Roman" w:cs="Times New Roman"/>
          <w:sz w:val="24"/>
          <w:szCs w:val="24"/>
        </w:rPr>
        <w:br w:type="page"/>
      </w:r>
    </w:p>
    <w:p w14:paraId="6DA56011" w14:textId="77777777" w:rsidR="00B122B4" w:rsidRPr="009C52C4" w:rsidRDefault="00F54CC3" w:rsidP="00853BC8">
      <w:pPr>
        <w:numPr>
          <w:ilvl w:val="3"/>
          <w:numId w:val="13"/>
        </w:numPr>
        <w:ind w:hanging="863"/>
        <w:contextualSpacing/>
        <w:rPr>
          <w:rFonts w:ascii="Times New Roman" w:hAnsi="Times New Roman" w:cs="Times New Roman"/>
          <w:b/>
          <w:sz w:val="24"/>
          <w:szCs w:val="24"/>
        </w:rPr>
      </w:pPr>
      <w:r w:rsidRPr="009C52C4">
        <w:rPr>
          <w:rFonts w:ascii="Times New Roman" w:hAnsi="Times New Roman" w:cs="Times New Roman"/>
          <w:b/>
          <w:sz w:val="24"/>
          <w:szCs w:val="24"/>
        </w:rPr>
        <w:lastRenderedPageBreak/>
        <w:t>Karakteristično razdoblje izgradnje od 2006. do 2009. godine</w:t>
      </w:r>
    </w:p>
    <w:p w14:paraId="7C635632" w14:textId="77777777" w:rsidR="00B122B4" w:rsidRPr="009C52C4" w:rsidRDefault="00B122B4">
      <w:pPr>
        <w:rPr>
          <w:rFonts w:ascii="Times New Roman" w:hAnsi="Times New Roman" w:cs="Times New Roman"/>
          <w:sz w:val="24"/>
          <w:szCs w:val="24"/>
        </w:rPr>
      </w:pPr>
    </w:p>
    <w:p w14:paraId="09EEBD45" w14:textId="17353B18"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 xml:space="preserve">Novi </w:t>
      </w:r>
      <w:r w:rsidRPr="009C52C4">
        <w:rPr>
          <w:rFonts w:ascii="Times New Roman" w:hAnsi="Times New Roman" w:cs="Times New Roman"/>
          <w:i/>
          <w:sz w:val="24"/>
          <w:szCs w:val="24"/>
        </w:rPr>
        <w:t>Tehnički propis o uštedi toplinske energije i toplinskoj zaštiti u zgradama (NN 79/05, 155/05, 74/06)</w:t>
      </w:r>
      <w:r w:rsidRPr="009C52C4">
        <w:rPr>
          <w:rFonts w:ascii="Times New Roman" w:hAnsi="Times New Roman" w:cs="Times New Roman"/>
          <w:sz w:val="24"/>
          <w:szCs w:val="24"/>
        </w:rPr>
        <w:t>, usvojen 2005. godine, predstavlja veliki napredak u toplinskoj zaštiti zgrada, a obuhvaća novogradnje i rekonstrukcije postojećih zgrada. Zgrade se grade prema energetskom konceptu, vodeći računa o njihovom oblikovanju, smještaju i orijentaciji u prostoru, u cilju smanjenja potrebne energije za grijanje i hlađenje. Nosiva struktura zgrada je i dalje uglavnom armirani beton. Propisani su zahtjevi za građevne proizvode u proizvodnji i ugradbi u svrhu uštede toplinske energije i toplinske zaštite ovisno o vrsti građevnog proizvoda. Najveći dopušteni koeficijenti prolaza topline (U) za građevinske elemente, prema Tehničkom propisu o uštedi toplinske energije i toplinskoj zaštiti u zgr</w:t>
      </w:r>
      <w:r w:rsidR="00021A43" w:rsidRPr="009C52C4">
        <w:rPr>
          <w:rFonts w:ascii="Times New Roman" w:hAnsi="Times New Roman" w:cs="Times New Roman"/>
          <w:sz w:val="24"/>
          <w:szCs w:val="24"/>
        </w:rPr>
        <w:t>adama te za</w:t>
      </w:r>
      <w:r w:rsidRPr="009C52C4">
        <w:rPr>
          <w:rFonts w:ascii="Times New Roman" w:hAnsi="Times New Roman" w:cs="Times New Roman"/>
          <w:sz w:val="24"/>
          <w:szCs w:val="24"/>
        </w:rPr>
        <w:t xml:space="preserve"> </w:t>
      </w:r>
      <w:r w:rsidR="00021A43" w:rsidRPr="009C52C4">
        <w:rPr>
          <w:rFonts w:ascii="Times New Roman" w:hAnsi="Times New Roman" w:cs="Times New Roman"/>
          <w:sz w:val="24"/>
          <w:szCs w:val="24"/>
        </w:rPr>
        <w:t xml:space="preserve">prozore i vrata </w:t>
      </w:r>
      <w:r w:rsidRPr="009C52C4">
        <w:rPr>
          <w:rFonts w:ascii="Times New Roman" w:hAnsi="Times New Roman" w:cs="Times New Roman"/>
          <w:sz w:val="24"/>
          <w:szCs w:val="24"/>
        </w:rPr>
        <w:t xml:space="preserve">dani su </w:t>
      </w:r>
      <w:r w:rsidR="00021A43" w:rsidRPr="009C52C4">
        <w:rPr>
          <w:rFonts w:ascii="Times New Roman" w:hAnsi="Times New Roman" w:cs="Times New Roman"/>
          <w:sz w:val="24"/>
          <w:szCs w:val="24"/>
        </w:rPr>
        <w:t xml:space="preserve">tablicama </w:t>
      </w:r>
      <w:r w:rsidRPr="009C52C4">
        <w:rPr>
          <w:rFonts w:ascii="Times New Roman" w:hAnsi="Times New Roman" w:cs="Times New Roman"/>
          <w:sz w:val="24"/>
          <w:szCs w:val="24"/>
        </w:rPr>
        <w:t>u</w:t>
      </w:r>
      <w:r w:rsidR="00021A43" w:rsidRPr="009C52C4">
        <w:rPr>
          <w:rFonts w:ascii="Times New Roman" w:hAnsi="Times New Roman" w:cs="Times New Roman"/>
          <w:sz w:val="24"/>
          <w:szCs w:val="24"/>
        </w:rPr>
        <w:t xml:space="preserve"> nastavku</w:t>
      </w:r>
      <w:r w:rsidRPr="009C52C4">
        <w:rPr>
          <w:rFonts w:ascii="Times New Roman" w:hAnsi="Times New Roman" w:cs="Times New Roman"/>
          <w:sz w:val="24"/>
          <w:szCs w:val="24"/>
        </w:rPr>
        <w:t xml:space="preserve"> </w:t>
      </w:r>
      <w:r w:rsidR="00021A43" w:rsidRPr="009C52C4">
        <w:rPr>
          <w:rFonts w:ascii="Times New Roman" w:hAnsi="Times New Roman" w:cs="Times New Roman"/>
          <w:sz w:val="24"/>
          <w:szCs w:val="24"/>
        </w:rPr>
        <w:t>(</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_Ref483404027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17</w:t>
      </w:r>
      <w:r w:rsidR="003D0360" w:rsidRPr="009C52C4">
        <w:rPr>
          <w:rFonts w:ascii="Times New Roman" w:hAnsi="Times New Roman" w:cs="Times New Roman"/>
          <w:sz w:val="24"/>
          <w:szCs w:val="24"/>
        </w:rPr>
        <w:fldChar w:fldCharType="end"/>
      </w:r>
      <w:r w:rsidR="00021A43" w:rsidRPr="009C52C4">
        <w:rPr>
          <w:rFonts w:ascii="Times New Roman" w:hAnsi="Times New Roman" w:cs="Times New Roman"/>
          <w:sz w:val="24"/>
          <w:szCs w:val="24"/>
        </w:rPr>
        <w:t xml:space="preserve"> i</w:t>
      </w:r>
      <w:r w:rsidRPr="009C52C4">
        <w:rPr>
          <w:rFonts w:ascii="Times New Roman" w:hAnsi="Times New Roman" w:cs="Times New Roman"/>
          <w:sz w:val="24"/>
          <w:szCs w:val="24"/>
        </w:rPr>
        <w:t xml:space="preserve">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_Ref483404036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18</w:t>
      </w:r>
      <w:r w:rsidR="003D0360" w:rsidRPr="009C52C4">
        <w:rPr>
          <w:rFonts w:ascii="Times New Roman" w:hAnsi="Times New Roman" w:cs="Times New Roman"/>
          <w:sz w:val="24"/>
          <w:szCs w:val="24"/>
        </w:rPr>
        <w:fldChar w:fldCharType="end"/>
      </w:r>
      <w:r w:rsidR="00021A43" w:rsidRPr="009C52C4">
        <w:rPr>
          <w:rFonts w:ascii="Times New Roman" w:hAnsi="Times New Roman" w:cs="Times New Roman"/>
          <w:sz w:val="24"/>
          <w:szCs w:val="24"/>
        </w:rPr>
        <w:t>)</w:t>
      </w:r>
      <w:r w:rsidRPr="009C52C4">
        <w:rPr>
          <w:rFonts w:ascii="Times New Roman" w:hAnsi="Times New Roman" w:cs="Times New Roman"/>
          <w:sz w:val="24"/>
          <w:szCs w:val="24"/>
        </w:rPr>
        <w:t>.</w:t>
      </w:r>
    </w:p>
    <w:p w14:paraId="26DFB258" w14:textId="77777777" w:rsidR="00B122B4" w:rsidRPr="009C52C4" w:rsidRDefault="00B122B4">
      <w:pPr>
        <w:rPr>
          <w:rFonts w:ascii="Times New Roman" w:hAnsi="Times New Roman" w:cs="Times New Roman"/>
          <w:sz w:val="24"/>
          <w:szCs w:val="24"/>
        </w:rPr>
      </w:pPr>
    </w:p>
    <w:p w14:paraId="6EC9AF3C" w14:textId="0C69A5E1" w:rsidR="006730B1" w:rsidRPr="009C52C4" w:rsidRDefault="006730B1" w:rsidP="006730B1">
      <w:pPr>
        <w:pStyle w:val="Caption"/>
        <w:rPr>
          <w:rFonts w:ascii="Times New Roman" w:hAnsi="Times New Roman" w:cs="Times New Roman"/>
          <w:sz w:val="24"/>
          <w:szCs w:val="24"/>
        </w:rPr>
      </w:pPr>
      <w:bookmarkStart w:id="78" w:name="h.32hioqz" w:colFirst="0" w:colLast="0"/>
      <w:bookmarkStart w:id="79" w:name="_Ref483404027"/>
      <w:bookmarkStart w:id="80" w:name="_Toc2681310"/>
      <w:bookmarkEnd w:id="78"/>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17</w:t>
      </w:r>
      <w:r w:rsidR="00B6149D" w:rsidRPr="009C52C4">
        <w:rPr>
          <w:rFonts w:ascii="Times New Roman" w:hAnsi="Times New Roman" w:cs="Times New Roman"/>
          <w:noProof/>
          <w:sz w:val="24"/>
          <w:szCs w:val="24"/>
        </w:rPr>
        <w:fldChar w:fldCharType="end"/>
      </w:r>
      <w:bookmarkEnd w:id="79"/>
      <w:r w:rsidRPr="009C52C4">
        <w:rPr>
          <w:rFonts w:ascii="Times New Roman" w:hAnsi="Times New Roman" w:cs="Times New Roman"/>
          <w:sz w:val="24"/>
          <w:szCs w:val="24"/>
        </w:rPr>
        <w:t xml:space="preserve"> </w:t>
      </w:r>
      <w:r w:rsidR="00BD461D" w:rsidRPr="009C52C4">
        <w:rPr>
          <w:rFonts w:ascii="Times New Roman" w:hAnsi="Times New Roman" w:cs="Times New Roman"/>
          <w:b w:val="0"/>
          <w:sz w:val="24"/>
          <w:szCs w:val="24"/>
        </w:rPr>
        <w:t>Najveće dopuštene vrijednosti koeficijenta prolaska topline, U [W/(m</w:t>
      </w:r>
      <w:r w:rsidR="00BD461D" w:rsidRPr="009C52C4">
        <w:rPr>
          <w:rFonts w:ascii="Times New Roman" w:hAnsi="Times New Roman" w:cs="Times New Roman"/>
          <w:b w:val="0"/>
          <w:sz w:val="24"/>
          <w:szCs w:val="24"/>
          <w:vertAlign w:val="superscript"/>
        </w:rPr>
        <w:t>2</w:t>
      </w:r>
      <w:r w:rsidR="00BD461D" w:rsidRPr="009C52C4">
        <w:rPr>
          <w:rFonts w:ascii="Times New Roman" w:hAnsi="Times New Roman" w:cs="Times New Roman"/>
          <w:b w:val="0"/>
          <w:sz w:val="24"/>
          <w:szCs w:val="24"/>
        </w:rPr>
        <w:t>K)], građevnih dijelova s plošnom masom većom od 100 kg/m (prema srednjoj mjesečnoj temperaturi vanjskog zraka najhladnijeg mjeseca na lokaciji zgrade)</w:t>
      </w:r>
      <w:bookmarkEnd w:id="8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19"/>
        <w:gridCol w:w="1666"/>
        <w:gridCol w:w="1667"/>
      </w:tblGrid>
      <w:tr w:rsidR="006730B1" w:rsidRPr="009C52C4" w14:paraId="33083A25" w14:textId="77777777" w:rsidTr="00887E64">
        <w:trPr>
          <w:trHeight w:val="20"/>
        </w:trPr>
        <w:tc>
          <w:tcPr>
            <w:tcW w:w="3179" w:type="pct"/>
            <w:vMerge w:val="restart"/>
            <w:shd w:val="clear" w:color="auto" w:fill="C2D69B"/>
            <w:tcMar>
              <w:left w:w="40" w:type="dxa"/>
              <w:right w:w="40" w:type="dxa"/>
            </w:tcMar>
            <w:vAlign w:val="center"/>
          </w:tcPr>
          <w:p w14:paraId="4A5485C2" w14:textId="77777777" w:rsidR="006730B1" w:rsidRPr="009C52C4" w:rsidRDefault="006730B1" w:rsidP="006730B1">
            <w:pPr>
              <w:jc w:val="left"/>
              <w:rPr>
                <w:rFonts w:ascii="Times New Roman" w:hAnsi="Times New Roman" w:cs="Times New Roman"/>
                <w:sz w:val="24"/>
                <w:szCs w:val="24"/>
              </w:rPr>
            </w:pPr>
            <w:r w:rsidRPr="009C52C4">
              <w:rPr>
                <w:rFonts w:ascii="Times New Roman" w:hAnsi="Times New Roman" w:cs="Times New Roman"/>
                <w:b/>
                <w:sz w:val="24"/>
                <w:szCs w:val="24"/>
              </w:rPr>
              <w:t>Građevni dio</w:t>
            </w:r>
          </w:p>
        </w:tc>
        <w:tc>
          <w:tcPr>
            <w:tcW w:w="1821" w:type="pct"/>
            <w:gridSpan w:val="2"/>
            <w:shd w:val="clear" w:color="auto" w:fill="C2D69B"/>
            <w:tcMar>
              <w:left w:w="40" w:type="dxa"/>
              <w:right w:w="40" w:type="dxa"/>
            </w:tcMar>
          </w:tcPr>
          <w:p w14:paraId="279C5226"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U [W/(m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K)]</w:t>
            </w:r>
          </w:p>
        </w:tc>
      </w:tr>
      <w:tr w:rsidR="006730B1" w:rsidRPr="009C52C4" w14:paraId="2322DCFC" w14:textId="77777777" w:rsidTr="00887E64">
        <w:trPr>
          <w:trHeight w:val="20"/>
        </w:trPr>
        <w:tc>
          <w:tcPr>
            <w:tcW w:w="3179" w:type="pct"/>
            <w:vMerge/>
            <w:shd w:val="clear" w:color="auto" w:fill="C2D69B"/>
            <w:tcMar>
              <w:left w:w="40" w:type="dxa"/>
              <w:right w:w="40" w:type="dxa"/>
            </w:tcMar>
          </w:tcPr>
          <w:p w14:paraId="5DAB7C13" w14:textId="77777777" w:rsidR="006730B1" w:rsidRPr="009C52C4" w:rsidRDefault="006730B1">
            <w:pPr>
              <w:rPr>
                <w:rFonts w:ascii="Times New Roman" w:hAnsi="Times New Roman" w:cs="Times New Roman"/>
                <w:sz w:val="24"/>
                <w:szCs w:val="24"/>
              </w:rPr>
            </w:pPr>
          </w:p>
        </w:tc>
        <w:tc>
          <w:tcPr>
            <w:tcW w:w="910" w:type="pct"/>
            <w:shd w:val="clear" w:color="auto" w:fill="C2D69B"/>
            <w:tcMar>
              <w:left w:w="40" w:type="dxa"/>
              <w:right w:w="40" w:type="dxa"/>
            </w:tcMar>
          </w:tcPr>
          <w:p w14:paraId="16C3CE8E" w14:textId="77777777" w:rsidR="006730B1" w:rsidRPr="009C52C4" w:rsidRDefault="006730B1">
            <w:pPr>
              <w:rPr>
                <w:rFonts w:ascii="Times New Roman" w:hAnsi="Times New Roman" w:cs="Times New Roman"/>
                <w:sz w:val="24"/>
                <w:szCs w:val="24"/>
              </w:rPr>
            </w:pPr>
            <w:r w:rsidRPr="009C52C4">
              <w:rPr>
                <w:rFonts w:ascii="Times New Roman" w:eastAsia="GreekC" w:hAnsi="Times New Roman" w:cs="Times New Roman"/>
                <w:b/>
                <w:sz w:val="24"/>
                <w:szCs w:val="24"/>
              </w:rPr>
              <w:t>Q</w:t>
            </w:r>
            <w:r w:rsidRPr="009C52C4">
              <w:rPr>
                <w:rFonts w:ascii="Times New Roman" w:hAnsi="Times New Roman" w:cs="Times New Roman"/>
                <w:b/>
                <w:sz w:val="24"/>
                <w:szCs w:val="24"/>
              </w:rPr>
              <w:t>e,mj,min &gt; + 3 °C</w:t>
            </w:r>
          </w:p>
        </w:tc>
        <w:tc>
          <w:tcPr>
            <w:tcW w:w="910" w:type="pct"/>
            <w:shd w:val="clear" w:color="auto" w:fill="C2D69B"/>
            <w:tcMar>
              <w:left w:w="40" w:type="dxa"/>
              <w:right w:w="40" w:type="dxa"/>
            </w:tcMar>
          </w:tcPr>
          <w:p w14:paraId="70D7D568" w14:textId="77777777" w:rsidR="006730B1" w:rsidRPr="009C52C4" w:rsidRDefault="006730B1">
            <w:pPr>
              <w:jc w:val="center"/>
              <w:rPr>
                <w:rFonts w:ascii="Times New Roman" w:hAnsi="Times New Roman" w:cs="Times New Roman"/>
                <w:sz w:val="24"/>
                <w:szCs w:val="24"/>
              </w:rPr>
            </w:pPr>
            <w:r w:rsidRPr="009C52C4">
              <w:rPr>
                <w:rFonts w:ascii="Times New Roman" w:eastAsia="GreekC" w:hAnsi="Times New Roman" w:cs="Times New Roman"/>
                <w:b/>
                <w:sz w:val="24"/>
                <w:szCs w:val="24"/>
              </w:rPr>
              <w:t>Q</w:t>
            </w:r>
            <w:r w:rsidRPr="009C52C4">
              <w:rPr>
                <w:rFonts w:ascii="Times New Roman" w:hAnsi="Times New Roman" w:cs="Times New Roman"/>
                <w:b/>
                <w:sz w:val="24"/>
                <w:szCs w:val="24"/>
              </w:rPr>
              <w:t>e,mj,min ≤ + 3 °C</w:t>
            </w:r>
          </w:p>
        </w:tc>
      </w:tr>
      <w:tr w:rsidR="00B122B4" w:rsidRPr="009C52C4" w14:paraId="62BB6977" w14:textId="77777777" w:rsidTr="00887E64">
        <w:trPr>
          <w:trHeight w:val="20"/>
        </w:trPr>
        <w:tc>
          <w:tcPr>
            <w:tcW w:w="3179" w:type="pct"/>
            <w:shd w:val="clear" w:color="auto" w:fill="EAF1DD"/>
            <w:tcMar>
              <w:left w:w="40" w:type="dxa"/>
              <w:right w:w="40" w:type="dxa"/>
            </w:tcMar>
          </w:tcPr>
          <w:p w14:paraId="0B848019"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Vanjski zidovi, zidovi prema garaži, tavanu</w:t>
            </w:r>
          </w:p>
        </w:tc>
        <w:tc>
          <w:tcPr>
            <w:tcW w:w="910" w:type="pct"/>
            <w:shd w:val="clear" w:color="auto" w:fill="EAF1DD"/>
            <w:tcMar>
              <w:left w:w="40" w:type="dxa"/>
              <w:right w:w="40" w:type="dxa"/>
            </w:tcMar>
          </w:tcPr>
          <w:p w14:paraId="7532FCA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1,00</w:t>
            </w:r>
          </w:p>
        </w:tc>
        <w:tc>
          <w:tcPr>
            <w:tcW w:w="910" w:type="pct"/>
            <w:shd w:val="clear" w:color="auto" w:fill="EAF1DD"/>
            <w:tcMar>
              <w:left w:w="40" w:type="dxa"/>
              <w:right w:w="40" w:type="dxa"/>
            </w:tcMar>
          </w:tcPr>
          <w:p w14:paraId="4014382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B122B4" w:rsidRPr="009C52C4" w14:paraId="69BE146E" w14:textId="77777777" w:rsidTr="00887E64">
        <w:trPr>
          <w:trHeight w:val="20"/>
        </w:trPr>
        <w:tc>
          <w:tcPr>
            <w:tcW w:w="3179" w:type="pct"/>
            <w:shd w:val="clear" w:color="auto" w:fill="EAF1DD"/>
            <w:tcMar>
              <w:left w:w="40" w:type="dxa"/>
              <w:right w:w="40" w:type="dxa"/>
            </w:tcMar>
          </w:tcPr>
          <w:p w14:paraId="4AC9DBA3" w14:textId="77777777" w:rsidR="00B122B4" w:rsidRPr="009C52C4" w:rsidRDefault="00F54CC3">
            <w:pPr>
              <w:ind w:left="5" w:hanging="4"/>
              <w:rPr>
                <w:rFonts w:ascii="Times New Roman" w:hAnsi="Times New Roman" w:cs="Times New Roman"/>
                <w:sz w:val="24"/>
                <w:szCs w:val="24"/>
              </w:rPr>
            </w:pPr>
            <w:r w:rsidRPr="009C52C4">
              <w:rPr>
                <w:rFonts w:ascii="Times New Roman" w:hAnsi="Times New Roman" w:cs="Times New Roman"/>
                <w:sz w:val="24"/>
                <w:szCs w:val="24"/>
              </w:rPr>
              <w:t>Zidovi prema negrijanom stubištu temperature veće od 0 °C, zidovi prema negrijanoj prostoriji</w:t>
            </w:r>
          </w:p>
        </w:tc>
        <w:tc>
          <w:tcPr>
            <w:tcW w:w="910" w:type="pct"/>
            <w:shd w:val="clear" w:color="auto" w:fill="EAF1DD"/>
            <w:tcMar>
              <w:left w:w="40" w:type="dxa"/>
              <w:right w:w="40" w:type="dxa"/>
            </w:tcMar>
          </w:tcPr>
          <w:p w14:paraId="3CFBDB2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1,30</w:t>
            </w:r>
          </w:p>
        </w:tc>
        <w:tc>
          <w:tcPr>
            <w:tcW w:w="910" w:type="pct"/>
            <w:shd w:val="clear" w:color="auto" w:fill="EAF1DD"/>
            <w:tcMar>
              <w:left w:w="40" w:type="dxa"/>
              <w:right w:w="40" w:type="dxa"/>
            </w:tcMar>
          </w:tcPr>
          <w:p w14:paraId="25131FF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1,30</w:t>
            </w:r>
          </w:p>
        </w:tc>
      </w:tr>
      <w:tr w:rsidR="00B122B4" w:rsidRPr="009C52C4" w14:paraId="4D1F5A1E" w14:textId="77777777" w:rsidTr="00887E64">
        <w:trPr>
          <w:trHeight w:val="20"/>
        </w:trPr>
        <w:tc>
          <w:tcPr>
            <w:tcW w:w="3179" w:type="pct"/>
            <w:shd w:val="clear" w:color="auto" w:fill="EAF1DD"/>
            <w:tcMar>
              <w:left w:w="40" w:type="dxa"/>
              <w:right w:w="40" w:type="dxa"/>
            </w:tcMar>
          </w:tcPr>
          <w:p w14:paraId="3C22A7AA"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Zidovi prema tlu</w:t>
            </w:r>
          </w:p>
        </w:tc>
        <w:tc>
          <w:tcPr>
            <w:tcW w:w="910" w:type="pct"/>
            <w:shd w:val="clear" w:color="auto" w:fill="EAF1DD"/>
            <w:tcMar>
              <w:left w:w="40" w:type="dxa"/>
              <w:right w:w="40" w:type="dxa"/>
            </w:tcMar>
          </w:tcPr>
          <w:p w14:paraId="1886E739"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1,00</w:t>
            </w:r>
          </w:p>
        </w:tc>
        <w:tc>
          <w:tcPr>
            <w:tcW w:w="910" w:type="pct"/>
            <w:shd w:val="clear" w:color="auto" w:fill="EAF1DD"/>
            <w:tcMar>
              <w:left w:w="40" w:type="dxa"/>
              <w:right w:w="40" w:type="dxa"/>
            </w:tcMar>
          </w:tcPr>
          <w:p w14:paraId="0A612D9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B122B4" w:rsidRPr="009C52C4" w14:paraId="701104FE" w14:textId="77777777" w:rsidTr="00887E64">
        <w:trPr>
          <w:trHeight w:val="20"/>
        </w:trPr>
        <w:tc>
          <w:tcPr>
            <w:tcW w:w="3179" w:type="pct"/>
            <w:shd w:val="clear" w:color="auto" w:fill="EAF1DD"/>
            <w:tcMar>
              <w:left w:w="40" w:type="dxa"/>
              <w:right w:w="40" w:type="dxa"/>
            </w:tcMar>
          </w:tcPr>
          <w:p w14:paraId="46D0FD53"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Podovi na tlu (do dubine tlocrta prostorije 5 m)</w:t>
            </w:r>
          </w:p>
        </w:tc>
        <w:tc>
          <w:tcPr>
            <w:tcW w:w="910" w:type="pct"/>
            <w:shd w:val="clear" w:color="auto" w:fill="EAF1DD"/>
            <w:tcMar>
              <w:left w:w="40" w:type="dxa"/>
              <w:right w:w="40" w:type="dxa"/>
            </w:tcMar>
          </w:tcPr>
          <w:p w14:paraId="5A933D7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910" w:type="pct"/>
            <w:shd w:val="clear" w:color="auto" w:fill="EAF1DD"/>
            <w:tcMar>
              <w:left w:w="40" w:type="dxa"/>
              <w:right w:w="40" w:type="dxa"/>
            </w:tcMar>
          </w:tcPr>
          <w:p w14:paraId="5DAA79D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0,65</w:t>
            </w:r>
          </w:p>
        </w:tc>
      </w:tr>
      <w:tr w:rsidR="00B122B4" w:rsidRPr="009C52C4" w14:paraId="52F078AC" w14:textId="77777777" w:rsidTr="00887E64">
        <w:trPr>
          <w:trHeight w:val="20"/>
        </w:trPr>
        <w:tc>
          <w:tcPr>
            <w:tcW w:w="3179" w:type="pct"/>
            <w:shd w:val="clear" w:color="auto" w:fill="EAF1DD"/>
            <w:tcMar>
              <w:left w:w="40" w:type="dxa"/>
              <w:right w:w="40" w:type="dxa"/>
            </w:tcMar>
          </w:tcPr>
          <w:p w14:paraId="57F986F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Stropovi između stanova, stropovi između grijanih radnih prostorija različitih korisnika</w:t>
            </w:r>
          </w:p>
        </w:tc>
        <w:tc>
          <w:tcPr>
            <w:tcW w:w="910" w:type="pct"/>
            <w:shd w:val="clear" w:color="auto" w:fill="EAF1DD"/>
            <w:tcMar>
              <w:left w:w="40" w:type="dxa"/>
              <w:right w:w="40" w:type="dxa"/>
            </w:tcMar>
          </w:tcPr>
          <w:p w14:paraId="1ABAE9B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1,40</w:t>
            </w:r>
          </w:p>
        </w:tc>
        <w:tc>
          <w:tcPr>
            <w:tcW w:w="910" w:type="pct"/>
            <w:shd w:val="clear" w:color="auto" w:fill="EAF1DD"/>
            <w:tcMar>
              <w:left w:w="40" w:type="dxa"/>
              <w:right w:w="40" w:type="dxa"/>
            </w:tcMar>
          </w:tcPr>
          <w:p w14:paraId="0FA5490F"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1,40</w:t>
            </w:r>
          </w:p>
        </w:tc>
      </w:tr>
      <w:tr w:rsidR="00B122B4" w:rsidRPr="009C52C4" w14:paraId="0551DBC0" w14:textId="77777777" w:rsidTr="00887E64">
        <w:trPr>
          <w:trHeight w:val="20"/>
        </w:trPr>
        <w:tc>
          <w:tcPr>
            <w:tcW w:w="3179" w:type="pct"/>
            <w:shd w:val="clear" w:color="auto" w:fill="EAF1DD"/>
            <w:tcMar>
              <w:left w:w="40" w:type="dxa"/>
              <w:right w:w="40" w:type="dxa"/>
            </w:tcMar>
          </w:tcPr>
          <w:p w14:paraId="6E524F79"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Stropovi prema tavanu, stropovi prema negrijanoj prostoriji iznad</w:t>
            </w:r>
          </w:p>
        </w:tc>
        <w:tc>
          <w:tcPr>
            <w:tcW w:w="910" w:type="pct"/>
            <w:shd w:val="clear" w:color="auto" w:fill="EAF1DD"/>
            <w:tcMar>
              <w:left w:w="40" w:type="dxa"/>
              <w:right w:w="40" w:type="dxa"/>
            </w:tcMar>
          </w:tcPr>
          <w:p w14:paraId="66BFD1D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0,85</w:t>
            </w:r>
          </w:p>
        </w:tc>
        <w:tc>
          <w:tcPr>
            <w:tcW w:w="910" w:type="pct"/>
            <w:shd w:val="clear" w:color="auto" w:fill="EAF1DD"/>
            <w:tcMar>
              <w:left w:w="40" w:type="dxa"/>
              <w:right w:w="40" w:type="dxa"/>
            </w:tcMar>
          </w:tcPr>
          <w:p w14:paraId="67E2DD5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0,70</w:t>
            </w:r>
          </w:p>
        </w:tc>
      </w:tr>
      <w:tr w:rsidR="00B122B4" w:rsidRPr="009C52C4" w14:paraId="1CE2655D" w14:textId="77777777" w:rsidTr="00887E64">
        <w:trPr>
          <w:trHeight w:val="20"/>
        </w:trPr>
        <w:tc>
          <w:tcPr>
            <w:tcW w:w="3179" w:type="pct"/>
            <w:shd w:val="clear" w:color="auto" w:fill="EAF1DD"/>
            <w:tcMar>
              <w:left w:w="40" w:type="dxa"/>
              <w:right w:w="40" w:type="dxa"/>
            </w:tcMar>
          </w:tcPr>
          <w:p w14:paraId="30680E5F"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Stropovi prema negrijanom podrumu, stropovi prema negrijanoj prostoriji ispod</w:t>
            </w:r>
          </w:p>
        </w:tc>
        <w:tc>
          <w:tcPr>
            <w:tcW w:w="910" w:type="pct"/>
            <w:shd w:val="clear" w:color="auto" w:fill="EAF1DD"/>
            <w:tcMar>
              <w:left w:w="40" w:type="dxa"/>
              <w:right w:w="40" w:type="dxa"/>
            </w:tcMar>
          </w:tcPr>
          <w:p w14:paraId="22FC2024"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0,65</w:t>
            </w:r>
          </w:p>
        </w:tc>
        <w:tc>
          <w:tcPr>
            <w:tcW w:w="910" w:type="pct"/>
            <w:shd w:val="clear" w:color="auto" w:fill="EAF1DD"/>
            <w:tcMar>
              <w:left w:w="40" w:type="dxa"/>
              <w:right w:w="40" w:type="dxa"/>
            </w:tcMar>
          </w:tcPr>
          <w:p w14:paraId="3D69BF7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0,50</w:t>
            </w:r>
          </w:p>
        </w:tc>
      </w:tr>
      <w:tr w:rsidR="00B122B4" w:rsidRPr="009C52C4" w14:paraId="5F0823DB" w14:textId="77777777" w:rsidTr="00887E64">
        <w:trPr>
          <w:trHeight w:val="20"/>
        </w:trPr>
        <w:tc>
          <w:tcPr>
            <w:tcW w:w="3179" w:type="pct"/>
            <w:shd w:val="clear" w:color="auto" w:fill="EAF1DD"/>
            <w:tcMar>
              <w:left w:w="40" w:type="dxa"/>
              <w:right w:w="40" w:type="dxa"/>
            </w:tcMar>
          </w:tcPr>
          <w:p w14:paraId="3457584F"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Ravni i kosi krov iznad grijanog prostora</w:t>
            </w:r>
          </w:p>
        </w:tc>
        <w:tc>
          <w:tcPr>
            <w:tcW w:w="910" w:type="pct"/>
            <w:shd w:val="clear" w:color="auto" w:fill="EAF1DD"/>
            <w:tcMar>
              <w:left w:w="40" w:type="dxa"/>
              <w:right w:w="40" w:type="dxa"/>
            </w:tcMar>
          </w:tcPr>
          <w:p w14:paraId="15E3990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0,70</w:t>
            </w:r>
          </w:p>
        </w:tc>
        <w:tc>
          <w:tcPr>
            <w:tcW w:w="910" w:type="pct"/>
            <w:shd w:val="clear" w:color="auto" w:fill="EAF1DD"/>
            <w:tcMar>
              <w:left w:w="40" w:type="dxa"/>
              <w:right w:w="40" w:type="dxa"/>
            </w:tcMar>
          </w:tcPr>
          <w:p w14:paraId="5772829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0,55</w:t>
            </w:r>
          </w:p>
        </w:tc>
      </w:tr>
      <w:tr w:rsidR="00B122B4" w:rsidRPr="009C52C4" w14:paraId="49E93DC0" w14:textId="77777777" w:rsidTr="00887E64">
        <w:trPr>
          <w:trHeight w:val="20"/>
        </w:trPr>
        <w:tc>
          <w:tcPr>
            <w:tcW w:w="3179" w:type="pct"/>
            <w:shd w:val="clear" w:color="auto" w:fill="EAF1DD"/>
            <w:tcMar>
              <w:left w:w="40" w:type="dxa"/>
              <w:right w:w="40" w:type="dxa"/>
            </w:tcMar>
          </w:tcPr>
          <w:p w14:paraId="56547C5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Stropovi iznad vanjskog prostora, stropovi iznad garaže</w:t>
            </w:r>
          </w:p>
        </w:tc>
        <w:tc>
          <w:tcPr>
            <w:tcW w:w="910" w:type="pct"/>
            <w:shd w:val="clear" w:color="auto" w:fill="EAF1DD"/>
            <w:tcMar>
              <w:left w:w="40" w:type="dxa"/>
              <w:right w:w="40" w:type="dxa"/>
            </w:tcMar>
          </w:tcPr>
          <w:p w14:paraId="023247F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0,45</w:t>
            </w:r>
          </w:p>
        </w:tc>
        <w:tc>
          <w:tcPr>
            <w:tcW w:w="910" w:type="pct"/>
            <w:shd w:val="clear" w:color="auto" w:fill="EAF1DD"/>
            <w:tcMar>
              <w:left w:w="40" w:type="dxa"/>
              <w:right w:w="40" w:type="dxa"/>
            </w:tcMar>
          </w:tcPr>
          <w:p w14:paraId="5E003B2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0,40</w:t>
            </w:r>
          </w:p>
        </w:tc>
      </w:tr>
    </w:tbl>
    <w:p w14:paraId="13F2DAA6" w14:textId="77777777" w:rsidR="00B122B4" w:rsidRPr="009C52C4" w:rsidRDefault="00B122B4">
      <w:pPr>
        <w:rPr>
          <w:rFonts w:ascii="Times New Roman" w:hAnsi="Times New Roman" w:cs="Times New Roman"/>
          <w:sz w:val="24"/>
          <w:szCs w:val="24"/>
        </w:rPr>
      </w:pPr>
    </w:p>
    <w:p w14:paraId="66BADB5C" w14:textId="4AE6974E" w:rsidR="006730B1" w:rsidRPr="009C52C4" w:rsidRDefault="006730B1" w:rsidP="006730B1">
      <w:pPr>
        <w:pStyle w:val="Caption"/>
        <w:rPr>
          <w:rFonts w:ascii="Times New Roman" w:hAnsi="Times New Roman" w:cs="Times New Roman"/>
          <w:sz w:val="24"/>
          <w:szCs w:val="24"/>
        </w:rPr>
      </w:pPr>
      <w:bookmarkStart w:id="81" w:name="h.1hmsyys" w:colFirst="0" w:colLast="0"/>
      <w:bookmarkStart w:id="82" w:name="_Ref483404036"/>
      <w:bookmarkStart w:id="83" w:name="_Toc2681311"/>
      <w:bookmarkEnd w:id="81"/>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18</w:t>
      </w:r>
      <w:r w:rsidR="00B6149D" w:rsidRPr="009C52C4">
        <w:rPr>
          <w:rFonts w:ascii="Times New Roman" w:hAnsi="Times New Roman" w:cs="Times New Roman"/>
          <w:noProof/>
          <w:sz w:val="24"/>
          <w:szCs w:val="24"/>
        </w:rPr>
        <w:fldChar w:fldCharType="end"/>
      </w:r>
      <w:bookmarkEnd w:id="82"/>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Najveće dopuštene vrijednosti koeficijenta prolaska topline, U [W/(m</w:t>
      </w:r>
      <w:r w:rsidRPr="009C52C4">
        <w:rPr>
          <w:rFonts w:ascii="Times New Roman" w:hAnsi="Times New Roman" w:cs="Times New Roman"/>
          <w:b w:val="0"/>
          <w:sz w:val="24"/>
          <w:szCs w:val="24"/>
          <w:vertAlign w:val="superscript"/>
        </w:rPr>
        <w:t>2</w:t>
      </w:r>
      <w:r w:rsidRPr="009C52C4">
        <w:rPr>
          <w:rFonts w:ascii="Times New Roman" w:hAnsi="Times New Roman" w:cs="Times New Roman"/>
          <w:b w:val="0"/>
          <w:sz w:val="24"/>
          <w:szCs w:val="24"/>
        </w:rPr>
        <w:t>K)] za prozore i vrata</w:t>
      </w:r>
      <w:bookmarkEnd w:id="8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44"/>
        <w:gridCol w:w="1689"/>
        <w:gridCol w:w="1689"/>
        <w:gridCol w:w="1830"/>
      </w:tblGrid>
      <w:tr w:rsidR="00D41DA8" w:rsidRPr="009C52C4" w14:paraId="69ED9F6A" w14:textId="77777777" w:rsidTr="00887E64">
        <w:trPr>
          <w:trHeight w:val="20"/>
        </w:trPr>
        <w:tc>
          <w:tcPr>
            <w:tcW w:w="5000" w:type="pct"/>
            <w:gridSpan w:val="4"/>
            <w:shd w:val="clear" w:color="auto" w:fill="C2D69B"/>
            <w:tcMar>
              <w:left w:w="40" w:type="dxa"/>
              <w:right w:w="40" w:type="dxa"/>
            </w:tcMar>
          </w:tcPr>
          <w:p w14:paraId="297E3615"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b/>
                <w:sz w:val="24"/>
                <w:szCs w:val="24"/>
              </w:rPr>
              <w:t>Minimalna toplinska zaštita</w:t>
            </w:r>
          </w:p>
        </w:tc>
      </w:tr>
      <w:tr w:rsidR="00B122B4" w:rsidRPr="009C52C4" w14:paraId="5FF940C3" w14:textId="77777777" w:rsidTr="00887E64">
        <w:trPr>
          <w:trHeight w:val="20"/>
        </w:trPr>
        <w:tc>
          <w:tcPr>
            <w:tcW w:w="2154" w:type="pct"/>
            <w:shd w:val="clear" w:color="auto" w:fill="EAF1DD"/>
            <w:tcMar>
              <w:left w:w="40" w:type="dxa"/>
              <w:right w:w="40" w:type="dxa"/>
            </w:tcMar>
            <w:vAlign w:val="center"/>
          </w:tcPr>
          <w:p w14:paraId="5C0992E7" w14:textId="77777777" w:rsidR="00B122B4" w:rsidRPr="009C52C4" w:rsidRDefault="00F54CC3" w:rsidP="006730B1">
            <w:pPr>
              <w:jc w:val="left"/>
              <w:rPr>
                <w:rFonts w:ascii="Times New Roman" w:hAnsi="Times New Roman" w:cs="Times New Roman"/>
                <w:sz w:val="24"/>
                <w:szCs w:val="24"/>
              </w:rPr>
            </w:pPr>
            <w:r w:rsidRPr="009C52C4">
              <w:rPr>
                <w:rFonts w:ascii="Times New Roman" w:hAnsi="Times New Roman" w:cs="Times New Roman"/>
                <w:sz w:val="24"/>
                <w:szCs w:val="24"/>
              </w:rPr>
              <w:t>Ostakljenje</w:t>
            </w:r>
          </w:p>
        </w:tc>
        <w:tc>
          <w:tcPr>
            <w:tcW w:w="923" w:type="pct"/>
            <w:shd w:val="clear" w:color="auto" w:fill="EAF1DD"/>
            <w:tcMar>
              <w:left w:w="40" w:type="dxa"/>
              <w:right w:w="40" w:type="dxa"/>
            </w:tcMar>
            <w:vAlign w:val="center"/>
          </w:tcPr>
          <w:p w14:paraId="7655893F"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Grijanje na &gt;12°C</w:t>
            </w:r>
          </w:p>
        </w:tc>
        <w:tc>
          <w:tcPr>
            <w:tcW w:w="923" w:type="pct"/>
            <w:shd w:val="clear" w:color="auto" w:fill="EAF1DD"/>
            <w:tcMar>
              <w:left w:w="40" w:type="dxa"/>
              <w:right w:w="40" w:type="dxa"/>
            </w:tcMar>
            <w:vAlign w:val="center"/>
          </w:tcPr>
          <w:p w14:paraId="4A7F343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Grijanje na &gt;12 i &lt;18°C</w:t>
            </w:r>
          </w:p>
        </w:tc>
        <w:tc>
          <w:tcPr>
            <w:tcW w:w="1000" w:type="pct"/>
            <w:shd w:val="clear" w:color="auto" w:fill="EAF1DD"/>
            <w:tcMar>
              <w:left w:w="40" w:type="dxa"/>
              <w:right w:w="40" w:type="dxa"/>
            </w:tcMar>
            <w:vAlign w:val="center"/>
          </w:tcPr>
          <w:p w14:paraId="0D03056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Grijanje na</w:t>
            </w:r>
          </w:p>
          <w:p w14:paraId="47F36868"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≥18°C</w:t>
            </w:r>
          </w:p>
        </w:tc>
      </w:tr>
      <w:tr w:rsidR="00B122B4" w:rsidRPr="009C52C4" w14:paraId="580183AE" w14:textId="77777777" w:rsidTr="00887E64">
        <w:trPr>
          <w:trHeight w:val="20"/>
        </w:trPr>
        <w:tc>
          <w:tcPr>
            <w:tcW w:w="2154" w:type="pct"/>
            <w:shd w:val="clear" w:color="auto" w:fill="EAF1DD"/>
            <w:tcMar>
              <w:left w:w="40" w:type="dxa"/>
              <w:right w:w="40" w:type="dxa"/>
            </w:tcMar>
          </w:tcPr>
          <w:p w14:paraId="783650A7"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Prozori, balkonska vrata, krovni prozori i drugi prozirni elementi</w:t>
            </w:r>
          </w:p>
        </w:tc>
        <w:tc>
          <w:tcPr>
            <w:tcW w:w="923" w:type="pct"/>
            <w:shd w:val="clear" w:color="auto" w:fill="EAF1DD"/>
            <w:tcMar>
              <w:left w:w="40" w:type="dxa"/>
              <w:right w:w="40" w:type="dxa"/>
            </w:tcMar>
            <w:vAlign w:val="center"/>
          </w:tcPr>
          <w:p w14:paraId="56C1126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vertAlign w:val="subscript"/>
              </w:rPr>
              <w:t>-</w:t>
            </w:r>
          </w:p>
        </w:tc>
        <w:tc>
          <w:tcPr>
            <w:tcW w:w="923" w:type="pct"/>
            <w:shd w:val="clear" w:color="auto" w:fill="EAF1DD"/>
            <w:tcMar>
              <w:left w:w="40" w:type="dxa"/>
              <w:right w:w="40" w:type="dxa"/>
            </w:tcMar>
            <w:vAlign w:val="center"/>
          </w:tcPr>
          <w:p w14:paraId="47EAC285"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≤1,8</w:t>
            </w:r>
          </w:p>
        </w:tc>
        <w:tc>
          <w:tcPr>
            <w:tcW w:w="1000" w:type="pct"/>
            <w:shd w:val="clear" w:color="auto" w:fill="EAF1DD"/>
            <w:tcMar>
              <w:left w:w="40" w:type="dxa"/>
              <w:right w:w="40" w:type="dxa"/>
            </w:tcMar>
            <w:vAlign w:val="center"/>
          </w:tcPr>
          <w:p w14:paraId="14353366"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&lt;3,0</w:t>
            </w:r>
          </w:p>
        </w:tc>
      </w:tr>
      <w:tr w:rsidR="00B122B4" w:rsidRPr="009C52C4" w14:paraId="72971FB9" w14:textId="77777777" w:rsidTr="00887E64">
        <w:trPr>
          <w:trHeight w:val="20"/>
        </w:trPr>
        <w:tc>
          <w:tcPr>
            <w:tcW w:w="2154" w:type="pct"/>
            <w:shd w:val="clear" w:color="auto" w:fill="EAF1DD"/>
            <w:tcMar>
              <w:left w:w="40" w:type="dxa"/>
              <w:right w:w="40" w:type="dxa"/>
            </w:tcMar>
          </w:tcPr>
          <w:p w14:paraId="4D2589D2"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Kutija za rolete</w:t>
            </w:r>
          </w:p>
        </w:tc>
        <w:tc>
          <w:tcPr>
            <w:tcW w:w="923" w:type="pct"/>
            <w:shd w:val="clear" w:color="auto" w:fill="EAF1DD"/>
            <w:tcMar>
              <w:left w:w="40" w:type="dxa"/>
              <w:right w:w="40" w:type="dxa"/>
            </w:tcMar>
            <w:vAlign w:val="center"/>
          </w:tcPr>
          <w:p w14:paraId="34250E70"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≤0,8</w:t>
            </w:r>
          </w:p>
        </w:tc>
        <w:tc>
          <w:tcPr>
            <w:tcW w:w="923" w:type="pct"/>
            <w:shd w:val="clear" w:color="auto" w:fill="EAF1DD"/>
            <w:tcMar>
              <w:left w:w="40" w:type="dxa"/>
              <w:right w:w="40" w:type="dxa"/>
            </w:tcMar>
            <w:vAlign w:val="center"/>
          </w:tcPr>
          <w:p w14:paraId="0CA7ADAA"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vertAlign w:val="subscript"/>
              </w:rPr>
              <w:t>-</w:t>
            </w:r>
          </w:p>
        </w:tc>
        <w:tc>
          <w:tcPr>
            <w:tcW w:w="1000" w:type="pct"/>
            <w:shd w:val="clear" w:color="auto" w:fill="EAF1DD"/>
            <w:tcMar>
              <w:left w:w="40" w:type="dxa"/>
              <w:right w:w="40" w:type="dxa"/>
            </w:tcMar>
            <w:vAlign w:val="center"/>
          </w:tcPr>
          <w:p w14:paraId="17BE1778" w14:textId="77777777" w:rsidR="00B122B4" w:rsidRPr="009C52C4" w:rsidRDefault="00F54CC3">
            <w:pPr>
              <w:tabs>
                <w:tab w:val="left" w:pos="555"/>
                <w:tab w:val="center" w:pos="581"/>
              </w:tabs>
              <w:jc w:val="center"/>
              <w:rPr>
                <w:rFonts w:ascii="Times New Roman" w:hAnsi="Times New Roman" w:cs="Times New Roman"/>
                <w:sz w:val="24"/>
                <w:szCs w:val="24"/>
              </w:rPr>
            </w:pPr>
            <w:r w:rsidRPr="009C52C4">
              <w:rPr>
                <w:rFonts w:ascii="Times New Roman" w:hAnsi="Times New Roman" w:cs="Times New Roman"/>
                <w:sz w:val="24"/>
                <w:szCs w:val="24"/>
                <w:vertAlign w:val="subscript"/>
              </w:rPr>
              <w:t>-</w:t>
            </w:r>
          </w:p>
        </w:tc>
      </w:tr>
      <w:tr w:rsidR="00B122B4" w:rsidRPr="009C52C4" w14:paraId="078F57E9" w14:textId="77777777" w:rsidTr="00887E64">
        <w:trPr>
          <w:trHeight w:val="20"/>
        </w:trPr>
        <w:tc>
          <w:tcPr>
            <w:tcW w:w="2154" w:type="pct"/>
            <w:shd w:val="clear" w:color="auto" w:fill="EAF1DD"/>
            <w:tcMar>
              <w:left w:w="40" w:type="dxa"/>
              <w:right w:w="40" w:type="dxa"/>
            </w:tcMar>
          </w:tcPr>
          <w:p w14:paraId="2AA8E0D6"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Vanjska vrata s neprozirnim vratnim krilom</w:t>
            </w:r>
          </w:p>
        </w:tc>
        <w:tc>
          <w:tcPr>
            <w:tcW w:w="923" w:type="pct"/>
            <w:shd w:val="clear" w:color="auto" w:fill="EAF1DD"/>
            <w:tcMar>
              <w:left w:w="40" w:type="dxa"/>
              <w:right w:w="40" w:type="dxa"/>
            </w:tcMar>
            <w:vAlign w:val="center"/>
          </w:tcPr>
          <w:p w14:paraId="2BC6497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≤2,9</w:t>
            </w:r>
          </w:p>
        </w:tc>
        <w:tc>
          <w:tcPr>
            <w:tcW w:w="923" w:type="pct"/>
            <w:shd w:val="clear" w:color="auto" w:fill="EAF1DD"/>
            <w:tcMar>
              <w:left w:w="40" w:type="dxa"/>
              <w:right w:w="40" w:type="dxa"/>
            </w:tcMar>
            <w:vAlign w:val="center"/>
          </w:tcPr>
          <w:p w14:paraId="70FDE86B"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vertAlign w:val="subscript"/>
              </w:rPr>
              <w:t>-</w:t>
            </w:r>
          </w:p>
        </w:tc>
        <w:tc>
          <w:tcPr>
            <w:tcW w:w="1000" w:type="pct"/>
            <w:shd w:val="clear" w:color="auto" w:fill="EAF1DD"/>
            <w:tcMar>
              <w:left w:w="40" w:type="dxa"/>
              <w:right w:w="40" w:type="dxa"/>
            </w:tcMar>
            <w:vAlign w:val="center"/>
          </w:tcPr>
          <w:p w14:paraId="57CA50EC"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vertAlign w:val="subscript"/>
              </w:rPr>
              <w:t>-</w:t>
            </w:r>
          </w:p>
        </w:tc>
      </w:tr>
    </w:tbl>
    <w:p w14:paraId="212C47E2" w14:textId="77777777" w:rsidR="00BD461D" w:rsidRPr="009C52C4" w:rsidRDefault="00BD461D" w:rsidP="00BD461D">
      <w:pPr>
        <w:spacing w:before="154"/>
        <w:rPr>
          <w:rFonts w:ascii="Times New Roman" w:hAnsi="Times New Roman" w:cs="Times New Roman"/>
          <w:sz w:val="24"/>
          <w:szCs w:val="24"/>
        </w:rPr>
      </w:pPr>
      <w:r w:rsidRPr="009C52C4">
        <w:rPr>
          <w:rFonts w:ascii="Times New Roman" w:hAnsi="Times New Roman" w:cs="Times New Roman"/>
          <w:sz w:val="24"/>
          <w:szCs w:val="24"/>
        </w:rPr>
        <w:t>Nadalje, propis definira maksimalne dopuštene vrijednosti:</w:t>
      </w:r>
    </w:p>
    <w:p w14:paraId="3ACE7275" w14:textId="18FC21CA" w:rsidR="00BD461D" w:rsidRPr="009C52C4" w:rsidRDefault="00BD461D" w:rsidP="00853BC8">
      <w:pPr>
        <w:numPr>
          <w:ilvl w:val="0"/>
          <w:numId w:val="15"/>
        </w:numPr>
        <w:ind w:right="357" w:hanging="359"/>
        <w:rPr>
          <w:rFonts w:ascii="Times New Roman" w:hAnsi="Times New Roman" w:cs="Times New Roman"/>
          <w:sz w:val="24"/>
          <w:szCs w:val="24"/>
        </w:rPr>
      </w:pPr>
      <w:r w:rsidRPr="009C52C4">
        <w:rPr>
          <w:rFonts w:ascii="Times New Roman" w:hAnsi="Times New Roman" w:cs="Times New Roman"/>
          <w:sz w:val="24"/>
          <w:szCs w:val="24"/>
        </w:rPr>
        <w:t>godišnje potrebne topline za grijanje po jedinici ploštine korisne površine zgrade</w:t>
      </w:r>
    </w:p>
    <w:p w14:paraId="1D09C5AD" w14:textId="1BA90E5D" w:rsidR="00BD461D" w:rsidRPr="009C52C4" w:rsidRDefault="00BD461D" w:rsidP="00853BC8">
      <w:pPr>
        <w:numPr>
          <w:ilvl w:val="0"/>
          <w:numId w:val="15"/>
        </w:numPr>
        <w:ind w:right="357" w:hanging="359"/>
        <w:rPr>
          <w:rFonts w:ascii="Times New Roman" w:hAnsi="Times New Roman" w:cs="Times New Roman"/>
          <w:sz w:val="24"/>
          <w:szCs w:val="24"/>
        </w:rPr>
      </w:pPr>
      <w:r w:rsidRPr="009C52C4">
        <w:rPr>
          <w:rFonts w:ascii="Times New Roman" w:hAnsi="Times New Roman" w:cs="Times New Roman"/>
          <w:sz w:val="24"/>
          <w:szCs w:val="24"/>
        </w:rPr>
        <w:t>maksimalne dopuštene vrijednosti koeficijenta transmisijskog toplinskog gubitka po jedinici oplošja grijanog dijela zgrade</w:t>
      </w:r>
    </w:p>
    <w:p w14:paraId="1AF14927" w14:textId="3F98C04E" w:rsidR="00BD461D" w:rsidRPr="009C52C4" w:rsidRDefault="00BD461D" w:rsidP="00853BC8">
      <w:pPr>
        <w:numPr>
          <w:ilvl w:val="0"/>
          <w:numId w:val="15"/>
        </w:numPr>
        <w:ind w:right="357" w:hanging="359"/>
        <w:rPr>
          <w:rFonts w:ascii="Times New Roman" w:hAnsi="Times New Roman" w:cs="Times New Roman"/>
          <w:sz w:val="24"/>
          <w:szCs w:val="24"/>
        </w:rPr>
      </w:pPr>
      <w:r w:rsidRPr="009C52C4">
        <w:rPr>
          <w:rFonts w:ascii="Times New Roman" w:hAnsi="Times New Roman" w:cs="Times New Roman"/>
          <w:sz w:val="24"/>
          <w:szCs w:val="24"/>
        </w:rPr>
        <w:t>zrakonepropusnosti omotača zgrade i provjetravanja prostora zgrade</w:t>
      </w:r>
    </w:p>
    <w:p w14:paraId="359025B3" w14:textId="621644DA" w:rsidR="00BD461D" w:rsidRPr="009C52C4" w:rsidRDefault="00BD461D" w:rsidP="00853BC8">
      <w:pPr>
        <w:numPr>
          <w:ilvl w:val="0"/>
          <w:numId w:val="15"/>
        </w:numPr>
        <w:ind w:right="357" w:hanging="359"/>
        <w:rPr>
          <w:rFonts w:ascii="Times New Roman" w:hAnsi="Times New Roman" w:cs="Times New Roman"/>
          <w:sz w:val="24"/>
          <w:szCs w:val="24"/>
        </w:rPr>
      </w:pPr>
      <w:r w:rsidRPr="009C52C4">
        <w:rPr>
          <w:rFonts w:ascii="Times New Roman" w:hAnsi="Times New Roman" w:cs="Times New Roman"/>
          <w:sz w:val="24"/>
          <w:szCs w:val="24"/>
        </w:rPr>
        <w:t>učinka uređaja za povrat topline iz odlaznog zraka</w:t>
      </w:r>
    </w:p>
    <w:p w14:paraId="6FA0AAB3" w14:textId="7173CEA6" w:rsidR="00B122B4" w:rsidRPr="00811227" w:rsidRDefault="006730B1" w:rsidP="007C2814">
      <w:pPr>
        <w:rPr>
          <w:rFonts w:ascii="Times New Roman" w:hAnsi="Times New Roman" w:cs="Times New Roman"/>
          <w:b/>
          <w:sz w:val="24"/>
          <w:szCs w:val="24"/>
        </w:rPr>
      </w:pPr>
      <w:r w:rsidRPr="00811227">
        <w:rPr>
          <w:rFonts w:ascii="Times New Roman" w:hAnsi="Times New Roman" w:cs="Times New Roman"/>
          <w:sz w:val="24"/>
          <w:szCs w:val="24"/>
        </w:rPr>
        <w:br w:type="page"/>
      </w:r>
      <w:r w:rsidR="006A04B5" w:rsidRPr="00811227">
        <w:rPr>
          <w:rFonts w:ascii="Times New Roman" w:hAnsi="Times New Roman" w:cs="Times New Roman"/>
          <w:b/>
          <w:sz w:val="24"/>
          <w:szCs w:val="24"/>
        </w:rPr>
        <w:lastRenderedPageBreak/>
        <w:t>2.6.1.7</w:t>
      </w:r>
      <w:r w:rsidR="006A04B5" w:rsidRPr="00811227">
        <w:rPr>
          <w:rFonts w:ascii="Times New Roman" w:hAnsi="Times New Roman" w:cs="Times New Roman"/>
          <w:sz w:val="24"/>
          <w:szCs w:val="24"/>
        </w:rPr>
        <w:t xml:space="preserve"> </w:t>
      </w:r>
      <w:r w:rsidR="00F54CC3" w:rsidRPr="00811227">
        <w:rPr>
          <w:rFonts w:ascii="Times New Roman" w:hAnsi="Times New Roman" w:cs="Times New Roman"/>
          <w:b/>
          <w:sz w:val="24"/>
          <w:szCs w:val="24"/>
        </w:rPr>
        <w:t>Karakteristično razdoblje izgradnje od 2010. do 2011.godine</w:t>
      </w:r>
    </w:p>
    <w:p w14:paraId="01C17FF4" w14:textId="77777777" w:rsidR="00B122B4" w:rsidRPr="009C52C4" w:rsidRDefault="00B122B4">
      <w:pPr>
        <w:rPr>
          <w:rFonts w:ascii="Times New Roman" w:hAnsi="Times New Roman" w:cs="Times New Roman"/>
          <w:sz w:val="24"/>
          <w:szCs w:val="24"/>
        </w:rPr>
      </w:pPr>
    </w:p>
    <w:p w14:paraId="77566EE8" w14:textId="41FED1E4" w:rsidR="00BD461D" w:rsidRPr="009C52C4" w:rsidRDefault="00BD461D" w:rsidP="00BD461D">
      <w:pPr>
        <w:rPr>
          <w:rFonts w:ascii="Times New Roman" w:hAnsi="Times New Roman" w:cs="Times New Roman"/>
          <w:sz w:val="24"/>
          <w:szCs w:val="24"/>
        </w:rPr>
      </w:pPr>
      <w:r w:rsidRPr="009C52C4">
        <w:rPr>
          <w:rFonts w:ascii="Times New Roman" w:hAnsi="Times New Roman" w:cs="Times New Roman"/>
          <w:sz w:val="24"/>
          <w:szCs w:val="24"/>
        </w:rPr>
        <w:t xml:space="preserve">Godine 2008. donesen je </w:t>
      </w:r>
      <w:r w:rsidRPr="009C52C4">
        <w:rPr>
          <w:rFonts w:ascii="Times New Roman" w:hAnsi="Times New Roman" w:cs="Times New Roman"/>
          <w:i/>
          <w:sz w:val="24"/>
          <w:szCs w:val="24"/>
        </w:rPr>
        <w:t xml:space="preserve">Tehnički propis o racionalnoj uporabi energije i toplinskoj zaštiti u zgradama (NN 110/08, 89/09), </w:t>
      </w:r>
      <w:r w:rsidRPr="009C52C4">
        <w:rPr>
          <w:rFonts w:ascii="Times New Roman" w:hAnsi="Times New Roman" w:cs="Times New Roman"/>
          <w:sz w:val="24"/>
          <w:szCs w:val="24"/>
        </w:rPr>
        <w:t>čijim je stupanjem na snagu, 31. ožujka 2009. godine, prestao vrijediti Tehnički propis o uštedi toplinske energije i toplinskoj zaštiti u zgradama (NN 79/05, 155/05, 74/06) iz 2005. godine. Propisom su značajno pooštreni dozvoljeni koeficijenti prolaska topline građevnih dijelova za novogradnje i rekonstrukcijske zahvate na postojećim zgradama</w:t>
      </w:r>
      <w:r w:rsidR="00CF07EE"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(poglavito za vanjske zidove i stropove prema tavanu). Najveći dopušteni koeficijenti prolaza topline U za građevinske elemente prema Tehničkom propisu o racionalnoj uporabi energije i toplinskoj zaštiti u zgradama </w:t>
      </w:r>
      <w:r w:rsidR="00021A43" w:rsidRPr="009C52C4">
        <w:rPr>
          <w:rFonts w:ascii="Times New Roman" w:hAnsi="Times New Roman" w:cs="Times New Roman"/>
          <w:sz w:val="24"/>
          <w:szCs w:val="24"/>
        </w:rPr>
        <w:t xml:space="preserve">te za prozore i vrata </w:t>
      </w:r>
      <w:r w:rsidRPr="009C52C4">
        <w:rPr>
          <w:rFonts w:ascii="Times New Roman" w:hAnsi="Times New Roman" w:cs="Times New Roman"/>
          <w:sz w:val="24"/>
          <w:szCs w:val="24"/>
        </w:rPr>
        <w:t xml:space="preserve">dani su </w:t>
      </w:r>
      <w:r w:rsidR="00021A43" w:rsidRPr="009C52C4">
        <w:rPr>
          <w:rFonts w:ascii="Times New Roman" w:hAnsi="Times New Roman" w:cs="Times New Roman"/>
          <w:sz w:val="24"/>
          <w:szCs w:val="24"/>
        </w:rPr>
        <w:t xml:space="preserve">tablicama </w:t>
      </w:r>
      <w:r w:rsidRPr="009C52C4">
        <w:rPr>
          <w:rFonts w:ascii="Times New Roman" w:hAnsi="Times New Roman" w:cs="Times New Roman"/>
          <w:sz w:val="24"/>
          <w:szCs w:val="24"/>
        </w:rPr>
        <w:t>u</w:t>
      </w:r>
      <w:r w:rsidR="00021A43" w:rsidRPr="009C52C4">
        <w:rPr>
          <w:rFonts w:ascii="Times New Roman" w:hAnsi="Times New Roman" w:cs="Times New Roman"/>
          <w:sz w:val="24"/>
          <w:szCs w:val="24"/>
        </w:rPr>
        <w:t xml:space="preserve"> nastavku</w:t>
      </w:r>
      <w:r w:rsidRPr="009C52C4">
        <w:rPr>
          <w:rFonts w:ascii="Times New Roman" w:hAnsi="Times New Roman" w:cs="Times New Roman"/>
          <w:sz w:val="24"/>
          <w:szCs w:val="24"/>
        </w:rPr>
        <w:t xml:space="preserve"> </w:t>
      </w:r>
      <w:r w:rsidR="00021A43" w:rsidRPr="009C52C4">
        <w:rPr>
          <w:rFonts w:ascii="Times New Roman" w:hAnsi="Times New Roman" w:cs="Times New Roman"/>
          <w:sz w:val="24"/>
          <w:szCs w:val="24"/>
        </w:rPr>
        <w:t>(</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_Ref483404060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19</w:t>
      </w:r>
      <w:r w:rsidR="003D0360" w:rsidRPr="009C52C4">
        <w:rPr>
          <w:rFonts w:ascii="Times New Roman" w:hAnsi="Times New Roman" w:cs="Times New Roman"/>
          <w:sz w:val="24"/>
          <w:szCs w:val="24"/>
        </w:rPr>
        <w:fldChar w:fldCharType="end"/>
      </w:r>
      <w:r w:rsidR="00021A43" w:rsidRPr="009C52C4">
        <w:rPr>
          <w:rFonts w:ascii="Times New Roman" w:hAnsi="Times New Roman" w:cs="Times New Roman"/>
          <w:sz w:val="24"/>
          <w:szCs w:val="24"/>
        </w:rPr>
        <w:t xml:space="preserve"> i</w:t>
      </w:r>
      <w:r w:rsidRPr="009C52C4">
        <w:rPr>
          <w:rFonts w:ascii="Times New Roman" w:hAnsi="Times New Roman" w:cs="Times New Roman"/>
          <w:sz w:val="24"/>
          <w:szCs w:val="24"/>
        </w:rPr>
        <w:t xml:space="preserve">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_Ref483404070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20</w:t>
      </w:r>
      <w:r w:rsidR="003D0360" w:rsidRPr="009C52C4">
        <w:rPr>
          <w:rFonts w:ascii="Times New Roman" w:hAnsi="Times New Roman" w:cs="Times New Roman"/>
          <w:sz w:val="24"/>
          <w:szCs w:val="24"/>
        </w:rPr>
        <w:fldChar w:fldCharType="end"/>
      </w:r>
      <w:r w:rsidR="00021A43" w:rsidRPr="009C52C4">
        <w:rPr>
          <w:rFonts w:ascii="Times New Roman" w:hAnsi="Times New Roman" w:cs="Times New Roman"/>
          <w:sz w:val="24"/>
          <w:szCs w:val="24"/>
        </w:rPr>
        <w:t>)</w:t>
      </w:r>
      <w:r w:rsidRPr="009C52C4">
        <w:rPr>
          <w:rFonts w:ascii="Times New Roman" w:hAnsi="Times New Roman" w:cs="Times New Roman"/>
          <w:sz w:val="24"/>
          <w:szCs w:val="24"/>
        </w:rPr>
        <w:t>.</w:t>
      </w:r>
    </w:p>
    <w:p w14:paraId="49E9AE1F" w14:textId="77777777" w:rsidR="00B122B4" w:rsidRPr="009C52C4" w:rsidRDefault="00B122B4">
      <w:pPr>
        <w:rPr>
          <w:rFonts w:ascii="Times New Roman" w:hAnsi="Times New Roman" w:cs="Times New Roman"/>
          <w:sz w:val="24"/>
          <w:szCs w:val="24"/>
        </w:rPr>
      </w:pPr>
    </w:p>
    <w:p w14:paraId="24C9C523" w14:textId="610C565C" w:rsidR="006730B1" w:rsidRPr="009C52C4" w:rsidRDefault="006730B1" w:rsidP="006730B1">
      <w:pPr>
        <w:pStyle w:val="Caption"/>
        <w:rPr>
          <w:rFonts w:ascii="Times New Roman" w:hAnsi="Times New Roman" w:cs="Times New Roman"/>
          <w:sz w:val="24"/>
          <w:szCs w:val="24"/>
        </w:rPr>
      </w:pPr>
      <w:bookmarkStart w:id="84" w:name="h.41mghml" w:colFirst="0" w:colLast="0"/>
      <w:bookmarkStart w:id="85" w:name="h.2grqrue" w:colFirst="0" w:colLast="0"/>
      <w:bookmarkStart w:id="86" w:name="_Ref483404060"/>
      <w:bookmarkStart w:id="87" w:name="_Toc2681312"/>
      <w:bookmarkEnd w:id="84"/>
      <w:bookmarkEnd w:id="85"/>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19</w:t>
      </w:r>
      <w:r w:rsidR="00B6149D" w:rsidRPr="009C52C4">
        <w:rPr>
          <w:rFonts w:ascii="Times New Roman" w:hAnsi="Times New Roman" w:cs="Times New Roman"/>
          <w:noProof/>
          <w:sz w:val="24"/>
          <w:szCs w:val="24"/>
        </w:rPr>
        <w:fldChar w:fldCharType="end"/>
      </w:r>
      <w:bookmarkEnd w:id="86"/>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Najveće dopuštene vrijednosti koeficijenta prolaska topline, U [W/(m</w:t>
      </w:r>
      <w:r w:rsidRPr="009C52C4">
        <w:rPr>
          <w:rFonts w:ascii="Times New Roman" w:hAnsi="Times New Roman" w:cs="Times New Roman"/>
          <w:b w:val="0"/>
          <w:sz w:val="24"/>
          <w:szCs w:val="24"/>
          <w:vertAlign w:val="superscript"/>
        </w:rPr>
        <w:t>2</w:t>
      </w:r>
      <w:r w:rsidRPr="009C52C4">
        <w:rPr>
          <w:rFonts w:ascii="Times New Roman" w:hAnsi="Times New Roman" w:cs="Times New Roman"/>
          <w:b w:val="0"/>
          <w:sz w:val="24"/>
          <w:szCs w:val="24"/>
        </w:rPr>
        <w:t>K)], građevnih dijelova s plošnom masom većom od 100 kg/m (prema srednjoj mjesečnoj temperaturi vanjskog zraka najhladnijeg mjeseca na lokaciji zgrade)</w:t>
      </w:r>
      <w:bookmarkEnd w:id="8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71"/>
        <w:gridCol w:w="1221"/>
        <w:gridCol w:w="1217"/>
        <w:gridCol w:w="1217"/>
        <w:gridCol w:w="1226"/>
      </w:tblGrid>
      <w:tr w:rsidR="006730B1" w:rsidRPr="009C52C4" w14:paraId="61D32093" w14:textId="77777777" w:rsidTr="00887E64">
        <w:tc>
          <w:tcPr>
            <w:tcW w:w="2333" w:type="pct"/>
            <w:vMerge w:val="restart"/>
            <w:shd w:val="clear" w:color="auto" w:fill="C2D69B"/>
            <w:tcMar>
              <w:left w:w="40" w:type="dxa"/>
              <w:right w:w="40" w:type="dxa"/>
            </w:tcMar>
            <w:vAlign w:val="center"/>
          </w:tcPr>
          <w:p w14:paraId="6B9C9C70" w14:textId="77777777" w:rsidR="006730B1" w:rsidRPr="009C52C4" w:rsidRDefault="006730B1" w:rsidP="006730B1">
            <w:pPr>
              <w:jc w:val="left"/>
              <w:rPr>
                <w:rFonts w:ascii="Times New Roman" w:hAnsi="Times New Roman" w:cs="Times New Roman"/>
                <w:sz w:val="24"/>
                <w:szCs w:val="24"/>
              </w:rPr>
            </w:pPr>
            <w:r w:rsidRPr="009C52C4">
              <w:rPr>
                <w:rFonts w:ascii="Times New Roman" w:hAnsi="Times New Roman" w:cs="Times New Roman"/>
                <w:b/>
                <w:sz w:val="24"/>
                <w:szCs w:val="24"/>
              </w:rPr>
              <w:t>Građevni dio</w:t>
            </w:r>
          </w:p>
        </w:tc>
        <w:tc>
          <w:tcPr>
            <w:tcW w:w="2667" w:type="pct"/>
            <w:gridSpan w:val="4"/>
            <w:shd w:val="clear" w:color="auto" w:fill="C2D69B"/>
            <w:tcMar>
              <w:left w:w="40" w:type="dxa"/>
              <w:right w:w="40" w:type="dxa"/>
            </w:tcMar>
            <w:vAlign w:val="center"/>
          </w:tcPr>
          <w:p w14:paraId="722A74E3" w14:textId="77777777" w:rsidR="006730B1" w:rsidRPr="009C52C4" w:rsidRDefault="006730B1" w:rsidP="00D41DA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 [W/(m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K)]</w:t>
            </w:r>
          </w:p>
        </w:tc>
      </w:tr>
      <w:tr w:rsidR="006730B1" w:rsidRPr="009C52C4" w14:paraId="1D6C8366" w14:textId="77777777" w:rsidTr="00887E64">
        <w:tc>
          <w:tcPr>
            <w:tcW w:w="2333" w:type="pct"/>
            <w:vMerge/>
            <w:shd w:val="clear" w:color="auto" w:fill="C2D69B"/>
            <w:tcMar>
              <w:left w:w="40" w:type="dxa"/>
              <w:right w:w="40" w:type="dxa"/>
            </w:tcMar>
          </w:tcPr>
          <w:p w14:paraId="7B9587D5" w14:textId="77777777" w:rsidR="006730B1" w:rsidRPr="009C52C4" w:rsidRDefault="006730B1">
            <w:pPr>
              <w:rPr>
                <w:rFonts w:ascii="Times New Roman" w:hAnsi="Times New Roman" w:cs="Times New Roman"/>
                <w:sz w:val="24"/>
                <w:szCs w:val="24"/>
              </w:rPr>
            </w:pPr>
          </w:p>
        </w:tc>
        <w:tc>
          <w:tcPr>
            <w:tcW w:w="1332" w:type="pct"/>
            <w:gridSpan w:val="2"/>
            <w:shd w:val="clear" w:color="auto" w:fill="C2D69B"/>
            <w:tcMar>
              <w:left w:w="40" w:type="dxa"/>
              <w:right w:w="40" w:type="dxa"/>
            </w:tcMar>
          </w:tcPr>
          <w:p w14:paraId="3288EDD1" w14:textId="77777777" w:rsidR="006730B1" w:rsidRPr="009C52C4" w:rsidRDefault="006730B1" w:rsidP="00D41DA8">
            <w:pPr>
              <w:ind w:left="446" w:hanging="403"/>
              <w:jc w:val="center"/>
              <w:rPr>
                <w:rFonts w:ascii="Times New Roman" w:hAnsi="Times New Roman" w:cs="Times New Roman"/>
                <w:sz w:val="24"/>
                <w:szCs w:val="24"/>
              </w:rPr>
            </w:pPr>
            <w:r w:rsidRPr="009C52C4">
              <w:rPr>
                <w:rFonts w:ascii="Times New Roman" w:hAnsi="Times New Roman" w:cs="Times New Roman"/>
                <w:b/>
                <w:sz w:val="24"/>
                <w:szCs w:val="24"/>
              </w:rPr>
              <w:t>Qi ≥18 °C</w:t>
            </w:r>
          </w:p>
        </w:tc>
        <w:tc>
          <w:tcPr>
            <w:tcW w:w="1335" w:type="pct"/>
            <w:gridSpan w:val="2"/>
            <w:shd w:val="clear" w:color="auto" w:fill="C2D69B" w:themeFill="accent3" w:themeFillTint="99"/>
            <w:tcMar>
              <w:left w:w="40" w:type="dxa"/>
              <w:right w:w="40" w:type="dxa"/>
            </w:tcMar>
          </w:tcPr>
          <w:p w14:paraId="4A183315" w14:textId="77777777" w:rsidR="006730B1" w:rsidRPr="009C52C4" w:rsidRDefault="006730B1" w:rsidP="00D41DA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12°C &lt; Qi &lt; 18 °C</w:t>
            </w:r>
          </w:p>
        </w:tc>
      </w:tr>
      <w:tr w:rsidR="006730B1" w:rsidRPr="009C52C4" w14:paraId="7EB2E3A1" w14:textId="77777777" w:rsidTr="00887E64">
        <w:tc>
          <w:tcPr>
            <w:tcW w:w="2333" w:type="pct"/>
            <w:vMerge/>
            <w:shd w:val="clear" w:color="auto" w:fill="C2D69B"/>
            <w:tcMar>
              <w:left w:w="40" w:type="dxa"/>
              <w:right w:w="40" w:type="dxa"/>
            </w:tcMar>
          </w:tcPr>
          <w:p w14:paraId="66F9A091" w14:textId="77777777" w:rsidR="006730B1" w:rsidRPr="009C52C4" w:rsidRDefault="006730B1">
            <w:pPr>
              <w:rPr>
                <w:rFonts w:ascii="Times New Roman" w:hAnsi="Times New Roman" w:cs="Times New Roman"/>
                <w:sz w:val="24"/>
                <w:szCs w:val="24"/>
              </w:rPr>
            </w:pPr>
          </w:p>
        </w:tc>
        <w:tc>
          <w:tcPr>
            <w:tcW w:w="667" w:type="pct"/>
            <w:shd w:val="clear" w:color="auto" w:fill="C2D69B"/>
            <w:tcMar>
              <w:left w:w="40" w:type="dxa"/>
              <w:right w:w="40" w:type="dxa"/>
            </w:tcMar>
          </w:tcPr>
          <w:p w14:paraId="1191C394"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Qe,mj, min &gt;3 °C</w:t>
            </w:r>
          </w:p>
        </w:tc>
        <w:tc>
          <w:tcPr>
            <w:tcW w:w="665" w:type="pct"/>
            <w:shd w:val="clear" w:color="auto" w:fill="C2D69B"/>
            <w:tcMar>
              <w:left w:w="40" w:type="dxa"/>
              <w:right w:w="40" w:type="dxa"/>
            </w:tcMar>
          </w:tcPr>
          <w:p w14:paraId="2008C3A2"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Qe,mj, min ≤3 °C</w:t>
            </w:r>
          </w:p>
        </w:tc>
        <w:tc>
          <w:tcPr>
            <w:tcW w:w="665" w:type="pct"/>
            <w:shd w:val="clear" w:color="auto" w:fill="C2D69B"/>
            <w:tcMar>
              <w:left w:w="40" w:type="dxa"/>
              <w:right w:w="40" w:type="dxa"/>
            </w:tcMar>
          </w:tcPr>
          <w:p w14:paraId="0B45E08B"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Qe,mj, min &gt;3 °C</w:t>
            </w:r>
          </w:p>
        </w:tc>
        <w:tc>
          <w:tcPr>
            <w:tcW w:w="670" w:type="pct"/>
            <w:shd w:val="clear" w:color="auto" w:fill="C2D69B"/>
            <w:tcMar>
              <w:left w:w="40" w:type="dxa"/>
              <w:right w:w="40" w:type="dxa"/>
            </w:tcMar>
          </w:tcPr>
          <w:p w14:paraId="12C3DAF0" w14:textId="77777777" w:rsidR="006730B1" w:rsidRPr="009C52C4" w:rsidRDefault="006730B1">
            <w:pPr>
              <w:jc w:val="center"/>
              <w:rPr>
                <w:rFonts w:ascii="Times New Roman" w:hAnsi="Times New Roman" w:cs="Times New Roman"/>
                <w:sz w:val="24"/>
                <w:szCs w:val="24"/>
              </w:rPr>
            </w:pPr>
            <w:r w:rsidRPr="009C52C4">
              <w:rPr>
                <w:rFonts w:ascii="Times New Roman" w:hAnsi="Times New Roman" w:cs="Times New Roman"/>
                <w:b/>
                <w:sz w:val="24"/>
                <w:szCs w:val="24"/>
              </w:rPr>
              <w:t>Qe,mj, min ≤3 °C</w:t>
            </w:r>
          </w:p>
        </w:tc>
      </w:tr>
      <w:tr w:rsidR="00B122B4" w:rsidRPr="009C52C4" w14:paraId="38115A95" w14:textId="77777777" w:rsidTr="00887E64">
        <w:tc>
          <w:tcPr>
            <w:tcW w:w="2333" w:type="pct"/>
            <w:shd w:val="clear" w:color="auto" w:fill="EAF1DD"/>
            <w:tcMar>
              <w:left w:w="40" w:type="dxa"/>
              <w:right w:w="40" w:type="dxa"/>
            </w:tcMar>
          </w:tcPr>
          <w:p w14:paraId="2FD38B67"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Vanjski zidovi, zidovi prema garaži, tavanu</w:t>
            </w:r>
          </w:p>
        </w:tc>
        <w:tc>
          <w:tcPr>
            <w:tcW w:w="667" w:type="pct"/>
            <w:shd w:val="clear" w:color="auto" w:fill="EAF1DD"/>
            <w:tcMar>
              <w:left w:w="40" w:type="dxa"/>
              <w:right w:w="40" w:type="dxa"/>
            </w:tcMar>
          </w:tcPr>
          <w:p w14:paraId="6197C841"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0,60</w:t>
            </w:r>
          </w:p>
        </w:tc>
        <w:tc>
          <w:tcPr>
            <w:tcW w:w="665" w:type="pct"/>
            <w:shd w:val="clear" w:color="auto" w:fill="EAF1DD"/>
            <w:tcMar>
              <w:left w:w="40" w:type="dxa"/>
              <w:right w:w="40" w:type="dxa"/>
            </w:tcMar>
          </w:tcPr>
          <w:p w14:paraId="16EA5DA7"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0,45</w:t>
            </w:r>
          </w:p>
        </w:tc>
        <w:tc>
          <w:tcPr>
            <w:tcW w:w="665" w:type="pct"/>
            <w:shd w:val="clear" w:color="auto" w:fill="EAF1DD"/>
            <w:tcMar>
              <w:left w:w="40" w:type="dxa"/>
              <w:right w:w="40" w:type="dxa"/>
            </w:tcMar>
          </w:tcPr>
          <w:p w14:paraId="381782B2"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0,75</w:t>
            </w:r>
          </w:p>
        </w:tc>
        <w:tc>
          <w:tcPr>
            <w:tcW w:w="670" w:type="pct"/>
            <w:shd w:val="clear" w:color="auto" w:fill="EAF1DD"/>
            <w:tcMar>
              <w:left w:w="40" w:type="dxa"/>
              <w:right w:w="40" w:type="dxa"/>
            </w:tcMar>
          </w:tcPr>
          <w:p w14:paraId="78FDB4E3" w14:textId="77777777" w:rsidR="00B122B4" w:rsidRPr="009C52C4" w:rsidRDefault="00F54CC3">
            <w:pPr>
              <w:jc w:val="center"/>
              <w:rPr>
                <w:rFonts w:ascii="Times New Roman" w:hAnsi="Times New Roman" w:cs="Times New Roman"/>
                <w:sz w:val="24"/>
                <w:szCs w:val="24"/>
              </w:rPr>
            </w:pPr>
            <w:r w:rsidRPr="009C52C4">
              <w:rPr>
                <w:rFonts w:ascii="Times New Roman" w:hAnsi="Times New Roman" w:cs="Times New Roman"/>
                <w:sz w:val="24"/>
                <w:szCs w:val="24"/>
              </w:rPr>
              <w:t>0,75</w:t>
            </w:r>
          </w:p>
        </w:tc>
      </w:tr>
      <w:tr w:rsidR="00B122B4" w:rsidRPr="009C52C4" w14:paraId="549156E3" w14:textId="77777777" w:rsidTr="00887E64">
        <w:tc>
          <w:tcPr>
            <w:tcW w:w="2333" w:type="pct"/>
            <w:shd w:val="clear" w:color="auto" w:fill="EAF1DD"/>
            <w:tcMar>
              <w:left w:w="40" w:type="dxa"/>
              <w:right w:w="40" w:type="dxa"/>
            </w:tcMar>
          </w:tcPr>
          <w:p w14:paraId="0CCCD22F"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Prozori, balkonska vrata, krovni prozori, prozirni elementi pročelja</w:t>
            </w:r>
          </w:p>
        </w:tc>
        <w:tc>
          <w:tcPr>
            <w:tcW w:w="667" w:type="pct"/>
            <w:shd w:val="clear" w:color="auto" w:fill="EAF1DD"/>
            <w:tcMar>
              <w:left w:w="40" w:type="dxa"/>
              <w:right w:w="40" w:type="dxa"/>
            </w:tcMar>
          </w:tcPr>
          <w:p w14:paraId="28A81690"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1,80</w:t>
            </w:r>
          </w:p>
        </w:tc>
        <w:tc>
          <w:tcPr>
            <w:tcW w:w="665" w:type="pct"/>
            <w:shd w:val="clear" w:color="auto" w:fill="EAF1DD"/>
            <w:tcMar>
              <w:left w:w="40" w:type="dxa"/>
              <w:right w:w="40" w:type="dxa"/>
            </w:tcMar>
          </w:tcPr>
          <w:p w14:paraId="537662B6"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1,80</w:t>
            </w:r>
          </w:p>
        </w:tc>
        <w:tc>
          <w:tcPr>
            <w:tcW w:w="665" w:type="pct"/>
            <w:shd w:val="clear" w:color="auto" w:fill="EAF1DD"/>
            <w:tcMar>
              <w:left w:w="40" w:type="dxa"/>
              <w:right w:w="40" w:type="dxa"/>
            </w:tcMar>
          </w:tcPr>
          <w:p w14:paraId="7FB5B622"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3,00</w:t>
            </w:r>
          </w:p>
        </w:tc>
        <w:tc>
          <w:tcPr>
            <w:tcW w:w="670" w:type="pct"/>
            <w:shd w:val="clear" w:color="auto" w:fill="EAF1DD"/>
            <w:tcMar>
              <w:left w:w="40" w:type="dxa"/>
              <w:right w:w="40" w:type="dxa"/>
            </w:tcMar>
          </w:tcPr>
          <w:p w14:paraId="79192445"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3,00</w:t>
            </w:r>
          </w:p>
        </w:tc>
      </w:tr>
      <w:tr w:rsidR="00B122B4" w:rsidRPr="009C52C4" w14:paraId="4E61AAE1" w14:textId="77777777" w:rsidTr="00887E64">
        <w:tc>
          <w:tcPr>
            <w:tcW w:w="2333" w:type="pct"/>
            <w:shd w:val="clear" w:color="auto" w:fill="EAF1DD"/>
            <w:tcMar>
              <w:left w:w="40" w:type="dxa"/>
              <w:right w:w="40" w:type="dxa"/>
            </w:tcMar>
          </w:tcPr>
          <w:p w14:paraId="66BF2AFD"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Ravni i kosi krovovi iznad grijanog prostora, stropovi prema tavanu</w:t>
            </w:r>
          </w:p>
        </w:tc>
        <w:tc>
          <w:tcPr>
            <w:tcW w:w="667" w:type="pct"/>
            <w:shd w:val="clear" w:color="auto" w:fill="EAF1DD"/>
            <w:tcMar>
              <w:left w:w="40" w:type="dxa"/>
              <w:right w:w="40" w:type="dxa"/>
            </w:tcMar>
          </w:tcPr>
          <w:p w14:paraId="4EE114A9"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0,40</w:t>
            </w:r>
          </w:p>
        </w:tc>
        <w:tc>
          <w:tcPr>
            <w:tcW w:w="665" w:type="pct"/>
            <w:shd w:val="clear" w:color="auto" w:fill="EAF1DD"/>
            <w:tcMar>
              <w:left w:w="40" w:type="dxa"/>
              <w:right w:w="40" w:type="dxa"/>
            </w:tcMar>
          </w:tcPr>
          <w:p w14:paraId="2BE26EB0"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0,30</w:t>
            </w:r>
          </w:p>
        </w:tc>
        <w:tc>
          <w:tcPr>
            <w:tcW w:w="665" w:type="pct"/>
            <w:shd w:val="clear" w:color="auto" w:fill="EAF1DD"/>
            <w:tcMar>
              <w:left w:w="40" w:type="dxa"/>
              <w:right w:w="40" w:type="dxa"/>
            </w:tcMar>
          </w:tcPr>
          <w:p w14:paraId="28BD20DE"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670" w:type="pct"/>
            <w:shd w:val="clear" w:color="auto" w:fill="EAF1DD"/>
            <w:tcMar>
              <w:left w:w="40" w:type="dxa"/>
              <w:right w:w="40" w:type="dxa"/>
            </w:tcMar>
          </w:tcPr>
          <w:p w14:paraId="7AA2B0B3"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0,40</w:t>
            </w:r>
          </w:p>
        </w:tc>
      </w:tr>
      <w:tr w:rsidR="00B122B4" w:rsidRPr="009C52C4" w14:paraId="031A9CA0" w14:textId="77777777" w:rsidTr="00887E64">
        <w:tc>
          <w:tcPr>
            <w:tcW w:w="2333" w:type="pct"/>
            <w:shd w:val="clear" w:color="auto" w:fill="EAF1DD"/>
            <w:tcMar>
              <w:left w:w="40" w:type="dxa"/>
              <w:right w:w="40" w:type="dxa"/>
            </w:tcMar>
          </w:tcPr>
          <w:p w14:paraId="13E54A4A"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Stropovi iznad vanjskog zraka, stropovi iznad garaže</w:t>
            </w:r>
          </w:p>
        </w:tc>
        <w:tc>
          <w:tcPr>
            <w:tcW w:w="667" w:type="pct"/>
            <w:shd w:val="clear" w:color="auto" w:fill="EAF1DD"/>
            <w:tcMar>
              <w:left w:w="40" w:type="dxa"/>
              <w:right w:w="40" w:type="dxa"/>
            </w:tcMar>
          </w:tcPr>
          <w:p w14:paraId="5E5FB679"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0,40</w:t>
            </w:r>
          </w:p>
        </w:tc>
        <w:tc>
          <w:tcPr>
            <w:tcW w:w="665" w:type="pct"/>
            <w:shd w:val="clear" w:color="auto" w:fill="EAF1DD"/>
            <w:tcMar>
              <w:left w:w="40" w:type="dxa"/>
              <w:right w:w="40" w:type="dxa"/>
            </w:tcMar>
          </w:tcPr>
          <w:p w14:paraId="18E825A3"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0,30</w:t>
            </w:r>
          </w:p>
        </w:tc>
        <w:tc>
          <w:tcPr>
            <w:tcW w:w="665" w:type="pct"/>
            <w:shd w:val="clear" w:color="auto" w:fill="EAF1DD"/>
            <w:tcMar>
              <w:left w:w="40" w:type="dxa"/>
              <w:right w:w="40" w:type="dxa"/>
            </w:tcMar>
          </w:tcPr>
          <w:p w14:paraId="1CF8A45A"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670" w:type="pct"/>
            <w:shd w:val="clear" w:color="auto" w:fill="EAF1DD"/>
            <w:tcMar>
              <w:left w:w="40" w:type="dxa"/>
              <w:right w:w="40" w:type="dxa"/>
            </w:tcMar>
          </w:tcPr>
          <w:p w14:paraId="09C5C4C6"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0,40</w:t>
            </w:r>
          </w:p>
        </w:tc>
      </w:tr>
      <w:tr w:rsidR="00B122B4" w:rsidRPr="009C52C4" w14:paraId="1DB46EA7" w14:textId="77777777" w:rsidTr="00887E64">
        <w:tc>
          <w:tcPr>
            <w:tcW w:w="2333" w:type="pct"/>
            <w:shd w:val="clear" w:color="auto" w:fill="EAF1DD"/>
            <w:tcMar>
              <w:left w:w="40" w:type="dxa"/>
              <w:right w:w="40" w:type="dxa"/>
            </w:tcMar>
          </w:tcPr>
          <w:p w14:paraId="2EF75E8C"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Zidovi i stropovi prema negrijanim prostorijama i negrijanom stubištu temperature više od 0°C</w:t>
            </w:r>
          </w:p>
        </w:tc>
        <w:tc>
          <w:tcPr>
            <w:tcW w:w="667" w:type="pct"/>
            <w:shd w:val="clear" w:color="auto" w:fill="EAF1DD"/>
            <w:tcMar>
              <w:left w:w="40" w:type="dxa"/>
              <w:right w:w="40" w:type="dxa"/>
            </w:tcMar>
          </w:tcPr>
          <w:p w14:paraId="62F2F215"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0,65</w:t>
            </w:r>
          </w:p>
        </w:tc>
        <w:tc>
          <w:tcPr>
            <w:tcW w:w="665" w:type="pct"/>
            <w:shd w:val="clear" w:color="auto" w:fill="EAF1DD"/>
            <w:tcMar>
              <w:left w:w="40" w:type="dxa"/>
              <w:right w:w="40" w:type="dxa"/>
            </w:tcMar>
          </w:tcPr>
          <w:p w14:paraId="1D3DFC94"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665" w:type="pct"/>
            <w:shd w:val="clear" w:color="auto" w:fill="EAF1DD"/>
            <w:tcMar>
              <w:left w:w="40" w:type="dxa"/>
              <w:right w:w="40" w:type="dxa"/>
            </w:tcMar>
          </w:tcPr>
          <w:p w14:paraId="6E0F7149"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2,00</w:t>
            </w:r>
          </w:p>
        </w:tc>
        <w:tc>
          <w:tcPr>
            <w:tcW w:w="670" w:type="pct"/>
            <w:shd w:val="clear" w:color="auto" w:fill="EAF1DD"/>
            <w:tcMar>
              <w:left w:w="40" w:type="dxa"/>
              <w:right w:w="40" w:type="dxa"/>
            </w:tcMar>
          </w:tcPr>
          <w:p w14:paraId="6179EE36"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2,00</w:t>
            </w:r>
          </w:p>
        </w:tc>
      </w:tr>
      <w:tr w:rsidR="00B122B4" w:rsidRPr="009C52C4" w14:paraId="4A114180" w14:textId="77777777" w:rsidTr="00887E64">
        <w:tc>
          <w:tcPr>
            <w:tcW w:w="2333" w:type="pct"/>
            <w:shd w:val="clear" w:color="auto" w:fill="EAF1DD"/>
            <w:tcMar>
              <w:left w:w="40" w:type="dxa"/>
              <w:right w:w="40" w:type="dxa"/>
            </w:tcMar>
          </w:tcPr>
          <w:p w14:paraId="2E05B8C3"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Zidovi prema tlu, podovi na tlu</w:t>
            </w:r>
          </w:p>
        </w:tc>
        <w:tc>
          <w:tcPr>
            <w:tcW w:w="667" w:type="pct"/>
            <w:shd w:val="clear" w:color="auto" w:fill="EAF1DD"/>
            <w:tcMar>
              <w:left w:w="40" w:type="dxa"/>
              <w:right w:w="40" w:type="dxa"/>
            </w:tcMar>
          </w:tcPr>
          <w:p w14:paraId="2C8DDE3E"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665" w:type="pct"/>
            <w:shd w:val="clear" w:color="auto" w:fill="EAF1DD"/>
            <w:tcMar>
              <w:left w:w="40" w:type="dxa"/>
              <w:right w:w="40" w:type="dxa"/>
            </w:tcMar>
          </w:tcPr>
          <w:p w14:paraId="5993BC5A"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665" w:type="pct"/>
            <w:shd w:val="clear" w:color="auto" w:fill="EAF1DD"/>
            <w:tcMar>
              <w:left w:w="40" w:type="dxa"/>
              <w:right w:w="40" w:type="dxa"/>
            </w:tcMar>
          </w:tcPr>
          <w:p w14:paraId="13AD9BA5"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670" w:type="pct"/>
            <w:shd w:val="clear" w:color="auto" w:fill="EAF1DD"/>
            <w:tcMar>
              <w:left w:w="40" w:type="dxa"/>
              <w:right w:w="40" w:type="dxa"/>
            </w:tcMar>
          </w:tcPr>
          <w:p w14:paraId="0638BF58"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0,65</w:t>
            </w:r>
          </w:p>
        </w:tc>
      </w:tr>
      <w:tr w:rsidR="00B122B4" w:rsidRPr="009C52C4" w14:paraId="269FFF30" w14:textId="77777777" w:rsidTr="00887E64">
        <w:tc>
          <w:tcPr>
            <w:tcW w:w="2333" w:type="pct"/>
            <w:shd w:val="clear" w:color="auto" w:fill="EAF1DD"/>
            <w:tcMar>
              <w:left w:w="40" w:type="dxa"/>
              <w:right w:w="40" w:type="dxa"/>
            </w:tcMar>
          </w:tcPr>
          <w:p w14:paraId="130A9DA0"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Vanjska vrata, vrata prema negrijanom stubištu, s neprozirnim vratnim krilom</w:t>
            </w:r>
          </w:p>
        </w:tc>
        <w:tc>
          <w:tcPr>
            <w:tcW w:w="667" w:type="pct"/>
            <w:shd w:val="clear" w:color="auto" w:fill="EAF1DD"/>
            <w:tcMar>
              <w:left w:w="40" w:type="dxa"/>
              <w:right w:w="40" w:type="dxa"/>
            </w:tcMar>
          </w:tcPr>
          <w:p w14:paraId="194DB99A"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2,90</w:t>
            </w:r>
          </w:p>
        </w:tc>
        <w:tc>
          <w:tcPr>
            <w:tcW w:w="665" w:type="pct"/>
            <w:shd w:val="clear" w:color="auto" w:fill="EAF1DD"/>
            <w:tcMar>
              <w:left w:w="40" w:type="dxa"/>
              <w:right w:w="40" w:type="dxa"/>
            </w:tcMar>
          </w:tcPr>
          <w:p w14:paraId="55D5FE71"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2,90</w:t>
            </w:r>
          </w:p>
        </w:tc>
        <w:tc>
          <w:tcPr>
            <w:tcW w:w="665" w:type="pct"/>
            <w:shd w:val="clear" w:color="auto" w:fill="EAF1DD"/>
            <w:tcMar>
              <w:left w:w="40" w:type="dxa"/>
              <w:right w:w="40" w:type="dxa"/>
            </w:tcMar>
          </w:tcPr>
          <w:p w14:paraId="0D8F296B"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2,90</w:t>
            </w:r>
          </w:p>
        </w:tc>
        <w:tc>
          <w:tcPr>
            <w:tcW w:w="670" w:type="pct"/>
            <w:shd w:val="clear" w:color="auto" w:fill="EAF1DD"/>
            <w:tcMar>
              <w:left w:w="40" w:type="dxa"/>
              <w:right w:w="40" w:type="dxa"/>
            </w:tcMar>
          </w:tcPr>
          <w:p w14:paraId="4834A4B8"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2,90</w:t>
            </w:r>
          </w:p>
        </w:tc>
      </w:tr>
      <w:tr w:rsidR="00B122B4" w:rsidRPr="009C52C4" w14:paraId="234D4640" w14:textId="77777777" w:rsidTr="00887E64">
        <w:tc>
          <w:tcPr>
            <w:tcW w:w="2333" w:type="pct"/>
            <w:shd w:val="clear" w:color="auto" w:fill="EAF1DD"/>
            <w:tcMar>
              <w:left w:w="40" w:type="dxa"/>
              <w:right w:w="40" w:type="dxa"/>
            </w:tcMar>
          </w:tcPr>
          <w:p w14:paraId="630D8DD5" w14:textId="77777777" w:rsidR="00B122B4" w:rsidRPr="009C52C4" w:rsidRDefault="00E01856">
            <w:pPr>
              <w:widowControl w:val="0"/>
              <w:rPr>
                <w:rFonts w:ascii="Times New Roman" w:hAnsi="Times New Roman" w:cs="Times New Roman"/>
                <w:sz w:val="24"/>
                <w:szCs w:val="24"/>
              </w:rPr>
            </w:pPr>
            <w:r w:rsidRPr="009C52C4">
              <w:rPr>
                <w:rFonts w:ascii="Times New Roman" w:hAnsi="Times New Roman" w:cs="Times New Roman"/>
                <w:sz w:val="24"/>
                <w:szCs w:val="24"/>
              </w:rPr>
              <w:t>Stjenka</w:t>
            </w:r>
            <w:r w:rsidR="00F54CC3" w:rsidRPr="009C52C4">
              <w:rPr>
                <w:rFonts w:ascii="Times New Roman" w:hAnsi="Times New Roman" w:cs="Times New Roman"/>
                <w:sz w:val="24"/>
                <w:szCs w:val="24"/>
              </w:rPr>
              <w:t xml:space="preserve"> kutije za rolete</w:t>
            </w:r>
          </w:p>
        </w:tc>
        <w:tc>
          <w:tcPr>
            <w:tcW w:w="667" w:type="pct"/>
            <w:shd w:val="clear" w:color="auto" w:fill="EAF1DD"/>
            <w:tcMar>
              <w:left w:w="40" w:type="dxa"/>
              <w:right w:w="40" w:type="dxa"/>
            </w:tcMar>
          </w:tcPr>
          <w:p w14:paraId="1A070377"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665" w:type="pct"/>
            <w:shd w:val="clear" w:color="auto" w:fill="EAF1DD"/>
            <w:tcMar>
              <w:left w:w="40" w:type="dxa"/>
              <w:right w:w="40" w:type="dxa"/>
            </w:tcMar>
          </w:tcPr>
          <w:p w14:paraId="1A1CB2F7"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665" w:type="pct"/>
            <w:shd w:val="clear" w:color="auto" w:fill="EAF1DD"/>
            <w:tcMar>
              <w:left w:w="40" w:type="dxa"/>
              <w:right w:w="40" w:type="dxa"/>
            </w:tcMar>
          </w:tcPr>
          <w:p w14:paraId="5A0A7330"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670" w:type="pct"/>
            <w:shd w:val="clear" w:color="auto" w:fill="EAF1DD"/>
            <w:tcMar>
              <w:left w:w="40" w:type="dxa"/>
              <w:right w:w="40" w:type="dxa"/>
            </w:tcMar>
          </w:tcPr>
          <w:p w14:paraId="5DF1E0E3"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B122B4" w:rsidRPr="009C52C4" w14:paraId="5E1B0E3C" w14:textId="77777777" w:rsidTr="00887E64">
        <w:tc>
          <w:tcPr>
            <w:tcW w:w="2333" w:type="pct"/>
            <w:shd w:val="clear" w:color="auto" w:fill="EAF1DD"/>
            <w:tcMar>
              <w:left w:w="40" w:type="dxa"/>
              <w:right w:w="40" w:type="dxa"/>
            </w:tcMar>
          </w:tcPr>
          <w:p w14:paraId="668CBA4C" w14:textId="77777777" w:rsidR="00B122B4" w:rsidRPr="009C52C4" w:rsidRDefault="00F54CC3">
            <w:pPr>
              <w:widowControl w:val="0"/>
              <w:rPr>
                <w:rFonts w:ascii="Times New Roman" w:hAnsi="Times New Roman" w:cs="Times New Roman"/>
                <w:sz w:val="24"/>
                <w:szCs w:val="24"/>
              </w:rPr>
            </w:pPr>
            <w:r w:rsidRPr="009C52C4">
              <w:rPr>
                <w:rFonts w:ascii="Times New Roman" w:hAnsi="Times New Roman" w:cs="Times New Roman"/>
                <w:sz w:val="24"/>
                <w:szCs w:val="24"/>
              </w:rPr>
              <w:t>Stropovi između stanova, stropovi između grijanih radnih prostorija različitih korisnika</w:t>
            </w:r>
          </w:p>
        </w:tc>
        <w:tc>
          <w:tcPr>
            <w:tcW w:w="667" w:type="pct"/>
            <w:shd w:val="clear" w:color="auto" w:fill="EAF1DD"/>
            <w:tcMar>
              <w:left w:w="40" w:type="dxa"/>
              <w:right w:w="40" w:type="dxa"/>
            </w:tcMar>
          </w:tcPr>
          <w:p w14:paraId="3FD3E687"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1,40</w:t>
            </w:r>
          </w:p>
        </w:tc>
        <w:tc>
          <w:tcPr>
            <w:tcW w:w="665" w:type="pct"/>
            <w:shd w:val="clear" w:color="auto" w:fill="EAF1DD"/>
            <w:tcMar>
              <w:left w:w="40" w:type="dxa"/>
              <w:right w:w="40" w:type="dxa"/>
            </w:tcMar>
          </w:tcPr>
          <w:p w14:paraId="3F3F989E"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1,40</w:t>
            </w:r>
          </w:p>
        </w:tc>
        <w:tc>
          <w:tcPr>
            <w:tcW w:w="665" w:type="pct"/>
            <w:shd w:val="clear" w:color="auto" w:fill="EAF1DD"/>
            <w:tcMar>
              <w:left w:w="40" w:type="dxa"/>
              <w:right w:w="40" w:type="dxa"/>
            </w:tcMar>
          </w:tcPr>
          <w:p w14:paraId="05CEBB7F"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1,40</w:t>
            </w:r>
          </w:p>
        </w:tc>
        <w:tc>
          <w:tcPr>
            <w:tcW w:w="670" w:type="pct"/>
            <w:shd w:val="clear" w:color="auto" w:fill="EAF1DD"/>
            <w:tcMar>
              <w:left w:w="40" w:type="dxa"/>
              <w:right w:w="40" w:type="dxa"/>
            </w:tcMar>
          </w:tcPr>
          <w:p w14:paraId="66FB9F4C" w14:textId="77777777" w:rsidR="00B122B4" w:rsidRPr="009C52C4" w:rsidRDefault="00F54CC3">
            <w:pPr>
              <w:widowControl w:val="0"/>
              <w:jc w:val="center"/>
              <w:rPr>
                <w:rFonts w:ascii="Times New Roman" w:hAnsi="Times New Roman" w:cs="Times New Roman"/>
                <w:sz w:val="24"/>
                <w:szCs w:val="24"/>
              </w:rPr>
            </w:pPr>
            <w:r w:rsidRPr="009C52C4">
              <w:rPr>
                <w:rFonts w:ascii="Times New Roman" w:hAnsi="Times New Roman" w:cs="Times New Roman"/>
                <w:sz w:val="24"/>
                <w:szCs w:val="24"/>
              </w:rPr>
              <w:t>1,40</w:t>
            </w:r>
          </w:p>
        </w:tc>
      </w:tr>
    </w:tbl>
    <w:p w14:paraId="4EFDF5A7" w14:textId="77777777" w:rsidR="00B122B4" w:rsidRPr="009C52C4" w:rsidRDefault="00B122B4">
      <w:pPr>
        <w:rPr>
          <w:rFonts w:ascii="Times New Roman" w:hAnsi="Times New Roman" w:cs="Times New Roman"/>
          <w:sz w:val="24"/>
          <w:szCs w:val="24"/>
        </w:rPr>
      </w:pPr>
    </w:p>
    <w:p w14:paraId="7FC5EA0C" w14:textId="3CBEEDCB" w:rsidR="006730B1" w:rsidRPr="009C52C4" w:rsidRDefault="006730B1" w:rsidP="006730B1">
      <w:pPr>
        <w:pStyle w:val="Caption"/>
        <w:rPr>
          <w:rFonts w:ascii="Times New Roman" w:hAnsi="Times New Roman" w:cs="Times New Roman"/>
          <w:b w:val="0"/>
          <w:sz w:val="24"/>
          <w:szCs w:val="24"/>
        </w:rPr>
      </w:pPr>
      <w:bookmarkStart w:id="88" w:name="h.vx1227" w:colFirst="0" w:colLast="0"/>
      <w:bookmarkStart w:id="89" w:name="_Ref483404070"/>
      <w:bookmarkStart w:id="90" w:name="_Toc2681313"/>
      <w:bookmarkEnd w:id="88"/>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20</w:t>
      </w:r>
      <w:r w:rsidR="00B6149D" w:rsidRPr="009C52C4">
        <w:rPr>
          <w:rFonts w:ascii="Times New Roman" w:hAnsi="Times New Roman" w:cs="Times New Roman"/>
          <w:noProof/>
          <w:sz w:val="24"/>
          <w:szCs w:val="24"/>
        </w:rPr>
        <w:fldChar w:fldCharType="end"/>
      </w:r>
      <w:bookmarkEnd w:id="89"/>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Najveće dopuštene vrijednosti koeficijenta prolaska topline, U [W/(m</w:t>
      </w:r>
      <w:r w:rsidRPr="009C52C4">
        <w:rPr>
          <w:rFonts w:ascii="Times New Roman" w:hAnsi="Times New Roman" w:cs="Times New Roman"/>
          <w:b w:val="0"/>
          <w:sz w:val="24"/>
          <w:szCs w:val="24"/>
          <w:vertAlign w:val="superscript"/>
        </w:rPr>
        <w:t>2</w:t>
      </w:r>
      <w:r w:rsidRPr="009C52C4">
        <w:rPr>
          <w:rFonts w:ascii="Times New Roman" w:hAnsi="Times New Roman" w:cs="Times New Roman"/>
          <w:b w:val="0"/>
          <w:sz w:val="24"/>
          <w:szCs w:val="24"/>
        </w:rPr>
        <w:t>K)] za prozore i vrata</w:t>
      </w:r>
      <w:bookmarkEnd w:id="9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72"/>
        <w:gridCol w:w="1390"/>
        <w:gridCol w:w="1254"/>
        <w:gridCol w:w="2436"/>
      </w:tblGrid>
      <w:tr w:rsidR="00B122B4" w:rsidRPr="009C52C4" w14:paraId="7F0EFDB0" w14:textId="77777777" w:rsidTr="00887E64">
        <w:trPr>
          <w:trHeight w:val="240"/>
        </w:trPr>
        <w:tc>
          <w:tcPr>
            <w:tcW w:w="2224" w:type="pct"/>
            <w:tcBorders>
              <w:top w:val="single" w:sz="4" w:space="0" w:color="auto"/>
              <w:left w:val="single" w:sz="4" w:space="0" w:color="auto"/>
              <w:bottom w:val="single" w:sz="4" w:space="0" w:color="auto"/>
              <w:right w:val="nil"/>
            </w:tcBorders>
            <w:shd w:val="clear" w:color="auto" w:fill="C2D69B"/>
            <w:tcMar>
              <w:left w:w="40" w:type="dxa"/>
              <w:right w:w="40" w:type="dxa"/>
            </w:tcMar>
          </w:tcPr>
          <w:p w14:paraId="66B0BB27"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b/>
                <w:sz w:val="24"/>
                <w:szCs w:val="24"/>
              </w:rPr>
              <w:t>Minimalna toplinska zaštita</w:t>
            </w:r>
          </w:p>
        </w:tc>
        <w:tc>
          <w:tcPr>
            <w:tcW w:w="759" w:type="pct"/>
            <w:tcBorders>
              <w:top w:val="single" w:sz="4" w:space="0" w:color="auto"/>
              <w:left w:val="nil"/>
              <w:bottom w:val="single" w:sz="4" w:space="0" w:color="auto"/>
              <w:right w:val="nil"/>
            </w:tcBorders>
            <w:shd w:val="clear" w:color="auto" w:fill="C2D69B"/>
            <w:tcMar>
              <w:left w:w="40" w:type="dxa"/>
              <w:right w:w="40" w:type="dxa"/>
            </w:tcMar>
          </w:tcPr>
          <w:p w14:paraId="2508BD7B" w14:textId="77777777" w:rsidR="00B122B4" w:rsidRPr="009C52C4" w:rsidRDefault="00B122B4">
            <w:pPr>
              <w:rPr>
                <w:rFonts w:ascii="Times New Roman" w:hAnsi="Times New Roman" w:cs="Times New Roman"/>
                <w:sz w:val="24"/>
                <w:szCs w:val="24"/>
              </w:rPr>
            </w:pPr>
          </w:p>
        </w:tc>
        <w:tc>
          <w:tcPr>
            <w:tcW w:w="685" w:type="pct"/>
            <w:tcBorders>
              <w:top w:val="single" w:sz="4" w:space="0" w:color="auto"/>
              <w:left w:val="nil"/>
              <w:bottom w:val="single" w:sz="4" w:space="0" w:color="auto"/>
              <w:right w:val="nil"/>
            </w:tcBorders>
            <w:shd w:val="clear" w:color="auto" w:fill="C2D69B"/>
            <w:tcMar>
              <w:left w:w="40" w:type="dxa"/>
              <w:right w:w="40" w:type="dxa"/>
            </w:tcMar>
          </w:tcPr>
          <w:p w14:paraId="5B59EA41" w14:textId="77777777" w:rsidR="00B122B4" w:rsidRPr="009C52C4" w:rsidRDefault="00B122B4">
            <w:pPr>
              <w:rPr>
                <w:rFonts w:ascii="Times New Roman" w:hAnsi="Times New Roman" w:cs="Times New Roman"/>
                <w:sz w:val="24"/>
                <w:szCs w:val="24"/>
              </w:rPr>
            </w:pPr>
          </w:p>
        </w:tc>
        <w:tc>
          <w:tcPr>
            <w:tcW w:w="1331" w:type="pct"/>
            <w:tcBorders>
              <w:top w:val="single" w:sz="4" w:space="0" w:color="auto"/>
              <w:left w:val="nil"/>
              <w:bottom w:val="single" w:sz="4" w:space="0" w:color="auto"/>
              <w:right w:val="single" w:sz="4" w:space="0" w:color="auto"/>
            </w:tcBorders>
            <w:shd w:val="clear" w:color="auto" w:fill="C2D69B"/>
            <w:tcMar>
              <w:left w:w="40" w:type="dxa"/>
              <w:right w:w="40" w:type="dxa"/>
            </w:tcMar>
          </w:tcPr>
          <w:p w14:paraId="237C9FE6" w14:textId="77777777" w:rsidR="00B122B4" w:rsidRPr="009C52C4" w:rsidRDefault="00B122B4">
            <w:pPr>
              <w:rPr>
                <w:rFonts w:ascii="Times New Roman" w:hAnsi="Times New Roman" w:cs="Times New Roman"/>
                <w:sz w:val="24"/>
                <w:szCs w:val="24"/>
              </w:rPr>
            </w:pPr>
          </w:p>
        </w:tc>
      </w:tr>
      <w:tr w:rsidR="00D41DA8" w:rsidRPr="009C52C4" w14:paraId="537B8BF3" w14:textId="77777777" w:rsidTr="00887E64">
        <w:trPr>
          <w:trHeight w:val="240"/>
        </w:trPr>
        <w:tc>
          <w:tcPr>
            <w:tcW w:w="2224" w:type="pct"/>
            <w:vMerge w:val="restart"/>
            <w:tcBorders>
              <w:top w:val="single" w:sz="4" w:space="0" w:color="auto"/>
              <w:left w:val="single" w:sz="4" w:space="0" w:color="auto"/>
              <w:right w:val="single" w:sz="4" w:space="0" w:color="auto"/>
            </w:tcBorders>
            <w:shd w:val="clear" w:color="auto" w:fill="C2D69B"/>
            <w:tcMar>
              <w:left w:w="40" w:type="dxa"/>
              <w:right w:w="40" w:type="dxa"/>
            </w:tcMar>
            <w:vAlign w:val="center"/>
          </w:tcPr>
          <w:p w14:paraId="7D273F8C" w14:textId="77777777" w:rsidR="00D41DA8" w:rsidRPr="009C52C4" w:rsidRDefault="00D41DA8" w:rsidP="00D41DA8">
            <w:pPr>
              <w:jc w:val="left"/>
              <w:rPr>
                <w:rFonts w:ascii="Times New Roman" w:hAnsi="Times New Roman" w:cs="Times New Roman"/>
                <w:sz w:val="24"/>
                <w:szCs w:val="24"/>
              </w:rPr>
            </w:pPr>
            <w:r w:rsidRPr="009C52C4">
              <w:rPr>
                <w:rFonts w:ascii="Times New Roman" w:hAnsi="Times New Roman" w:cs="Times New Roman"/>
                <w:b/>
                <w:sz w:val="24"/>
                <w:szCs w:val="24"/>
              </w:rPr>
              <w:t>Ostakljenje</w:t>
            </w:r>
          </w:p>
        </w:tc>
        <w:tc>
          <w:tcPr>
            <w:tcW w:w="759" w:type="pct"/>
            <w:tcBorders>
              <w:top w:val="single" w:sz="4" w:space="0" w:color="auto"/>
              <w:left w:val="single" w:sz="4" w:space="0" w:color="auto"/>
              <w:bottom w:val="nil"/>
              <w:right w:val="single" w:sz="4" w:space="0" w:color="auto"/>
            </w:tcBorders>
            <w:shd w:val="clear" w:color="auto" w:fill="C2D69B"/>
            <w:tcMar>
              <w:left w:w="40" w:type="dxa"/>
              <w:right w:w="40" w:type="dxa"/>
            </w:tcMar>
          </w:tcPr>
          <w:p w14:paraId="65BDCC60" w14:textId="77777777" w:rsidR="00D41DA8" w:rsidRPr="009C52C4" w:rsidRDefault="00D41DA8" w:rsidP="00D41DA8">
            <w:pPr>
              <w:ind w:left="278"/>
              <w:rPr>
                <w:rFonts w:ascii="Times New Roman" w:hAnsi="Times New Roman" w:cs="Times New Roman"/>
                <w:sz w:val="24"/>
                <w:szCs w:val="24"/>
              </w:rPr>
            </w:pPr>
            <w:r w:rsidRPr="009C52C4">
              <w:rPr>
                <w:rFonts w:ascii="Times New Roman" w:hAnsi="Times New Roman" w:cs="Times New Roman"/>
                <w:b/>
                <w:sz w:val="24"/>
                <w:szCs w:val="24"/>
              </w:rPr>
              <w:t>Grijanje na</w:t>
            </w:r>
          </w:p>
        </w:tc>
        <w:tc>
          <w:tcPr>
            <w:tcW w:w="685" w:type="pct"/>
            <w:tcBorders>
              <w:top w:val="single" w:sz="4" w:space="0" w:color="auto"/>
              <w:left w:val="single" w:sz="4" w:space="0" w:color="auto"/>
              <w:bottom w:val="nil"/>
              <w:right w:val="single" w:sz="4" w:space="0" w:color="auto"/>
            </w:tcBorders>
            <w:shd w:val="clear" w:color="auto" w:fill="C2D69B"/>
            <w:tcMar>
              <w:left w:w="40" w:type="dxa"/>
              <w:right w:w="40" w:type="dxa"/>
            </w:tcMar>
          </w:tcPr>
          <w:p w14:paraId="3D567C15" w14:textId="77777777" w:rsidR="00D41DA8" w:rsidRPr="009C52C4" w:rsidRDefault="00D41DA8" w:rsidP="00D41DA8">
            <w:pPr>
              <w:jc w:val="center"/>
              <w:rPr>
                <w:rFonts w:ascii="Times New Roman" w:hAnsi="Times New Roman" w:cs="Times New Roman"/>
                <w:sz w:val="24"/>
                <w:szCs w:val="24"/>
              </w:rPr>
            </w:pPr>
            <w:r w:rsidRPr="009C52C4">
              <w:rPr>
                <w:rFonts w:ascii="Times New Roman" w:hAnsi="Times New Roman" w:cs="Times New Roman"/>
                <w:b/>
                <w:sz w:val="24"/>
                <w:szCs w:val="24"/>
              </w:rPr>
              <w:t>Grijanje na</w:t>
            </w:r>
          </w:p>
        </w:tc>
        <w:tc>
          <w:tcPr>
            <w:tcW w:w="1331" w:type="pct"/>
            <w:tcBorders>
              <w:top w:val="single" w:sz="4" w:space="0" w:color="auto"/>
              <w:left w:val="single" w:sz="4" w:space="0" w:color="auto"/>
              <w:bottom w:val="nil"/>
              <w:right w:val="single" w:sz="4" w:space="0" w:color="auto"/>
            </w:tcBorders>
            <w:shd w:val="clear" w:color="auto" w:fill="C2D69B"/>
            <w:tcMar>
              <w:left w:w="40" w:type="dxa"/>
              <w:right w:w="40" w:type="dxa"/>
            </w:tcMar>
          </w:tcPr>
          <w:p w14:paraId="39E2F91C" w14:textId="77777777" w:rsidR="00D41DA8" w:rsidRPr="009C52C4" w:rsidRDefault="00D41DA8" w:rsidP="00D41DA8">
            <w:pPr>
              <w:jc w:val="center"/>
              <w:rPr>
                <w:rFonts w:ascii="Times New Roman" w:hAnsi="Times New Roman" w:cs="Times New Roman"/>
                <w:sz w:val="24"/>
                <w:szCs w:val="24"/>
              </w:rPr>
            </w:pPr>
            <w:r w:rsidRPr="009C52C4">
              <w:rPr>
                <w:rFonts w:ascii="Times New Roman" w:hAnsi="Times New Roman" w:cs="Times New Roman"/>
                <w:b/>
                <w:sz w:val="24"/>
                <w:szCs w:val="24"/>
              </w:rPr>
              <w:t>Grijanje na</w:t>
            </w:r>
          </w:p>
        </w:tc>
      </w:tr>
      <w:tr w:rsidR="00D41DA8" w:rsidRPr="009C52C4" w14:paraId="16CCC120" w14:textId="77777777" w:rsidTr="00887E64">
        <w:trPr>
          <w:trHeight w:val="240"/>
        </w:trPr>
        <w:tc>
          <w:tcPr>
            <w:tcW w:w="2224" w:type="pct"/>
            <w:vMerge/>
            <w:tcBorders>
              <w:left w:val="single" w:sz="4" w:space="0" w:color="auto"/>
              <w:bottom w:val="single" w:sz="4" w:space="0" w:color="auto"/>
              <w:right w:val="single" w:sz="4" w:space="0" w:color="auto"/>
            </w:tcBorders>
            <w:shd w:val="clear" w:color="auto" w:fill="C2D69B"/>
            <w:tcMar>
              <w:left w:w="40" w:type="dxa"/>
              <w:right w:w="40" w:type="dxa"/>
            </w:tcMar>
          </w:tcPr>
          <w:p w14:paraId="45B4CEE1" w14:textId="77777777" w:rsidR="00D41DA8" w:rsidRPr="009C52C4" w:rsidRDefault="00D41DA8">
            <w:pPr>
              <w:rPr>
                <w:rFonts w:ascii="Times New Roman" w:hAnsi="Times New Roman" w:cs="Times New Roman"/>
                <w:sz w:val="24"/>
                <w:szCs w:val="24"/>
              </w:rPr>
            </w:pPr>
          </w:p>
        </w:tc>
        <w:tc>
          <w:tcPr>
            <w:tcW w:w="759" w:type="pct"/>
            <w:tcBorders>
              <w:top w:val="nil"/>
              <w:left w:val="single" w:sz="4" w:space="0" w:color="auto"/>
              <w:bottom w:val="single" w:sz="4" w:space="0" w:color="auto"/>
              <w:right w:val="single" w:sz="4" w:space="0" w:color="auto"/>
            </w:tcBorders>
            <w:shd w:val="clear" w:color="auto" w:fill="C2D69B"/>
            <w:tcMar>
              <w:left w:w="40" w:type="dxa"/>
              <w:right w:w="40" w:type="dxa"/>
            </w:tcMar>
          </w:tcPr>
          <w:p w14:paraId="44717344" w14:textId="77777777" w:rsidR="00D41DA8" w:rsidRPr="009C52C4" w:rsidRDefault="00D41DA8" w:rsidP="00D41DA8">
            <w:pPr>
              <w:ind w:left="461"/>
              <w:rPr>
                <w:rFonts w:ascii="Times New Roman" w:hAnsi="Times New Roman" w:cs="Times New Roman"/>
                <w:sz w:val="24"/>
                <w:szCs w:val="24"/>
              </w:rPr>
            </w:pPr>
            <w:r w:rsidRPr="009C52C4">
              <w:rPr>
                <w:rFonts w:ascii="Times New Roman" w:hAnsi="Times New Roman" w:cs="Times New Roman"/>
                <w:b/>
                <w:sz w:val="24"/>
                <w:szCs w:val="24"/>
              </w:rPr>
              <w:t>&gt;12°C</w:t>
            </w:r>
          </w:p>
        </w:tc>
        <w:tc>
          <w:tcPr>
            <w:tcW w:w="685" w:type="pct"/>
            <w:tcBorders>
              <w:top w:val="nil"/>
              <w:left w:val="single" w:sz="4" w:space="0" w:color="auto"/>
              <w:bottom w:val="single" w:sz="4" w:space="0" w:color="auto"/>
              <w:right w:val="single" w:sz="4" w:space="0" w:color="auto"/>
            </w:tcBorders>
            <w:shd w:val="clear" w:color="auto" w:fill="C2D69B"/>
            <w:tcMar>
              <w:left w:w="40" w:type="dxa"/>
              <w:right w:w="40" w:type="dxa"/>
            </w:tcMar>
          </w:tcPr>
          <w:p w14:paraId="4F5FD643" w14:textId="77777777" w:rsidR="00D41DA8" w:rsidRPr="009C52C4" w:rsidRDefault="00D41DA8" w:rsidP="00D41DA8">
            <w:pPr>
              <w:jc w:val="center"/>
              <w:rPr>
                <w:rFonts w:ascii="Times New Roman" w:hAnsi="Times New Roman" w:cs="Times New Roman"/>
                <w:sz w:val="24"/>
                <w:szCs w:val="24"/>
              </w:rPr>
            </w:pPr>
            <w:r w:rsidRPr="009C52C4">
              <w:rPr>
                <w:rFonts w:ascii="Times New Roman" w:hAnsi="Times New Roman" w:cs="Times New Roman"/>
                <w:b/>
                <w:sz w:val="24"/>
                <w:szCs w:val="24"/>
              </w:rPr>
              <w:t>&gt;12 i &lt;18°C</w:t>
            </w:r>
          </w:p>
        </w:tc>
        <w:tc>
          <w:tcPr>
            <w:tcW w:w="1331" w:type="pct"/>
            <w:tcBorders>
              <w:top w:val="nil"/>
              <w:left w:val="single" w:sz="4" w:space="0" w:color="auto"/>
              <w:bottom w:val="single" w:sz="4" w:space="0" w:color="auto"/>
              <w:right w:val="single" w:sz="4" w:space="0" w:color="auto"/>
            </w:tcBorders>
            <w:shd w:val="clear" w:color="auto" w:fill="C2D69B"/>
            <w:tcMar>
              <w:left w:w="40" w:type="dxa"/>
              <w:right w:w="40" w:type="dxa"/>
            </w:tcMar>
          </w:tcPr>
          <w:p w14:paraId="2AABAB06" w14:textId="77777777" w:rsidR="00D41DA8" w:rsidRPr="009C52C4" w:rsidRDefault="00D41DA8" w:rsidP="00D41DA8">
            <w:pPr>
              <w:jc w:val="center"/>
              <w:rPr>
                <w:rFonts w:ascii="Times New Roman" w:hAnsi="Times New Roman" w:cs="Times New Roman"/>
                <w:sz w:val="24"/>
                <w:szCs w:val="24"/>
              </w:rPr>
            </w:pPr>
            <w:r w:rsidRPr="009C52C4">
              <w:rPr>
                <w:rFonts w:ascii="Times New Roman" w:hAnsi="Times New Roman" w:cs="Times New Roman"/>
                <w:b/>
                <w:sz w:val="24"/>
                <w:szCs w:val="24"/>
              </w:rPr>
              <w:t>≥18°C</w:t>
            </w:r>
          </w:p>
        </w:tc>
      </w:tr>
      <w:tr w:rsidR="00085F53" w:rsidRPr="009C52C4" w14:paraId="6FD1D0F6" w14:textId="77777777" w:rsidTr="00887E64">
        <w:trPr>
          <w:trHeight w:val="519"/>
        </w:trPr>
        <w:tc>
          <w:tcPr>
            <w:tcW w:w="2224" w:type="pct"/>
            <w:tcBorders>
              <w:top w:val="single" w:sz="4" w:space="0" w:color="auto"/>
            </w:tcBorders>
            <w:shd w:val="clear" w:color="auto" w:fill="EAF1DD"/>
            <w:tcMar>
              <w:left w:w="40" w:type="dxa"/>
              <w:right w:w="40" w:type="dxa"/>
            </w:tcMar>
          </w:tcPr>
          <w:p w14:paraId="4819A817" w14:textId="77777777" w:rsidR="00085F53" w:rsidRPr="009C52C4" w:rsidRDefault="00085F53" w:rsidP="00085F53">
            <w:pPr>
              <w:rPr>
                <w:rFonts w:ascii="Times New Roman" w:hAnsi="Times New Roman" w:cs="Times New Roman"/>
                <w:sz w:val="24"/>
                <w:szCs w:val="24"/>
              </w:rPr>
            </w:pPr>
            <w:r w:rsidRPr="009C52C4">
              <w:rPr>
                <w:rFonts w:ascii="Times New Roman" w:hAnsi="Times New Roman" w:cs="Times New Roman"/>
                <w:sz w:val="24"/>
                <w:szCs w:val="24"/>
              </w:rPr>
              <w:t>Prozori, balkonska vrata, krovni prozori i drugi prozirni elementi</w:t>
            </w:r>
          </w:p>
        </w:tc>
        <w:tc>
          <w:tcPr>
            <w:tcW w:w="759" w:type="pct"/>
            <w:tcBorders>
              <w:top w:val="single" w:sz="4" w:space="0" w:color="auto"/>
            </w:tcBorders>
            <w:shd w:val="clear" w:color="auto" w:fill="EAF1DD"/>
            <w:tcMar>
              <w:left w:w="40" w:type="dxa"/>
              <w:right w:w="40" w:type="dxa"/>
            </w:tcMar>
            <w:vAlign w:val="center"/>
          </w:tcPr>
          <w:p w14:paraId="1B524E6D" w14:textId="77777777" w:rsidR="00085F53" w:rsidRPr="009C52C4" w:rsidRDefault="00085F53" w:rsidP="00085F53">
            <w:pPr>
              <w:ind w:left="682"/>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685" w:type="pct"/>
            <w:tcBorders>
              <w:top w:val="single" w:sz="4" w:space="0" w:color="auto"/>
            </w:tcBorders>
            <w:shd w:val="clear" w:color="auto" w:fill="EAF1DD"/>
            <w:tcMar>
              <w:left w:w="40" w:type="dxa"/>
              <w:right w:w="40" w:type="dxa"/>
            </w:tcMar>
            <w:vAlign w:val="center"/>
          </w:tcPr>
          <w:p w14:paraId="3F977DCB" w14:textId="77777777" w:rsidR="00085F53" w:rsidRPr="009C52C4" w:rsidRDefault="00085F53" w:rsidP="00085F53">
            <w:pPr>
              <w:jc w:val="center"/>
              <w:rPr>
                <w:rFonts w:ascii="Times New Roman" w:hAnsi="Times New Roman" w:cs="Times New Roman"/>
                <w:sz w:val="24"/>
                <w:szCs w:val="24"/>
              </w:rPr>
            </w:pPr>
            <w:r w:rsidRPr="009C52C4">
              <w:rPr>
                <w:rFonts w:ascii="Times New Roman" w:hAnsi="Times New Roman" w:cs="Times New Roman"/>
                <w:sz w:val="24"/>
                <w:szCs w:val="24"/>
              </w:rPr>
              <w:t>≤1,8</w:t>
            </w:r>
          </w:p>
        </w:tc>
        <w:tc>
          <w:tcPr>
            <w:tcW w:w="1331" w:type="pct"/>
            <w:tcBorders>
              <w:top w:val="single" w:sz="4" w:space="0" w:color="auto"/>
            </w:tcBorders>
            <w:shd w:val="clear" w:color="auto" w:fill="EAF1DD"/>
            <w:tcMar>
              <w:left w:w="40" w:type="dxa"/>
              <w:right w:w="40" w:type="dxa"/>
            </w:tcMar>
            <w:vAlign w:val="center"/>
          </w:tcPr>
          <w:p w14:paraId="31C1B88D" w14:textId="77777777" w:rsidR="00085F53" w:rsidRPr="009C52C4" w:rsidRDefault="00085F53" w:rsidP="00085F53">
            <w:pPr>
              <w:jc w:val="center"/>
              <w:rPr>
                <w:rFonts w:ascii="Times New Roman" w:hAnsi="Times New Roman" w:cs="Times New Roman"/>
                <w:sz w:val="24"/>
                <w:szCs w:val="24"/>
              </w:rPr>
            </w:pPr>
            <w:r w:rsidRPr="009C52C4">
              <w:rPr>
                <w:rFonts w:ascii="Times New Roman" w:hAnsi="Times New Roman" w:cs="Times New Roman"/>
                <w:sz w:val="24"/>
                <w:szCs w:val="24"/>
              </w:rPr>
              <w:t>&lt;3,0</w:t>
            </w:r>
          </w:p>
        </w:tc>
      </w:tr>
      <w:tr w:rsidR="00B122B4" w:rsidRPr="009C52C4" w14:paraId="19E569D8" w14:textId="77777777" w:rsidTr="00887E64">
        <w:trPr>
          <w:trHeight w:val="240"/>
        </w:trPr>
        <w:tc>
          <w:tcPr>
            <w:tcW w:w="2224" w:type="pct"/>
            <w:shd w:val="clear" w:color="auto" w:fill="EAF1DD"/>
            <w:tcMar>
              <w:left w:w="40" w:type="dxa"/>
              <w:right w:w="40" w:type="dxa"/>
            </w:tcMar>
          </w:tcPr>
          <w:p w14:paraId="5F4A621B"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Kutija za rolete</w:t>
            </w:r>
          </w:p>
        </w:tc>
        <w:tc>
          <w:tcPr>
            <w:tcW w:w="759" w:type="pct"/>
            <w:shd w:val="clear" w:color="auto" w:fill="EAF1DD"/>
            <w:tcMar>
              <w:left w:w="40" w:type="dxa"/>
              <w:right w:w="40" w:type="dxa"/>
            </w:tcMar>
            <w:vAlign w:val="center"/>
          </w:tcPr>
          <w:p w14:paraId="43A27FA6" w14:textId="77777777" w:rsidR="00B122B4" w:rsidRPr="009C52C4" w:rsidRDefault="00F54CC3" w:rsidP="00085F53">
            <w:pPr>
              <w:ind w:left="538"/>
              <w:jc w:val="center"/>
              <w:rPr>
                <w:rFonts w:ascii="Times New Roman" w:hAnsi="Times New Roman" w:cs="Times New Roman"/>
                <w:sz w:val="24"/>
                <w:szCs w:val="24"/>
              </w:rPr>
            </w:pPr>
            <w:r w:rsidRPr="009C52C4">
              <w:rPr>
                <w:rFonts w:ascii="Times New Roman" w:hAnsi="Times New Roman" w:cs="Times New Roman"/>
                <w:sz w:val="24"/>
                <w:szCs w:val="24"/>
              </w:rPr>
              <w:t>≤0,8</w:t>
            </w:r>
          </w:p>
        </w:tc>
        <w:tc>
          <w:tcPr>
            <w:tcW w:w="685" w:type="pct"/>
            <w:shd w:val="clear" w:color="auto" w:fill="EAF1DD"/>
            <w:tcMar>
              <w:left w:w="40" w:type="dxa"/>
              <w:right w:w="40" w:type="dxa"/>
            </w:tcMar>
            <w:vAlign w:val="center"/>
          </w:tcPr>
          <w:p w14:paraId="4C07D4FA" w14:textId="77777777" w:rsidR="00B122B4" w:rsidRPr="009C52C4" w:rsidRDefault="00F54CC3" w:rsidP="00085F53">
            <w:pPr>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1331" w:type="pct"/>
            <w:shd w:val="clear" w:color="auto" w:fill="EAF1DD"/>
            <w:tcMar>
              <w:left w:w="40" w:type="dxa"/>
              <w:right w:w="40" w:type="dxa"/>
            </w:tcMar>
            <w:vAlign w:val="center"/>
          </w:tcPr>
          <w:p w14:paraId="63825435" w14:textId="77777777" w:rsidR="00B122B4" w:rsidRPr="009C52C4" w:rsidRDefault="00F54CC3" w:rsidP="00085F53">
            <w:pPr>
              <w:jc w:val="center"/>
              <w:rPr>
                <w:rFonts w:ascii="Times New Roman" w:hAnsi="Times New Roman" w:cs="Times New Roman"/>
                <w:sz w:val="24"/>
                <w:szCs w:val="24"/>
              </w:rPr>
            </w:pPr>
            <w:r w:rsidRPr="009C52C4">
              <w:rPr>
                <w:rFonts w:ascii="Times New Roman" w:hAnsi="Times New Roman" w:cs="Times New Roman"/>
                <w:sz w:val="24"/>
                <w:szCs w:val="24"/>
              </w:rPr>
              <w:t>-</w:t>
            </w:r>
          </w:p>
        </w:tc>
      </w:tr>
      <w:tr w:rsidR="00B122B4" w:rsidRPr="009C52C4" w14:paraId="0DA71BD3" w14:textId="77777777" w:rsidTr="00887E64">
        <w:trPr>
          <w:trHeight w:val="240"/>
        </w:trPr>
        <w:tc>
          <w:tcPr>
            <w:tcW w:w="2224" w:type="pct"/>
            <w:shd w:val="clear" w:color="auto" w:fill="EAF1DD"/>
            <w:tcMar>
              <w:left w:w="40" w:type="dxa"/>
              <w:right w:w="40" w:type="dxa"/>
            </w:tcMar>
          </w:tcPr>
          <w:p w14:paraId="111A4F39"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t xml:space="preserve">Vanjska vrata s neprozirnim vratnim </w:t>
            </w:r>
            <w:r w:rsidRPr="009C52C4">
              <w:rPr>
                <w:rFonts w:ascii="Times New Roman" w:hAnsi="Times New Roman" w:cs="Times New Roman"/>
                <w:sz w:val="24"/>
                <w:szCs w:val="24"/>
              </w:rPr>
              <w:lastRenderedPageBreak/>
              <w:t>krilom</w:t>
            </w:r>
          </w:p>
        </w:tc>
        <w:tc>
          <w:tcPr>
            <w:tcW w:w="759" w:type="pct"/>
            <w:shd w:val="clear" w:color="auto" w:fill="EAF1DD"/>
            <w:tcMar>
              <w:left w:w="40" w:type="dxa"/>
              <w:right w:w="40" w:type="dxa"/>
            </w:tcMar>
            <w:vAlign w:val="center"/>
          </w:tcPr>
          <w:p w14:paraId="395E09AF" w14:textId="77777777" w:rsidR="00B122B4" w:rsidRPr="009C52C4" w:rsidRDefault="00F54CC3" w:rsidP="00085F53">
            <w:pPr>
              <w:ind w:left="538"/>
              <w:jc w:val="center"/>
              <w:rPr>
                <w:rFonts w:ascii="Times New Roman" w:hAnsi="Times New Roman" w:cs="Times New Roman"/>
                <w:sz w:val="24"/>
                <w:szCs w:val="24"/>
              </w:rPr>
            </w:pPr>
            <w:r w:rsidRPr="009C52C4">
              <w:rPr>
                <w:rFonts w:ascii="Times New Roman" w:hAnsi="Times New Roman" w:cs="Times New Roman"/>
                <w:sz w:val="24"/>
                <w:szCs w:val="24"/>
              </w:rPr>
              <w:lastRenderedPageBreak/>
              <w:t>≤2,9</w:t>
            </w:r>
          </w:p>
        </w:tc>
        <w:tc>
          <w:tcPr>
            <w:tcW w:w="685" w:type="pct"/>
            <w:shd w:val="clear" w:color="auto" w:fill="EAF1DD"/>
            <w:tcMar>
              <w:left w:w="40" w:type="dxa"/>
              <w:right w:w="40" w:type="dxa"/>
            </w:tcMar>
            <w:vAlign w:val="center"/>
          </w:tcPr>
          <w:p w14:paraId="67A65F74" w14:textId="77777777" w:rsidR="00B122B4" w:rsidRPr="009C52C4" w:rsidRDefault="00F54CC3" w:rsidP="00085F53">
            <w:pPr>
              <w:jc w:val="center"/>
              <w:rPr>
                <w:rFonts w:ascii="Times New Roman" w:hAnsi="Times New Roman" w:cs="Times New Roman"/>
                <w:sz w:val="24"/>
                <w:szCs w:val="24"/>
              </w:rPr>
            </w:pPr>
            <w:r w:rsidRPr="009C52C4">
              <w:rPr>
                <w:rFonts w:ascii="Times New Roman" w:hAnsi="Times New Roman" w:cs="Times New Roman"/>
                <w:sz w:val="24"/>
                <w:szCs w:val="24"/>
              </w:rPr>
              <w:t>-</w:t>
            </w:r>
          </w:p>
        </w:tc>
        <w:tc>
          <w:tcPr>
            <w:tcW w:w="1331" w:type="pct"/>
            <w:shd w:val="clear" w:color="auto" w:fill="EAF1DD"/>
            <w:tcMar>
              <w:left w:w="40" w:type="dxa"/>
              <w:right w:w="40" w:type="dxa"/>
            </w:tcMar>
            <w:vAlign w:val="center"/>
          </w:tcPr>
          <w:p w14:paraId="74A8E005" w14:textId="77777777" w:rsidR="00B122B4" w:rsidRPr="009C52C4" w:rsidRDefault="00F54CC3" w:rsidP="00085F53">
            <w:pPr>
              <w:jc w:val="center"/>
              <w:rPr>
                <w:rFonts w:ascii="Times New Roman" w:hAnsi="Times New Roman" w:cs="Times New Roman"/>
                <w:sz w:val="24"/>
                <w:szCs w:val="24"/>
              </w:rPr>
            </w:pPr>
            <w:r w:rsidRPr="009C52C4">
              <w:rPr>
                <w:rFonts w:ascii="Times New Roman" w:hAnsi="Times New Roman" w:cs="Times New Roman"/>
                <w:sz w:val="24"/>
                <w:szCs w:val="24"/>
              </w:rPr>
              <w:t>-</w:t>
            </w:r>
          </w:p>
        </w:tc>
      </w:tr>
    </w:tbl>
    <w:p w14:paraId="5EE338CE" w14:textId="77777777" w:rsidR="00362848" w:rsidRPr="009C52C4" w:rsidRDefault="00362848" w:rsidP="00362848">
      <w:pPr>
        <w:spacing w:before="158"/>
        <w:rPr>
          <w:rFonts w:ascii="Times New Roman" w:hAnsi="Times New Roman" w:cs="Times New Roman"/>
          <w:sz w:val="24"/>
          <w:szCs w:val="24"/>
        </w:rPr>
      </w:pPr>
      <w:bookmarkStart w:id="91" w:name="h.3fwokq0" w:colFirst="0" w:colLast="0"/>
      <w:bookmarkEnd w:id="91"/>
    </w:p>
    <w:p w14:paraId="4E0717CB"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Nadalje, propis definira maksimalne dopuštene vrijednosti:</w:t>
      </w:r>
    </w:p>
    <w:p w14:paraId="0128A23D" w14:textId="703D5DEE" w:rsidR="00362848" w:rsidRPr="009C52C4" w:rsidRDefault="00362848" w:rsidP="004F09F1">
      <w:pPr>
        <w:pStyle w:val="ListParagraph"/>
        <w:numPr>
          <w:ilvl w:val="0"/>
          <w:numId w:val="32"/>
        </w:numPr>
        <w:tabs>
          <w:tab w:val="left" w:pos="125"/>
        </w:tabs>
        <w:rPr>
          <w:rFonts w:ascii="Times New Roman" w:hAnsi="Times New Roman" w:cs="Times New Roman"/>
          <w:sz w:val="24"/>
          <w:szCs w:val="24"/>
        </w:rPr>
      </w:pPr>
      <w:r w:rsidRPr="009C52C4">
        <w:rPr>
          <w:rFonts w:ascii="Times New Roman" w:hAnsi="Times New Roman" w:cs="Times New Roman"/>
          <w:sz w:val="24"/>
          <w:szCs w:val="24"/>
        </w:rPr>
        <w:t>godišnje potrebne topline za grijanje po jedinici ploštine korisne površine zgrade</w:t>
      </w:r>
    </w:p>
    <w:p w14:paraId="0EE4A952" w14:textId="7D4958D6" w:rsidR="00362848" w:rsidRPr="009C52C4" w:rsidRDefault="00362848" w:rsidP="004F09F1">
      <w:pPr>
        <w:pStyle w:val="ListParagraph"/>
        <w:numPr>
          <w:ilvl w:val="0"/>
          <w:numId w:val="32"/>
        </w:numPr>
        <w:tabs>
          <w:tab w:val="left" w:pos="125"/>
        </w:tabs>
        <w:rPr>
          <w:rFonts w:ascii="Times New Roman" w:hAnsi="Times New Roman" w:cs="Times New Roman"/>
          <w:sz w:val="24"/>
          <w:szCs w:val="24"/>
        </w:rPr>
      </w:pPr>
      <w:r w:rsidRPr="009C52C4">
        <w:rPr>
          <w:rFonts w:ascii="Times New Roman" w:hAnsi="Times New Roman" w:cs="Times New Roman"/>
          <w:sz w:val="24"/>
          <w:szCs w:val="24"/>
        </w:rPr>
        <w:t>maksimalne dopuštene vrijednosti koeficijenta transmisijskog toplinskog gubitka po jedinici oplošja grijanog dijela zgrade</w:t>
      </w:r>
    </w:p>
    <w:p w14:paraId="75407A3D" w14:textId="01E200CF" w:rsidR="00362848" w:rsidRPr="009C52C4" w:rsidRDefault="00362848" w:rsidP="004F09F1">
      <w:pPr>
        <w:pStyle w:val="ListParagraph"/>
        <w:numPr>
          <w:ilvl w:val="0"/>
          <w:numId w:val="32"/>
        </w:numPr>
        <w:tabs>
          <w:tab w:val="left" w:pos="125"/>
        </w:tabs>
        <w:rPr>
          <w:rFonts w:ascii="Times New Roman" w:hAnsi="Times New Roman" w:cs="Times New Roman"/>
          <w:sz w:val="24"/>
          <w:szCs w:val="24"/>
        </w:rPr>
      </w:pPr>
      <w:r w:rsidRPr="009C52C4">
        <w:rPr>
          <w:rFonts w:ascii="Times New Roman" w:hAnsi="Times New Roman" w:cs="Times New Roman"/>
          <w:sz w:val="24"/>
          <w:szCs w:val="24"/>
        </w:rPr>
        <w:t>zrakonepropusnosti omotača zgrade i provjetravanje prostora zgrade</w:t>
      </w:r>
    </w:p>
    <w:p w14:paraId="459E7E7E" w14:textId="77777777" w:rsidR="00D9126F" w:rsidRPr="009C52C4" w:rsidRDefault="00D9126F" w:rsidP="00D9126F">
      <w:pPr>
        <w:pStyle w:val="ListParagraph"/>
        <w:tabs>
          <w:tab w:val="left" w:pos="125"/>
        </w:tabs>
        <w:rPr>
          <w:rFonts w:ascii="Times New Roman" w:hAnsi="Times New Roman" w:cs="Times New Roman"/>
          <w:sz w:val="24"/>
          <w:szCs w:val="24"/>
        </w:rPr>
      </w:pPr>
    </w:p>
    <w:p w14:paraId="6C678176" w14:textId="77777777" w:rsidR="00362848" w:rsidRPr="009C52C4" w:rsidRDefault="00362848" w:rsidP="00362848">
      <w:pPr>
        <w:tabs>
          <w:tab w:val="left" w:pos="125"/>
        </w:tabs>
        <w:rPr>
          <w:rFonts w:ascii="Times New Roman" w:hAnsi="Times New Roman" w:cs="Times New Roman"/>
          <w:sz w:val="24"/>
          <w:szCs w:val="24"/>
        </w:rPr>
      </w:pPr>
    </w:p>
    <w:p w14:paraId="59DE75F7" w14:textId="77777777" w:rsidR="00B122B4" w:rsidRPr="009C52C4" w:rsidRDefault="00F54CC3" w:rsidP="00853BC8">
      <w:pPr>
        <w:pStyle w:val="Heading3"/>
        <w:numPr>
          <w:ilvl w:val="2"/>
          <w:numId w:val="13"/>
        </w:numPr>
        <w:ind w:hanging="719"/>
        <w:rPr>
          <w:rFonts w:ascii="Times New Roman" w:hAnsi="Times New Roman" w:cs="Times New Roman"/>
          <w:sz w:val="24"/>
          <w:szCs w:val="24"/>
        </w:rPr>
      </w:pPr>
      <w:bookmarkStart w:id="92" w:name="_Toc3277904"/>
      <w:r w:rsidRPr="009C52C4">
        <w:rPr>
          <w:rFonts w:ascii="Times New Roman" w:hAnsi="Times New Roman" w:cs="Times New Roman"/>
          <w:sz w:val="24"/>
          <w:szCs w:val="24"/>
        </w:rPr>
        <w:t>Sustavi grijanja</w:t>
      </w:r>
      <w:bookmarkEnd w:id="92"/>
    </w:p>
    <w:p w14:paraId="4660665D" w14:textId="77777777" w:rsidR="00B122B4" w:rsidRPr="009C52C4" w:rsidRDefault="00B122B4">
      <w:pPr>
        <w:rPr>
          <w:rFonts w:ascii="Times New Roman" w:hAnsi="Times New Roman" w:cs="Times New Roman"/>
          <w:sz w:val="24"/>
          <w:szCs w:val="24"/>
        </w:rPr>
      </w:pPr>
    </w:p>
    <w:p w14:paraId="7B43CB42" w14:textId="77777777" w:rsidR="00F27E84" w:rsidRPr="009C52C4" w:rsidRDefault="00362848" w:rsidP="00F27E84">
      <w:pPr>
        <w:rPr>
          <w:rFonts w:ascii="Times New Roman" w:hAnsi="Times New Roman" w:cs="Times New Roman"/>
          <w:sz w:val="24"/>
          <w:szCs w:val="24"/>
        </w:rPr>
      </w:pPr>
      <w:r w:rsidRPr="009C52C4">
        <w:rPr>
          <w:rFonts w:ascii="Times New Roman" w:hAnsi="Times New Roman" w:cs="Times New Roman"/>
          <w:sz w:val="24"/>
          <w:szCs w:val="24"/>
        </w:rPr>
        <w:t xml:space="preserve">Sustavi grijanja se dijele na pojedinačna (lokalna) i centralna grijanja. Pojedinačna grijanja karakterizira izvor topline koji stvara toplinu, a ujedno i predaje toplinu zračenjem i konvekcijom u grijanu prostoriju. Kamini, kaljeve peći i željezne peći se koriste za izgaranje krutih goriva, dok se osim njih kod pojedinačnih sustava grijanja često koriste plinske peći, uljne peći i električne grijalice. </w:t>
      </w:r>
      <w:r w:rsidR="00F27E84" w:rsidRPr="009C52C4">
        <w:rPr>
          <w:rFonts w:ascii="Times New Roman" w:hAnsi="Times New Roman" w:cs="Times New Roman"/>
          <w:sz w:val="24"/>
          <w:szCs w:val="24"/>
        </w:rPr>
        <w:t>Centralni sustavi grijanja podrazumijevaju izvor topline smješten na jednom mjestu u građevini te se cijevnom mrežom toplinska energija razvodi do ogrjevnih tijela koja su smještena u grijanim prostorijama, a sastoje se od sljedećih elemenata</w:t>
      </w:r>
      <w:r w:rsidR="00F27E84" w:rsidRPr="009C52C4">
        <w:rPr>
          <w:rFonts w:ascii="Times New Roman" w:hAnsi="Times New Roman" w:cs="Times New Roman"/>
          <w:sz w:val="24"/>
          <w:szCs w:val="24"/>
          <w:vertAlign w:val="superscript"/>
        </w:rPr>
        <w:footnoteReference w:id="27"/>
      </w:r>
      <w:r w:rsidR="00F27E84" w:rsidRPr="009C52C4">
        <w:rPr>
          <w:rFonts w:ascii="Times New Roman" w:hAnsi="Times New Roman" w:cs="Times New Roman"/>
          <w:sz w:val="24"/>
          <w:szCs w:val="24"/>
        </w:rPr>
        <w:t>:</w:t>
      </w:r>
    </w:p>
    <w:p w14:paraId="72D99C22" w14:textId="10A9D637"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i</w:t>
      </w:r>
      <w:r w:rsidR="00F27E84" w:rsidRPr="009C52C4">
        <w:rPr>
          <w:rFonts w:ascii="Times New Roman" w:hAnsi="Times New Roman" w:cs="Times New Roman"/>
          <w:sz w:val="24"/>
          <w:szCs w:val="24"/>
        </w:rPr>
        <w:t>zvor topline</w:t>
      </w:r>
    </w:p>
    <w:p w14:paraId="2147B99E" w14:textId="3326E707"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d</w:t>
      </w:r>
      <w:r w:rsidR="00F27E84" w:rsidRPr="009C52C4">
        <w:rPr>
          <w:rFonts w:ascii="Times New Roman" w:hAnsi="Times New Roman" w:cs="Times New Roman"/>
          <w:sz w:val="24"/>
          <w:szCs w:val="24"/>
        </w:rPr>
        <w:t>imovodni sustav</w:t>
      </w:r>
    </w:p>
    <w:p w14:paraId="57A8A037" w14:textId="365A7CB4"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r</w:t>
      </w:r>
      <w:r w:rsidR="00F27E84" w:rsidRPr="009C52C4">
        <w:rPr>
          <w:rFonts w:ascii="Times New Roman" w:hAnsi="Times New Roman" w:cs="Times New Roman"/>
          <w:sz w:val="24"/>
          <w:szCs w:val="24"/>
        </w:rPr>
        <w:t>azvod toplinske energije</w:t>
      </w:r>
    </w:p>
    <w:p w14:paraId="7B173232" w14:textId="5DE74997"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o</w:t>
      </w:r>
      <w:r w:rsidR="00F27E84" w:rsidRPr="009C52C4">
        <w:rPr>
          <w:rFonts w:ascii="Times New Roman" w:hAnsi="Times New Roman" w:cs="Times New Roman"/>
          <w:sz w:val="24"/>
          <w:szCs w:val="24"/>
        </w:rPr>
        <w:t>grjevna tijela</w:t>
      </w:r>
    </w:p>
    <w:p w14:paraId="43EDAEA9" w14:textId="30674186"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c</w:t>
      </w:r>
      <w:r w:rsidR="00F27E84" w:rsidRPr="009C52C4">
        <w:rPr>
          <w:rFonts w:ascii="Times New Roman" w:hAnsi="Times New Roman" w:cs="Times New Roman"/>
          <w:sz w:val="24"/>
          <w:szCs w:val="24"/>
        </w:rPr>
        <w:t>irkulacijske pumpe</w:t>
      </w:r>
    </w:p>
    <w:p w14:paraId="10526509" w14:textId="11F65BF6"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z</w:t>
      </w:r>
      <w:r w:rsidR="00F27E84" w:rsidRPr="009C52C4">
        <w:rPr>
          <w:rFonts w:ascii="Times New Roman" w:hAnsi="Times New Roman" w:cs="Times New Roman"/>
          <w:sz w:val="24"/>
          <w:szCs w:val="24"/>
        </w:rPr>
        <w:t>aporne i regulacijske armature</w:t>
      </w:r>
    </w:p>
    <w:p w14:paraId="43FAC35D" w14:textId="3875AFC7" w:rsidR="00F27E84" w:rsidRPr="009C52C4" w:rsidRDefault="004B7398" w:rsidP="00F27E84">
      <w:pPr>
        <w:numPr>
          <w:ilvl w:val="0"/>
          <w:numId w:val="34"/>
        </w:numPr>
        <w:rPr>
          <w:rFonts w:ascii="Times New Roman" w:hAnsi="Times New Roman" w:cs="Times New Roman"/>
          <w:sz w:val="24"/>
          <w:szCs w:val="24"/>
        </w:rPr>
      </w:pPr>
      <w:r w:rsidRPr="009C52C4">
        <w:rPr>
          <w:rFonts w:ascii="Times New Roman" w:hAnsi="Times New Roman" w:cs="Times New Roman"/>
          <w:sz w:val="24"/>
          <w:szCs w:val="24"/>
        </w:rPr>
        <w:t>e</w:t>
      </w:r>
      <w:r w:rsidR="00F27E84" w:rsidRPr="009C52C4">
        <w:rPr>
          <w:rFonts w:ascii="Times New Roman" w:hAnsi="Times New Roman" w:cs="Times New Roman"/>
          <w:sz w:val="24"/>
          <w:szCs w:val="24"/>
        </w:rPr>
        <w:t>kspanzijski sustav</w:t>
      </w:r>
    </w:p>
    <w:p w14:paraId="0625B05D" w14:textId="17D34018" w:rsidR="00362848" w:rsidRPr="009C52C4" w:rsidRDefault="004B7398" w:rsidP="00C25DFD">
      <w:pPr>
        <w:pStyle w:val="ListParagraph"/>
        <w:numPr>
          <w:ilvl w:val="0"/>
          <w:numId w:val="34"/>
        </w:numPr>
        <w:rPr>
          <w:rFonts w:ascii="Times New Roman" w:hAnsi="Times New Roman" w:cs="Times New Roman"/>
          <w:sz w:val="24"/>
          <w:szCs w:val="24"/>
        </w:rPr>
      </w:pPr>
      <w:r w:rsidRPr="009C52C4">
        <w:rPr>
          <w:rFonts w:ascii="Times New Roman" w:hAnsi="Times New Roman" w:cs="Times New Roman"/>
          <w:sz w:val="24"/>
          <w:szCs w:val="24"/>
        </w:rPr>
        <w:t>s</w:t>
      </w:r>
      <w:r w:rsidR="00F27E84" w:rsidRPr="009C52C4">
        <w:rPr>
          <w:rFonts w:ascii="Times New Roman" w:hAnsi="Times New Roman" w:cs="Times New Roman"/>
          <w:sz w:val="24"/>
          <w:szCs w:val="24"/>
        </w:rPr>
        <w:t>ustav regulacije i upravljanja</w:t>
      </w:r>
    </w:p>
    <w:p w14:paraId="6EEB90A3" w14:textId="77777777" w:rsidR="00D4611E" w:rsidRPr="009C52C4" w:rsidRDefault="00D4611E" w:rsidP="00362848">
      <w:pPr>
        <w:rPr>
          <w:rFonts w:ascii="Times New Roman" w:hAnsi="Times New Roman" w:cs="Times New Roman"/>
          <w:sz w:val="24"/>
          <w:szCs w:val="24"/>
        </w:rPr>
      </w:pPr>
    </w:p>
    <w:p w14:paraId="5E18A789"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Sustavi daljinskih grijanja pripadaju u posebnu grupu centralnih sustava grijanja. </w:t>
      </w:r>
      <w:r w:rsidR="00F27E84" w:rsidRPr="009C52C4">
        <w:rPr>
          <w:rFonts w:ascii="Times New Roman" w:hAnsi="Times New Roman" w:cs="Times New Roman"/>
          <w:sz w:val="24"/>
          <w:szCs w:val="24"/>
        </w:rPr>
        <w:t>Izvor topline se nalazi u centralnoj toplani iz koje se opskrbljuje toplinskom energijom jedna ili više građevina.</w:t>
      </w:r>
      <w:r w:rsidRPr="009C52C4">
        <w:rPr>
          <w:rFonts w:ascii="Times New Roman" w:hAnsi="Times New Roman" w:cs="Times New Roman"/>
          <w:sz w:val="24"/>
          <w:szCs w:val="24"/>
        </w:rPr>
        <w:t xml:space="preserve"> </w:t>
      </w:r>
      <w:r w:rsidR="00F27E84" w:rsidRPr="009C52C4">
        <w:rPr>
          <w:rFonts w:ascii="Times New Roman" w:hAnsi="Times New Roman" w:cs="Times New Roman"/>
          <w:sz w:val="24"/>
          <w:szCs w:val="24"/>
        </w:rPr>
        <w:t>Takva postrojenja imaju mogućnost rada u tzv. kogeneraciji ili trigeneraciji, što znači da se osim toplinske energije može proizvoditi električna i rashladna energija.</w:t>
      </w:r>
      <w:r w:rsidRPr="009C52C4">
        <w:rPr>
          <w:rFonts w:ascii="Times New Roman" w:hAnsi="Times New Roman" w:cs="Times New Roman"/>
          <w:sz w:val="24"/>
          <w:szCs w:val="24"/>
        </w:rPr>
        <w:t xml:space="preserve"> Ovakav način rada omogućava veću učinkovitost sustava. Povijesno gledano krajem 19. i početkom 20. stoljeća dominantno su se koristili </w:t>
      </w:r>
      <w:r w:rsidR="00F2414F" w:rsidRPr="009C52C4">
        <w:rPr>
          <w:rFonts w:ascii="Times New Roman" w:hAnsi="Times New Roman" w:cs="Times New Roman"/>
          <w:sz w:val="24"/>
          <w:szCs w:val="24"/>
        </w:rPr>
        <w:t xml:space="preserve">pojedinačni </w:t>
      </w:r>
      <w:r w:rsidRPr="009C52C4">
        <w:rPr>
          <w:rFonts w:ascii="Times New Roman" w:hAnsi="Times New Roman" w:cs="Times New Roman"/>
          <w:sz w:val="24"/>
          <w:szCs w:val="24"/>
        </w:rPr>
        <w:t>izvori topline poput peći, kamina i kaljevih peći koji su bili namijenjeni za grijanje određenih prostorija. Tijekom vremena su se mijenjali energenti grijanja ovisno o njihovoj dostupnosti i drugim karakteristikama, a danas se koriste sljedeći:</w:t>
      </w:r>
    </w:p>
    <w:p w14:paraId="72E02961" w14:textId="4E35899D"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l</w:t>
      </w:r>
      <w:r w:rsidR="00362848" w:rsidRPr="009C52C4">
        <w:rPr>
          <w:rFonts w:ascii="Times New Roman" w:hAnsi="Times New Roman" w:cs="Times New Roman"/>
          <w:sz w:val="24"/>
          <w:szCs w:val="24"/>
        </w:rPr>
        <w:t>oživo ulje</w:t>
      </w:r>
    </w:p>
    <w:p w14:paraId="1CA05CAF" w14:textId="01B0811D"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u</w:t>
      </w:r>
      <w:r w:rsidR="00362848" w:rsidRPr="009C52C4">
        <w:rPr>
          <w:rFonts w:ascii="Times New Roman" w:hAnsi="Times New Roman" w:cs="Times New Roman"/>
          <w:sz w:val="24"/>
          <w:szCs w:val="24"/>
        </w:rPr>
        <w:t>kapljeni naftni plin</w:t>
      </w:r>
    </w:p>
    <w:p w14:paraId="4F107586" w14:textId="58ED345E"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k</w:t>
      </w:r>
      <w:r w:rsidR="00362848" w:rsidRPr="009C52C4">
        <w:rPr>
          <w:rFonts w:ascii="Times New Roman" w:hAnsi="Times New Roman" w:cs="Times New Roman"/>
          <w:sz w:val="24"/>
          <w:szCs w:val="24"/>
        </w:rPr>
        <w:t>omadno drvo (cjepanice)</w:t>
      </w:r>
    </w:p>
    <w:p w14:paraId="45796840" w14:textId="3361C833"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s</w:t>
      </w:r>
      <w:r w:rsidR="00362848" w:rsidRPr="009C52C4">
        <w:rPr>
          <w:rFonts w:ascii="Times New Roman" w:hAnsi="Times New Roman" w:cs="Times New Roman"/>
          <w:sz w:val="24"/>
          <w:szCs w:val="24"/>
        </w:rPr>
        <w:t>ječka, peleti, briketi</w:t>
      </w:r>
    </w:p>
    <w:p w14:paraId="5DA13F88" w14:textId="3D1BF0E8"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e</w:t>
      </w:r>
      <w:r w:rsidR="00362848" w:rsidRPr="009C52C4">
        <w:rPr>
          <w:rFonts w:ascii="Times New Roman" w:hAnsi="Times New Roman" w:cs="Times New Roman"/>
          <w:sz w:val="24"/>
          <w:szCs w:val="24"/>
        </w:rPr>
        <w:t>lektrična energija</w:t>
      </w:r>
    </w:p>
    <w:p w14:paraId="0E0F2DE9" w14:textId="37675324"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p</w:t>
      </w:r>
      <w:r w:rsidR="00362848" w:rsidRPr="009C52C4">
        <w:rPr>
          <w:rFonts w:ascii="Times New Roman" w:hAnsi="Times New Roman" w:cs="Times New Roman"/>
          <w:sz w:val="24"/>
          <w:szCs w:val="24"/>
        </w:rPr>
        <w:t>rirodni plin</w:t>
      </w:r>
    </w:p>
    <w:p w14:paraId="7760ED87" w14:textId="5C463036" w:rsidR="00362848" w:rsidRPr="009C52C4" w:rsidRDefault="00D9149A" w:rsidP="004F09F1">
      <w:pPr>
        <w:numPr>
          <w:ilvl w:val="0"/>
          <w:numId w:val="33"/>
        </w:numPr>
        <w:contextualSpacing/>
        <w:rPr>
          <w:rFonts w:ascii="Times New Roman" w:hAnsi="Times New Roman" w:cs="Times New Roman"/>
          <w:sz w:val="24"/>
          <w:szCs w:val="24"/>
        </w:rPr>
      </w:pPr>
      <w:r w:rsidRPr="009C52C4">
        <w:rPr>
          <w:rFonts w:ascii="Times New Roman" w:hAnsi="Times New Roman" w:cs="Times New Roman"/>
          <w:sz w:val="24"/>
          <w:szCs w:val="24"/>
        </w:rPr>
        <w:t>e</w:t>
      </w:r>
      <w:r w:rsidR="00362848" w:rsidRPr="009C52C4">
        <w:rPr>
          <w:rFonts w:ascii="Times New Roman" w:hAnsi="Times New Roman" w:cs="Times New Roman"/>
          <w:sz w:val="24"/>
          <w:szCs w:val="24"/>
        </w:rPr>
        <w:t>nergija Sunca, geotermalna energija i dr.</w:t>
      </w:r>
    </w:p>
    <w:p w14:paraId="5C85427C" w14:textId="77777777" w:rsidR="00362848" w:rsidRPr="009C52C4" w:rsidRDefault="00362848" w:rsidP="00362848">
      <w:pPr>
        <w:ind w:left="361"/>
        <w:rPr>
          <w:rFonts w:ascii="Times New Roman" w:hAnsi="Times New Roman" w:cs="Times New Roman"/>
          <w:sz w:val="24"/>
          <w:szCs w:val="24"/>
        </w:rPr>
      </w:pPr>
    </w:p>
    <w:p w14:paraId="7F54855B" w14:textId="490376D1"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lastRenderedPageBreak/>
        <w:t>U razdoblju nakon 1960. godine dolazi do razvoja plinske mreže i distribucije prirodnog plina na području Republike Hrvatske, ali ne u značajnijem opsegu, a koriste se i pojedinačni plinski grijači u obliku sobnih grijalica</w:t>
      </w:r>
      <w:r w:rsidRPr="009C52C4">
        <w:rPr>
          <w:rFonts w:ascii="Times New Roman" w:hAnsi="Times New Roman" w:cs="Times New Roman"/>
          <w:sz w:val="24"/>
          <w:szCs w:val="24"/>
          <w:vertAlign w:val="superscript"/>
        </w:rPr>
        <w:footnoteReference w:id="28"/>
      </w:r>
      <w:r w:rsidRPr="009C52C4">
        <w:rPr>
          <w:rFonts w:ascii="Times New Roman" w:hAnsi="Times New Roman" w:cs="Times New Roman"/>
          <w:sz w:val="24"/>
          <w:szCs w:val="24"/>
        </w:rPr>
        <w:t>.</w:t>
      </w:r>
    </w:p>
    <w:p w14:paraId="688CECFE" w14:textId="400D8A04" w:rsidR="00362848" w:rsidRPr="009C52C4" w:rsidRDefault="00F27E84" w:rsidP="00362848">
      <w:pPr>
        <w:rPr>
          <w:rFonts w:ascii="Times New Roman" w:hAnsi="Times New Roman" w:cs="Times New Roman"/>
          <w:sz w:val="24"/>
          <w:szCs w:val="24"/>
        </w:rPr>
      </w:pPr>
      <w:r w:rsidRPr="009C52C4">
        <w:rPr>
          <w:rFonts w:ascii="Times New Roman" w:hAnsi="Times New Roman" w:cs="Times New Roman"/>
          <w:sz w:val="24"/>
          <w:szCs w:val="24"/>
        </w:rPr>
        <w:t>U razdoblju od 1971. godine dolazi do ujednačenog rasta plinske mreže i sve većeg broja priključenih zgrada, čime dolazi do razvoja centralne pripreme topline i razvoda grijanja u zgradama. Također, dolazi do proširenja i razvoja vrelovodne i parovodne mreže te povećanja broja priključenih zgrada, poglavito u industriji. Za grijanje se u velikoj mjeri koristi i loživo ulje (uljne peći i dr.) prvenstveno na područjima gdje nije razvijena plinska, toplovodna i vrelovodna mreža. Razdoblje od 1981. godine karakterizira nastavak ujednačenog rasta plinske mreže i sve većeg broja priključenih zgrada, a ujedno i povećanje potrošnje prirodnog plina. Također, dolazi do proširenja i razvoja vrelovodne i parovodne mreže te povećanja broja priključenih zgrada, poglavito u industriji, ali u znatno manjem opsegu od plinske mreže. Zbog neujednačenog razvoja plinske i vrelovodne mreže na području Hrvatske, za grijanje se u velikoj mjeri koristi i loživo ulje, to rezultira dominantnom potrošnjom tekućih goriva. U razdoblju od 1998. do 2004. godine dolazi do naglog povećanja plinske mreže, a time i broj priključenih potrošača naglo raste. Također, dolazi do proširenja i razvoja vrelovodne i parovodne mreže te povećanja broja priključenih zgrada, poglavito u industriji. Razvija se toplovodna i vrelovodna mreža u većim gradovima u Hrvatskoj (Sisak, Karlovac, Varaždin i dr.). Tek u razdoblju od 2005. godine počinje sve veća primjena modernih, naprednih sustava i energetski učinkovitih tehnologija (kondenzacijski kotlovi, dizalice topline i dr.).</w:t>
      </w:r>
    </w:p>
    <w:p w14:paraId="016CACB6" w14:textId="77777777" w:rsidR="00362848" w:rsidRPr="009C52C4" w:rsidRDefault="00362848" w:rsidP="00362848">
      <w:pPr>
        <w:rPr>
          <w:rFonts w:ascii="Times New Roman" w:hAnsi="Times New Roman" w:cs="Times New Roman"/>
          <w:sz w:val="24"/>
          <w:szCs w:val="24"/>
        </w:rPr>
      </w:pPr>
    </w:p>
    <w:p w14:paraId="412A6CD4" w14:textId="58789B8B" w:rsidR="00362848" w:rsidRPr="009C52C4" w:rsidRDefault="00021A43" w:rsidP="00362848">
      <w:pPr>
        <w:rPr>
          <w:rFonts w:ascii="Times New Roman" w:hAnsi="Times New Roman" w:cs="Times New Roman"/>
          <w:sz w:val="24"/>
          <w:szCs w:val="24"/>
        </w:rPr>
      </w:pPr>
      <w:r w:rsidRPr="009C52C4">
        <w:rPr>
          <w:rFonts w:ascii="Times New Roman" w:hAnsi="Times New Roman" w:cs="Times New Roman"/>
          <w:sz w:val="24"/>
          <w:szCs w:val="24"/>
        </w:rPr>
        <w:t>Tablicom u nastavku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_Ref483404091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21</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r w:rsidR="00362848" w:rsidRPr="009C52C4">
        <w:rPr>
          <w:rFonts w:ascii="Times New Roman" w:hAnsi="Times New Roman" w:cs="Times New Roman"/>
          <w:sz w:val="24"/>
          <w:szCs w:val="24"/>
        </w:rPr>
        <w:t xml:space="preserve"> dan je pregled korištenih tehničkih sustava, energenta i drugih podataka relevantnih za energetsku učinkovitost sustava grijanja za primorsku i kontinentalnu Hrvatsku, a prema kategorijama nacionalnog fonda zgrada Republike Hrvatske prema namjeni definiran</w:t>
      </w:r>
      <w:r w:rsidR="00831A11" w:rsidRPr="009C52C4">
        <w:rPr>
          <w:rFonts w:ascii="Times New Roman" w:hAnsi="Times New Roman" w:cs="Times New Roman"/>
          <w:sz w:val="24"/>
          <w:szCs w:val="24"/>
        </w:rPr>
        <w:t>oj</w:t>
      </w:r>
      <w:r w:rsidR="00362848" w:rsidRPr="009C52C4">
        <w:rPr>
          <w:rFonts w:ascii="Times New Roman" w:hAnsi="Times New Roman" w:cs="Times New Roman"/>
          <w:sz w:val="24"/>
          <w:szCs w:val="24"/>
        </w:rPr>
        <w:t xml:space="preserve"> u poglavlju 2.1. Navedeni podaci su podloga za analizu ključnih elemenata programa obnove zgrada.</w:t>
      </w:r>
    </w:p>
    <w:p w14:paraId="139DC907" w14:textId="77777777" w:rsidR="00B122B4" w:rsidRPr="009C52C4" w:rsidRDefault="00B122B4">
      <w:pPr>
        <w:rPr>
          <w:rFonts w:ascii="Times New Roman" w:hAnsi="Times New Roman" w:cs="Times New Roman"/>
          <w:sz w:val="24"/>
          <w:szCs w:val="24"/>
        </w:rPr>
      </w:pPr>
    </w:p>
    <w:p w14:paraId="2735BF7A" w14:textId="77777777" w:rsidR="00D41DA8" w:rsidRPr="009C52C4" w:rsidRDefault="00D41DA8">
      <w:pPr>
        <w:rPr>
          <w:rFonts w:ascii="Times New Roman" w:hAnsi="Times New Roman" w:cs="Times New Roman"/>
          <w:sz w:val="24"/>
          <w:szCs w:val="24"/>
        </w:rPr>
        <w:sectPr w:rsidR="00D41DA8" w:rsidRPr="009C52C4" w:rsidSect="00227458">
          <w:pgSz w:w="11906" w:h="16838"/>
          <w:pgMar w:top="1417" w:right="1417" w:bottom="1417" w:left="1417" w:header="720" w:footer="720" w:gutter="0"/>
          <w:cols w:space="720"/>
        </w:sectPr>
      </w:pPr>
    </w:p>
    <w:p w14:paraId="53FF6C0F" w14:textId="76F9D735" w:rsidR="006730B1" w:rsidRPr="009C52C4" w:rsidRDefault="007C2814" w:rsidP="006730B1">
      <w:pPr>
        <w:pStyle w:val="Caption"/>
        <w:rPr>
          <w:rFonts w:ascii="Times New Roman" w:hAnsi="Times New Roman" w:cs="Times New Roman"/>
          <w:sz w:val="24"/>
          <w:szCs w:val="24"/>
        </w:rPr>
      </w:pPr>
      <w:bookmarkStart w:id="93" w:name="h.1v1yuxt" w:colFirst="0" w:colLast="0"/>
      <w:bookmarkStart w:id="94" w:name="_Ref483404091"/>
      <w:bookmarkEnd w:id="93"/>
      <w:r w:rsidRPr="009C52C4">
        <w:rPr>
          <w:rFonts w:ascii="Times New Roman" w:hAnsi="Times New Roman" w:cs="Times New Roman"/>
          <w:sz w:val="24"/>
          <w:szCs w:val="24"/>
        </w:rPr>
        <w:lastRenderedPageBreak/>
        <w:t xml:space="preserve"> </w:t>
      </w:r>
      <w:bookmarkStart w:id="95" w:name="_Toc2681314"/>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21</w:t>
      </w:r>
      <w:r w:rsidR="00B6149D" w:rsidRPr="009C52C4">
        <w:rPr>
          <w:rFonts w:ascii="Times New Roman" w:hAnsi="Times New Roman" w:cs="Times New Roman"/>
          <w:noProof/>
          <w:sz w:val="24"/>
          <w:szCs w:val="24"/>
        </w:rPr>
        <w:fldChar w:fldCharType="end"/>
      </w:r>
      <w:bookmarkEnd w:id="94"/>
      <w:r w:rsidR="006730B1" w:rsidRPr="009C52C4">
        <w:rPr>
          <w:rFonts w:ascii="Times New Roman" w:hAnsi="Times New Roman" w:cs="Times New Roman"/>
          <w:sz w:val="24"/>
          <w:szCs w:val="24"/>
        </w:rPr>
        <w:t xml:space="preserve"> </w:t>
      </w:r>
      <w:r w:rsidR="00362848" w:rsidRPr="009C52C4">
        <w:rPr>
          <w:rFonts w:ascii="Times New Roman" w:hAnsi="Times New Roman" w:cs="Times New Roman"/>
          <w:b w:val="0"/>
          <w:sz w:val="24"/>
          <w:szCs w:val="24"/>
        </w:rPr>
        <w:t>Pregled korištenih sustava grijanja za različita razdoblja izgradnje u kontinentalnoj i primorskoj Hrvatskoj</w:t>
      </w:r>
      <w:bookmarkEnd w:id="95"/>
    </w:p>
    <w:p w14:paraId="08E152E5"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67A4634D" wp14:editId="288280A7">
            <wp:extent cx="8877099" cy="5321692"/>
            <wp:effectExtent l="19050" t="19050" r="19685" b="1270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8877099" cy="5321692"/>
                    </a:xfrm>
                    <a:prstGeom prst="rect">
                      <a:avLst/>
                    </a:prstGeom>
                    <a:ln>
                      <a:solidFill>
                        <a:schemeClr val="tx1"/>
                      </a:solidFill>
                    </a:ln>
                  </pic:spPr>
                </pic:pic>
              </a:graphicData>
            </a:graphic>
          </wp:inline>
        </w:drawing>
      </w:r>
    </w:p>
    <w:p w14:paraId="4735CDB1"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318E4DED" wp14:editId="3B504CF9">
            <wp:extent cx="8892540" cy="4948715"/>
            <wp:effectExtent l="19050" t="19050" r="22860" b="23495"/>
            <wp:docPr id="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8892540" cy="4948715"/>
                    </a:xfrm>
                    <a:prstGeom prst="rect">
                      <a:avLst/>
                    </a:prstGeom>
                    <a:ln>
                      <a:solidFill>
                        <a:schemeClr val="tx1"/>
                      </a:solidFill>
                    </a:ln>
                  </pic:spPr>
                </pic:pic>
              </a:graphicData>
            </a:graphic>
          </wp:inline>
        </w:drawing>
      </w:r>
    </w:p>
    <w:p w14:paraId="7D53A0C2" w14:textId="50E90E93" w:rsidR="00831A11" w:rsidRPr="009C52C4" w:rsidRDefault="00831A11">
      <w:pPr>
        <w:rPr>
          <w:rFonts w:ascii="Times New Roman" w:hAnsi="Times New Roman" w:cs="Times New Roman"/>
          <w:sz w:val="24"/>
          <w:szCs w:val="24"/>
        </w:rPr>
      </w:pPr>
      <w:r w:rsidRPr="009C52C4">
        <w:rPr>
          <w:rFonts w:ascii="Times New Roman" w:hAnsi="Times New Roman" w:cs="Times New Roman"/>
          <w:sz w:val="24"/>
          <w:szCs w:val="24"/>
        </w:rPr>
        <w:t>PTV - potrošna topla voda</w:t>
      </w:r>
    </w:p>
    <w:p w14:paraId="18484B7D" w14:textId="7BE66622" w:rsidR="00831A11" w:rsidRPr="009C52C4" w:rsidRDefault="00831A11">
      <w:pPr>
        <w:rPr>
          <w:rFonts w:ascii="Times New Roman" w:hAnsi="Times New Roman" w:cs="Times New Roman"/>
          <w:sz w:val="24"/>
          <w:szCs w:val="24"/>
        </w:rPr>
      </w:pPr>
      <w:r w:rsidRPr="009C52C4">
        <w:rPr>
          <w:rFonts w:ascii="Times New Roman" w:hAnsi="Times New Roman" w:cs="Times New Roman"/>
          <w:sz w:val="24"/>
          <w:szCs w:val="24"/>
        </w:rPr>
        <w:t>HVAC - sustav grijanja, ventilacije i klimatizacije</w:t>
      </w:r>
    </w:p>
    <w:p w14:paraId="7620E979" w14:textId="1D2DB3B3" w:rsidR="00866CBC" w:rsidRPr="009C52C4" w:rsidRDefault="007C2814">
      <w:pPr>
        <w:rPr>
          <w:rFonts w:ascii="Times New Roman" w:hAnsi="Times New Roman" w:cs="Times New Roman"/>
          <w:sz w:val="24"/>
          <w:szCs w:val="24"/>
        </w:rPr>
      </w:pPr>
      <w:r w:rsidRPr="009C52C4">
        <w:rPr>
          <w:rFonts w:ascii="Times New Roman" w:hAnsi="Times New Roman" w:cs="Times New Roman"/>
          <w:sz w:val="24"/>
          <w:szCs w:val="24"/>
        </w:rPr>
        <w:t xml:space="preserve"> </w:t>
      </w:r>
      <w:r w:rsidR="00866CBC" w:rsidRPr="009C52C4">
        <w:rPr>
          <w:rFonts w:ascii="Times New Roman" w:hAnsi="Times New Roman" w:cs="Times New Roman"/>
          <w:sz w:val="24"/>
          <w:szCs w:val="24"/>
        </w:rPr>
        <w:t xml:space="preserve">Izvor: </w:t>
      </w:r>
      <w:r w:rsidR="00866CBC" w:rsidRPr="009C52C4">
        <w:rPr>
          <w:rFonts w:ascii="Times New Roman" w:hAnsi="Times New Roman" w:cs="Times New Roman"/>
          <w:i/>
          <w:sz w:val="24"/>
          <w:szCs w:val="24"/>
        </w:rPr>
        <w:t>REGEA,</w:t>
      </w:r>
      <w:r w:rsidR="00866CBC" w:rsidRPr="009C52C4">
        <w:rPr>
          <w:rFonts w:ascii="Times New Roman" w:hAnsi="Times New Roman" w:cs="Times New Roman"/>
          <w:sz w:val="24"/>
          <w:szCs w:val="24"/>
        </w:rPr>
        <w:t xml:space="preserve"> 2017</w:t>
      </w:r>
    </w:p>
    <w:p w14:paraId="67A9AF8E" w14:textId="77777777" w:rsidR="00B122B4" w:rsidRPr="009C52C4" w:rsidRDefault="00B122B4">
      <w:pPr>
        <w:rPr>
          <w:rFonts w:ascii="Times New Roman" w:hAnsi="Times New Roman" w:cs="Times New Roman"/>
          <w:sz w:val="24"/>
          <w:szCs w:val="24"/>
        </w:rPr>
      </w:pPr>
    </w:p>
    <w:p w14:paraId="73C0CA4D" w14:textId="77777777" w:rsidR="00D41DA8" w:rsidRPr="009C52C4" w:rsidRDefault="00D41DA8">
      <w:pPr>
        <w:rPr>
          <w:rFonts w:ascii="Times New Roman" w:hAnsi="Times New Roman" w:cs="Times New Roman"/>
          <w:sz w:val="24"/>
          <w:szCs w:val="24"/>
        </w:rPr>
        <w:sectPr w:rsidR="00D41DA8" w:rsidRPr="009C52C4" w:rsidSect="00227458">
          <w:pgSz w:w="16838" w:h="11906" w:orient="landscape"/>
          <w:pgMar w:top="1417" w:right="1417" w:bottom="1417" w:left="1417" w:header="720" w:footer="720" w:gutter="0"/>
          <w:cols w:space="720"/>
          <w:docGrid w:linePitch="299"/>
        </w:sectPr>
      </w:pPr>
    </w:p>
    <w:p w14:paraId="461DE582"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lastRenderedPageBreak/>
        <w:t>Čimbenici koji najviše utječu na odabir sustava grijanja su sljedeći</w:t>
      </w:r>
      <w:r w:rsidRPr="009C52C4">
        <w:rPr>
          <w:rFonts w:ascii="Times New Roman" w:hAnsi="Times New Roman" w:cs="Times New Roman"/>
          <w:sz w:val="24"/>
          <w:szCs w:val="24"/>
          <w:vertAlign w:val="superscript"/>
        </w:rPr>
        <w:footnoteReference w:id="29"/>
      </w:r>
      <w:r w:rsidRPr="009C52C4">
        <w:rPr>
          <w:rFonts w:ascii="Times New Roman" w:hAnsi="Times New Roman" w:cs="Times New Roman"/>
          <w:sz w:val="24"/>
          <w:szCs w:val="24"/>
        </w:rPr>
        <w:t>:</w:t>
      </w:r>
    </w:p>
    <w:p w14:paraId="03FA77AF" w14:textId="619DA339" w:rsidR="00F27E84" w:rsidRPr="009C52C4" w:rsidRDefault="00831A11" w:rsidP="00F27E84">
      <w:pPr>
        <w:numPr>
          <w:ilvl w:val="0"/>
          <w:numId w:val="14"/>
        </w:numPr>
        <w:ind w:right="357" w:hanging="359"/>
        <w:rPr>
          <w:rFonts w:ascii="Times New Roman" w:hAnsi="Times New Roman" w:cs="Times New Roman"/>
          <w:color w:val="330033"/>
          <w:sz w:val="24"/>
          <w:szCs w:val="24"/>
        </w:rPr>
      </w:pPr>
      <w:bookmarkStart w:id="96" w:name="OLE_LINK2"/>
      <w:r w:rsidRPr="009C52C4">
        <w:rPr>
          <w:rFonts w:ascii="Times New Roman" w:hAnsi="Times New Roman" w:cs="Times New Roman"/>
          <w:sz w:val="24"/>
          <w:szCs w:val="24"/>
        </w:rPr>
        <w:t>r</w:t>
      </w:r>
      <w:r w:rsidR="00F27E84" w:rsidRPr="009C52C4">
        <w:rPr>
          <w:rFonts w:ascii="Times New Roman" w:hAnsi="Times New Roman" w:cs="Times New Roman"/>
          <w:sz w:val="24"/>
          <w:szCs w:val="24"/>
        </w:rPr>
        <w:t>aspoloživost izvora energije (električna energija, fosilna goriva, biomasa, drugi obnovljivi izvori energije)</w:t>
      </w:r>
      <w:bookmarkEnd w:id="96"/>
    </w:p>
    <w:p w14:paraId="3ACE24AE" w14:textId="4561B2EC" w:rsidR="00F27E84" w:rsidRPr="009C52C4" w:rsidRDefault="00831A11" w:rsidP="00F27E84">
      <w:pPr>
        <w:numPr>
          <w:ilvl w:val="0"/>
          <w:numId w:val="14"/>
        </w:numPr>
        <w:ind w:right="357" w:hanging="359"/>
        <w:rPr>
          <w:rFonts w:ascii="Times New Roman" w:hAnsi="Times New Roman" w:cs="Times New Roman"/>
          <w:color w:val="330033"/>
          <w:sz w:val="24"/>
          <w:szCs w:val="24"/>
        </w:rPr>
      </w:pPr>
      <w:r w:rsidRPr="009C52C4">
        <w:rPr>
          <w:rFonts w:ascii="Times New Roman" w:hAnsi="Times New Roman" w:cs="Times New Roman"/>
          <w:sz w:val="24"/>
          <w:szCs w:val="24"/>
        </w:rPr>
        <w:t>v</w:t>
      </w:r>
      <w:r w:rsidR="00F27E84" w:rsidRPr="009C52C4">
        <w:rPr>
          <w:rFonts w:ascii="Times New Roman" w:hAnsi="Times New Roman" w:cs="Times New Roman"/>
          <w:sz w:val="24"/>
          <w:szCs w:val="24"/>
        </w:rPr>
        <w:t>remenski uvjeti (geografska lokacija)</w:t>
      </w:r>
    </w:p>
    <w:p w14:paraId="1161F238" w14:textId="0D6B0502" w:rsidR="00F27E84" w:rsidRPr="009C52C4" w:rsidRDefault="00831A11" w:rsidP="00F27E84">
      <w:pPr>
        <w:numPr>
          <w:ilvl w:val="0"/>
          <w:numId w:val="14"/>
        </w:numPr>
        <w:ind w:right="357" w:hanging="359"/>
        <w:rPr>
          <w:rFonts w:ascii="Times New Roman" w:hAnsi="Times New Roman" w:cs="Times New Roman"/>
          <w:color w:val="330033"/>
          <w:sz w:val="24"/>
          <w:szCs w:val="24"/>
        </w:rPr>
      </w:pPr>
      <w:r w:rsidRPr="009C52C4">
        <w:rPr>
          <w:rFonts w:ascii="Times New Roman" w:hAnsi="Times New Roman" w:cs="Times New Roman"/>
          <w:sz w:val="24"/>
          <w:szCs w:val="24"/>
        </w:rPr>
        <w:t>i</w:t>
      </w:r>
      <w:r w:rsidR="00F27E84" w:rsidRPr="009C52C4">
        <w:rPr>
          <w:rFonts w:ascii="Times New Roman" w:hAnsi="Times New Roman" w:cs="Times New Roman"/>
          <w:sz w:val="24"/>
          <w:szCs w:val="24"/>
        </w:rPr>
        <w:t>nvesticijski i pogonski troškovi</w:t>
      </w:r>
    </w:p>
    <w:p w14:paraId="7595FB00" w14:textId="226BD63D" w:rsidR="00F27E84" w:rsidRPr="009C52C4" w:rsidRDefault="00831A11" w:rsidP="00F27E84">
      <w:pPr>
        <w:numPr>
          <w:ilvl w:val="0"/>
          <w:numId w:val="14"/>
        </w:numPr>
        <w:ind w:right="357" w:hanging="359"/>
        <w:rPr>
          <w:rFonts w:ascii="Times New Roman" w:hAnsi="Times New Roman" w:cs="Times New Roman"/>
          <w:color w:val="330033"/>
          <w:sz w:val="24"/>
          <w:szCs w:val="24"/>
        </w:rPr>
      </w:pPr>
      <w:r w:rsidRPr="009C52C4">
        <w:rPr>
          <w:rFonts w:ascii="Times New Roman" w:hAnsi="Times New Roman" w:cs="Times New Roman"/>
          <w:sz w:val="24"/>
          <w:szCs w:val="24"/>
        </w:rPr>
        <w:t>p</w:t>
      </w:r>
      <w:r w:rsidR="00F27E84" w:rsidRPr="009C52C4">
        <w:rPr>
          <w:rFonts w:ascii="Times New Roman" w:hAnsi="Times New Roman" w:cs="Times New Roman"/>
          <w:sz w:val="24"/>
          <w:szCs w:val="24"/>
        </w:rPr>
        <w:t>oložaj i tip zgrade (stambena, nestambena-poslovna, obrazovna, i dr.)</w:t>
      </w:r>
    </w:p>
    <w:p w14:paraId="15CB12BC" w14:textId="009E3DC0" w:rsidR="00F27E84" w:rsidRPr="009C52C4" w:rsidRDefault="00831A11" w:rsidP="00F27E84">
      <w:pPr>
        <w:numPr>
          <w:ilvl w:val="0"/>
          <w:numId w:val="14"/>
        </w:numPr>
        <w:ind w:right="357" w:hanging="359"/>
        <w:rPr>
          <w:rFonts w:ascii="Times New Roman" w:hAnsi="Times New Roman" w:cs="Times New Roman"/>
          <w:color w:val="330033"/>
          <w:sz w:val="24"/>
          <w:szCs w:val="24"/>
        </w:rPr>
      </w:pPr>
      <w:r w:rsidRPr="009C52C4">
        <w:rPr>
          <w:rFonts w:ascii="Times New Roman" w:hAnsi="Times New Roman" w:cs="Times New Roman"/>
          <w:sz w:val="24"/>
          <w:szCs w:val="24"/>
        </w:rPr>
        <w:t>l</w:t>
      </w:r>
      <w:r w:rsidR="00F27E84" w:rsidRPr="009C52C4">
        <w:rPr>
          <w:rFonts w:ascii="Times New Roman" w:hAnsi="Times New Roman" w:cs="Times New Roman"/>
          <w:sz w:val="24"/>
          <w:szCs w:val="24"/>
        </w:rPr>
        <w:t>egislativa (zakoni, propisi, norme, preporuke)</w:t>
      </w:r>
    </w:p>
    <w:p w14:paraId="2A9A60C8" w14:textId="71413550" w:rsidR="00F27E84" w:rsidRPr="009C52C4" w:rsidRDefault="00831A11" w:rsidP="00F27E84">
      <w:pPr>
        <w:numPr>
          <w:ilvl w:val="0"/>
          <w:numId w:val="14"/>
        </w:numPr>
        <w:ind w:right="357" w:hanging="359"/>
        <w:rPr>
          <w:rFonts w:ascii="Times New Roman" w:hAnsi="Times New Roman" w:cs="Times New Roman"/>
          <w:color w:val="330033"/>
          <w:sz w:val="24"/>
          <w:szCs w:val="24"/>
        </w:rPr>
      </w:pPr>
      <w:r w:rsidRPr="009C52C4">
        <w:rPr>
          <w:rFonts w:ascii="Times New Roman" w:hAnsi="Times New Roman" w:cs="Times New Roman"/>
          <w:sz w:val="24"/>
          <w:szCs w:val="24"/>
        </w:rPr>
        <w:t>v</w:t>
      </w:r>
      <w:r w:rsidR="00F27E84" w:rsidRPr="009C52C4">
        <w:rPr>
          <w:rFonts w:ascii="Times New Roman" w:hAnsi="Times New Roman" w:cs="Times New Roman"/>
          <w:sz w:val="24"/>
          <w:szCs w:val="24"/>
        </w:rPr>
        <w:t>rijeme korištenja zgrade (24-satno, 8-satno, i dr.)</w:t>
      </w:r>
    </w:p>
    <w:p w14:paraId="7F7FB21E" w14:textId="424EFC6C" w:rsidR="00362848" w:rsidRPr="009C52C4" w:rsidRDefault="00831A11" w:rsidP="00F27E84">
      <w:pPr>
        <w:numPr>
          <w:ilvl w:val="0"/>
          <w:numId w:val="14"/>
        </w:numPr>
        <w:ind w:right="357" w:hanging="359"/>
        <w:rPr>
          <w:rFonts w:ascii="Times New Roman" w:hAnsi="Times New Roman" w:cs="Times New Roman"/>
          <w:sz w:val="24"/>
          <w:szCs w:val="24"/>
        </w:rPr>
      </w:pPr>
      <w:r w:rsidRPr="009C52C4">
        <w:rPr>
          <w:rFonts w:ascii="Times New Roman" w:hAnsi="Times New Roman" w:cs="Times New Roman"/>
          <w:sz w:val="24"/>
          <w:szCs w:val="24"/>
        </w:rPr>
        <w:t>u</w:t>
      </w:r>
      <w:r w:rsidR="00F27E84" w:rsidRPr="009C52C4">
        <w:rPr>
          <w:rFonts w:ascii="Times New Roman" w:hAnsi="Times New Roman" w:cs="Times New Roman"/>
          <w:sz w:val="24"/>
          <w:szCs w:val="24"/>
        </w:rPr>
        <w:t>tjecaj na okoliš</w:t>
      </w:r>
    </w:p>
    <w:p w14:paraId="60E12474" w14:textId="77777777" w:rsidR="00362848" w:rsidRPr="009C52C4" w:rsidRDefault="00362848" w:rsidP="00362848">
      <w:pPr>
        <w:rPr>
          <w:rFonts w:ascii="Times New Roman" w:hAnsi="Times New Roman" w:cs="Times New Roman"/>
          <w:sz w:val="24"/>
          <w:szCs w:val="24"/>
        </w:rPr>
      </w:pPr>
    </w:p>
    <w:p w14:paraId="38406436" w14:textId="54886F1C"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U današnje vrijeme je na tržištu velik izbor kotlova, no kako su energetski resursi ograničeni vrlo je važno odabirati sustav grijanja sa što većom učinkovitošću, a njihov pregled je dan u sljedećoj tablici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_Ref483404106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2</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22</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p>
    <w:p w14:paraId="19513EF1" w14:textId="77777777" w:rsidR="00362848" w:rsidRPr="009C52C4" w:rsidRDefault="00362848" w:rsidP="00362848">
      <w:pPr>
        <w:rPr>
          <w:rFonts w:ascii="Times New Roman" w:hAnsi="Times New Roman" w:cs="Times New Roman"/>
          <w:sz w:val="24"/>
          <w:szCs w:val="24"/>
        </w:rPr>
      </w:pPr>
    </w:p>
    <w:p w14:paraId="5CE8566D" w14:textId="7EBEBA06" w:rsidR="006730B1" w:rsidRPr="009C52C4" w:rsidRDefault="007C2814" w:rsidP="006730B1">
      <w:pPr>
        <w:pStyle w:val="Caption"/>
        <w:rPr>
          <w:rFonts w:ascii="Times New Roman" w:hAnsi="Times New Roman" w:cs="Times New Roman"/>
          <w:sz w:val="24"/>
          <w:szCs w:val="24"/>
        </w:rPr>
      </w:pPr>
      <w:bookmarkStart w:id="97" w:name="h.4f1mdlm" w:colFirst="0" w:colLast="0"/>
      <w:bookmarkStart w:id="98" w:name="_Ref483404106"/>
      <w:bookmarkEnd w:id="97"/>
      <w:r w:rsidRPr="009C52C4">
        <w:rPr>
          <w:rFonts w:ascii="Times New Roman" w:hAnsi="Times New Roman" w:cs="Times New Roman"/>
          <w:sz w:val="24"/>
          <w:szCs w:val="24"/>
        </w:rPr>
        <w:t xml:space="preserve">  </w:t>
      </w:r>
      <w:bookmarkStart w:id="99" w:name="_Toc2681315"/>
      <w:r w:rsidR="006730B1"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22</w:t>
      </w:r>
      <w:r w:rsidR="00B6149D" w:rsidRPr="009C52C4">
        <w:rPr>
          <w:rFonts w:ascii="Times New Roman" w:hAnsi="Times New Roman" w:cs="Times New Roman"/>
          <w:noProof/>
          <w:sz w:val="24"/>
          <w:szCs w:val="24"/>
        </w:rPr>
        <w:fldChar w:fldCharType="end"/>
      </w:r>
      <w:bookmarkEnd w:id="98"/>
      <w:r w:rsidR="006730B1" w:rsidRPr="009C52C4">
        <w:rPr>
          <w:rFonts w:ascii="Times New Roman" w:hAnsi="Times New Roman" w:cs="Times New Roman"/>
          <w:sz w:val="24"/>
          <w:szCs w:val="24"/>
        </w:rPr>
        <w:t xml:space="preserve"> </w:t>
      </w:r>
      <w:r w:rsidR="00362848" w:rsidRPr="009C52C4">
        <w:rPr>
          <w:rFonts w:ascii="Times New Roman" w:hAnsi="Times New Roman" w:cs="Times New Roman"/>
          <w:b w:val="0"/>
          <w:bCs w:val="0"/>
          <w:color w:val="000000"/>
          <w:sz w:val="24"/>
          <w:szCs w:val="24"/>
        </w:rPr>
        <w:t>Pregled učinkovitosti različitih kotlova</w:t>
      </w:r>
      <w:bookmarkEnd w:id="99"/>
    </w:p>
    <w:tbl>
      <w:tblPr>
        <w:tblW w:w="897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4"/>
        <w:gridCol w:w="4921"/>
        <w:gridCol w:w="1815"/>
      </w:tblGrid>
      <w:tr w:rsidR="00B122B4" w:rsidRPr="009C52C4" w14:paraId="4C607176" w14:textId="77777777" w:rsidTr="006130B9">
        <w:trPr>
          <w:trHeight w:val="197"/>
        </w:trPr>
        <w:tc>
          <w:tcPr>
            <w:tcW w:w="2234" w:type="dxa"/>
            <w:shd w:val="clear" w:color="auto" w:fill="C2D69B"/>
            <w:tcMar>
              <w:left w:w="115" w:type="dxa"/>
              <w:right w:w="115" w:type="dxa"/>
            </w:tcMar>
            <w:vAlign w:val="bottom"/>
          </w:tcPr>
          <w:p w14:paraId="58487A40"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b/>
                <w:sz w:val="24"/>
                <w:szCs w:val="24"/>
              </w:rPr>
              <w:t>Gorivo</w:t>
            </w:r>
          </w:p>
        </w:tc>
        <w:tc>
          <w:tcPr>
            <w:tcW w:w="4921" w:type="dxa"/>
            <w:shd w:val="clear" w:color="auto" w:fill="C2D69B"/>
            <w:tcMar>
              <w:left w:w="115" w:type="dxa"/>
              <w:right w:w="115" w:type="dxa"/>
            </w:tcMar>
            <w:vAlign w:val="bottom"/>
          </w:tcPr>
          <w:p w14:paraId="6F86BD3E"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b/>
                <w:sz w:val="24"/>
                <w:szCs w:val="24"/>
              </w:rPr>
              <w:t>Vrsta uređaja</w:t>
            </w:r>
          </w:p>
        </w:tc>
        <w:tc>
          <w:tcPr>
            <w:tcW w:w="1815" w:type="dxa"/>
            <w:shd w:val="clear" w:color="auto" w:fill="C2D69B"/>
            <w:tcMar>
              <w:left w:w="115" w:type="dxa"/>
              <w:right w:w="115" w:type="dxa"/>
            </w:tcMar>
            <w:vAlign w:val="bottom"/>
          </w:tcPr>
          <w:p w14:paraId="1F16E51E"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b/>
                <w:sz w:val="24"/>
                <w:szCs w:val="24"/>
              </w:rPr>
              <w:t>Učinkovitost</w:t>
            </w:r>
          </w:p>
        </w:tc>
      </w:tr>
      <w:tr w:rsidR="00D41DA8" w:rsidRPr="009C52C4" w14:paraId="3D1F3972" w14:textId="77777777" w:rsidTr="006130B9">
        <w:trPr>
          <w:trHeight w:val="197"/>
        </w:trPr>
        <w:tc>
          <w:tcPr>
            <w:tcW w:w="2234" w:type="dxa"/>
            <w:vMerge w:val="restart"/>
            <w:shd w:val="clear" w:color="auto" w:fill="EAF1DD"/>
            <w:tcMar>
              <w:left w:w="115" w:type="dxa"/>
              <w:right w:w="115" w:type="dxa"/>
            </w:tcMar>
            <w:vAlign w:val="center"/>
          </w:tcPr>
          <w:p w14:paraId="2AED933C"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Kruta goriva</w:t>
            </w:r>
          </w:p>
        </w:tc>
        <w:tc>
          <w:tcPr>
            <w:tcW w:w="4921" w:type="dxa"/>
            <w:shd w:val="clear" w:color="auto" w:fill="EAF1DD"/>
            <w:tcMar>
              <w:left w:w="115" w:type="dxa"/>
              <w:right w:w="115" w:type="dxa"/>
            </w:tcMar>
            <w:vAlign w:val="bottom"/>
          </w:tcPr>
          <w:p w14:paraId="773636B1"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Peći i štednjaci</w:t>
            </w:r>
          </w:p>
        </w:tc>
        <w:tc>
          <w:tcPr>
            <w:tcW w:w="1815" w:type="dxa"/>
            <w:shd w:val="clear" w:color="auto" w:fill="EAF1DD"/>
            <w:tcMar>
              <w:left w:w="115" w:type="dxa"/>
              <w:right w:w="115" w:type="dxa"/>
            </w:tcMar>
            <w:vAlign w:val="bottom"/>
          </w:tcPr>
          <w:p w14:paraId="75DD1298"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60 do 75%</w:t>
            </w:r>
          </w:p>
        </w:tc>
      </w:tr>
      <w:tr w:rsidR="00D41DA8" w:rsidRPr="009C52C4" w14:paraId="5E6D15CF" w14:textId="77777777" w:rsidTr="006130B9">
        <w:trPr>
          <w:trHeight w:val="197"/>
        </w:trPr>
        <w:tc>
          <w:tcPr>
            <w:tcW w:w="2234" w:type="dxa"/>
            <w:vMerge/>
            <w:shd w:val="clear" w:color="auto" w:fill="EAF1DD"/>
            <w:tcMar>
              <w:left w:w="115" w:type="dxa"/>
              <w:right w:w="115" w:type="dxa"/>
            </w:tcMar>
            <w:vAlign w:val="center"/>
          </w:tcPr>
          <w:p w14:paraId="71EB975D"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761AB987"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Kotlovi - starija izvedba</w:t>
            </w:r>
          </w:p>
        </w:tc>
        <w:tc>
          <w:tcPr>
            <w:tcW w:w="1815" w:type="dxa"/>
            <w:shd w:val="clear" w:color="auto" w:fill="EAF1DD"/>
            <w:tcMar>
              <w:left w:w="115" w:type="dxa"/>
              <w:right w:w="115" w:type="dxa"/>
            </w:tcMar>
            <w:vAlign w:val="bottom"/>
          </w:tcPr>
          <w:p w14:paraId="7A4C5BDD"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60 do 75%</w:t>
            </w:r>
          </w:p>
        </w:tc>
      </w:tr>
      <w:tr w:rsidR="00D41DA8" w:rsidRPr="009C52C4" w14:paraId="1FA6345A" w14:textId="77777777" w:rsidTr="006130B9">
        <w:trPr>
          <w:trHeight w:val="197"/>
        </w:trPr>
        <w:tc>
          <w:tcPr>
            <w:tcW w:w="2234" w:type="dxa"/>
            <w:vMerge/>
            <w:shd w:val="clear" w:color="auto" w:fill="EAF1DD"/>
            <w:tcMar>
              <w:left w:w="115" w:type="dxa"/>
              <w:right w:w="115" w:type="dxa"/>
            </w:tcMar>
            <w:vAlign w:val="center"/>
          </w:tcPr>
          <w:p w14:paraId="19EA8F07"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567DB770"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Kotlovi - nova izvedba</w:t>
            </w:r>
          </w:p>
        </w:tc>
        <w:tc>
          <w:tcPr>
            <w:tcW w:w="1815" w:type="dxa"/>
            <w:shd w:val="clear" w:color="auto" w:fill="EAF1DD"/>
            <w:tcMar>
              <w:left w:w="115" w:type="dxa"/>
              <w:right w:w="115" w:type="dxa"/>
            </w:tcMar>
            <w:vAlign w:val="bottom"/>
          </w:tcPr>
          <w:p w14:paraId="2FF330DC"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80 do 90%</w:t>
            </w:r>
          </w:p>
        </w:tc>
      </w:tr>
      <w:tr w:rsidR="00D41DA8" w:rsidRPr="009C52C4" w14:paraId="1AEEDCD9" w14:textId="77777777" w:rsidTr="006130B9">
        <w:trPr>
          <w:trHeight w:val="197"/>
        </w:trPr>
        <w:tc>
          <w:tcPr>
            <w:tcW w:w="2234" w:type="dxa"/>
            <w:vMerge/>
            <w:shd w:val="clear" w:color="auto" w:fill="EAF1DD"/>
            <w:tcMar>
              <w:left w:w="115" w:type="dxa"/>
              <w:right w:w="115" w:type="dxa"/>
            </w:tcMar>
            <w:vAlign w:val="center"/>
          </w:tcPr>
          <w:p w14:paraId="46331EA9"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322C1B8D"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Kotlovi na različitu biomasu</w:t>
            </w:r>
          </w:p>
        </w:tc>
        <w:tc>
          <w:tcPr>
            <w:tcW w:w="1815" w:type="dxa"/>
            <w:shd w:val="clear" w:color="auto" w:fill="EAF1DD"/>
            <w:tcMar>
              <w:left w:w="115" w:type="dxa"/>
              <w:right w:w="115" w:type="dxa"/>
            </w:tcMar>
            <w:vAlign w:val="bottom"/>
          </w:tcPr>
          <w:p w14:paraId="6129C81D"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82 do 92%</w:t>
            </w:r>
          </w:p>
        </w:tc>
      </w:tr>
      <w:tr w:rsidR="00D41DA8" w:rsidRPr="009C52C4" w14:paraId="0DECFA41" w14:textId="77777777" w:rsidTr="006130B9">
        <w:trPr>
          <w:trHeight w:val="197"/>
        </w:trPr>
        <w:tc>
          <w:tcPr>
            <w:tcW w:w="2234" w:type="dxa"/>
            <w:vMerge/>
            <w:shd w:val="clear" w:color="auto" w:fill="EAF1DD"/>
            <w:tcMar>
              <w:left w:w="115" w:type="dxa"/>
              <w:right w:w="115" w:type="dxa"/>
            </w:tcMar>
            <w:vAlign w:val="center"/>
          </w:tcPr>
          <w:p w14:paraId="589B4247"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574A88A4"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Peleti</w:t>
            </w:r>
          </w:p>
        </w:tc>
        <w:tc>
          <w:tcPr>
            <w:tcW w:w="1815" w:type="dxa"/>
            <w:shd w:val="clear" w:color="auto" w:fill="EAF1DD"/>
            <w:tcMar>
              <w:left w:w="115" w:type="dxa"/>
              <w:right w:w="115" w:type="dxa"/>
            </w:tcMar>
            <w:vAlign w:val="bottom"/>
          </w:tcPr>
          <w:p w14:paraId="6168D62A"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87 do 92%</w:t>
            </w:r>
          </w:p>
        </w:tc>
      </w:tr>
      <w:tr w:rsidR="00D41DA8" w:rsidRPr="009C52C4" w14:paraId="15DCBA21" w14:textId="77777777" w:rsidTr="006130B9">
        <w:trPr>
          <w:trHeight w:val="197"/>
        </w:trPr>
        <w:tc>
          <w:tcPr>
            <w:tcW w:w="2234" w:type="dxa"/>
            <w:vMerge/>
            <w:shd w:val="clear" w:color="auto" w:fill="EAF1DD"/>
            <w:tcMar>
              <w:left w:w="115" w:type="dxa"/>
              <w:right w:w="115" w:type="dxa"/>
            </w:tcMar>
            <w:vAlign w:val="center"/>
          </w:tcPr>
          <w:p w14:paraId="57493FCB"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302120B8"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Sječka</w:t>
            </w:r>
          </w:p>
        </w:tc>
        <w:tc>
          <w:tcPr>
            <w:tcW w:w="1815" w:type="dxa"/>
            <w:shd w:val="clear" w:color="auto" w:fill="EAF1DD"/>
            <w:tcMar>
              <w:left w:w="115" w:type="dxa"/>
              <w:right w:w="115" w:type="dxa"/>
            </w:tcMar>
            <w:vAlign w:val="bottom"/>
          </w:tcPr>
          <w:p w14:paraId="01F101BF"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85 do 90%</w:t>
            </w:r>
          </w:p>
        </w:tc>
      </w:tr>
      <w:tr w:rsidR="00D41DA8" w:rsidRPr="009C52C4" w14:paraId="30E60B1C" w14:textId="77777777" w:rsidTr="006130B9">
        <w:trPr>
          <w:trHeight w:val="197"/>
        </w:trPr>
        <w:tc>
          <w:tcPr>
            <w:tcW w:w="2234" w:type="dxa"/>
            <w:vMerge/>
            <w:shd w:val="clear" w:color="auto" w:fill="EAF1DD"/>
            <w:tcMar>
              <w:left w:w="115" w:type="dxa"/>
              <w:right w:w="115" w:type="dxa"/>
            </w:tcMar>
            <w:vAlign w:val="center"/>
          </w:tcPr>
          <w:p w14:paraId="4FDD513E"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78828C6A"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Kombinirani kotlovi</w:t>
            </w:r>
          </w:p>
        </w:tc>
        <w:tc>
          <w:tcPr>
            <w:tcW w:w="1815" w:type="dxa"/>
            <w:shd w:val="clear" w:color="auto" w:fill="EAF1DD"/>
            <w:tcMar>
              <w:left w:w="115" w:type="dxa"/>
              <w:right w:w="115" w:type="dxa"/>
            </w:tcMar>
            <w:vAlign w:val="bottom"/>
          </w:tcPr>
          <w:p w14:paraId="4351B6FE"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70 do 78%</w:t>
            </w:r>
          </w:p>
        </w:tc>
      </w:tr>
      <w:tr w:rsidR="00D41DA8" w:rsidRPr="009C52C4" w14:paraId="6CA64022" w14:textId="77777777" w:rsidTr="006130B9">
        <w:trPr>
          <w:trHeight w:val="197"/>
        </w:trPr>
        <w:tc>
          <w:tcPr>
            <w:tcW w:w="2234" w:type="dxa"/>
            <w:vMerge w:val="restart"/>
            <w:shd w:val="clear" w:color="auto" w:fill="EAF1DD"/>
            <w:tcMar>
              <w:left w:w="115" w:type="dxa"/>
              <w:right w:w="115" w:type="dxa"/>
            </w:tcMar>
            <w:vAlign w:val="center"/>
          </w:tcPr>
          <w:p w14:paraId="04450D0A"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Tekuća goriva</w:t>
            </w:r>
          </w:p>
        </w:tc>
        <w:tc>
          <w:tcPr>
            <w:tcW w:w="4921" w:type="dxa"/>
            <w:shd w:val="clear" w:color="auto" w:fill="EAF1DD"/>
            <w:tcMar>
              <w:left w:w="115" w:type="dxa"/>
              <w:right w:w="115" w:type="dxa"/>
            </w:tcMar>
            <w:vAlign w:val="bottom"/>
          </w:tcPr>
          <w:p w14:paraId="6811E045"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Kombinirani kotlovi (kruto gorivo)</w:t>
            </w:r>
          </w:p>
        </w:tc>
        <w:tc>
          <w:tcPr>
            <w:tcW w:w="1815" w:type="dxa"/>
            <w:shd w:val="clear" w:color="auto" w:fill="EAF1DD"/>
            <w:tcMar>
              <w:left w:w="115" w:type="dxa"/>
              <w:right w:w="115" w:type="dxa"/>
            </w:tcMar>
            <w:vAlign w:val="bottom"/>
          </w:tcPr>
          <w:p w14:paraId="10D59448"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65 do 75%</w:t>
            </w:r>
          </w:p>
        </w:tc>
      </w:tr>
      <w:tr w:rsidR="00D41DA8" w:rsidRPr="009C52C4" w14:paraId="45B4125B" w14:textId="77777777" w:rsidTr="006130B9">
        <w:trPr>
          <w:trHeight w:val="197"/>
        </w:trPr>
        <w:tc>
          <w:tcPr>
            <w:tcW w:w="2234" w:type="dxa"/>
            <w:vMerge/>
            <w:shd w:val="clear" w:color="auto" w:fill="EAF1DD"/>
            <w:tcMar>
              <w:left w:w="115" w:type="dxa"/>
              <w:right w:w="115" w:type="dxa"/>
            </w:tcMar>
            <w:vAlign w:val="center"/>
          </w:tcPr>
          <w:p w14:paraId="40F7381C"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67306967"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Standardni</w:t>
            </w:r>
          </w:p>
        </w:tc>
        <w:tc>
          <w:tcPr>
            <w:tcW w:w="1815" w:type="dxa"/>
            <w:shd w:val="clear" w:color="auto" w:fill="EAF1DD"/>
            <w:tcMar>
              <w:left w:w="115" w:type="dxa"/>
              <w:right w:w="115" w:type="dxa"/>
            </w:tcMar>
            <w:vAlign w:val="bottom"/>
          </w:tcPr>
          <w:p w14:paraId="47488F73"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85 do 90%</w:t>
            </w:r>
          </w:p>
        </w:tc>
      </w:tr>
      <w:tr w:rsidR="00D41DA8" w:rsidRPr="009C52C4" w14:paraId="083447D0" w14:textId="77777777" w:rsidTr="006130B9">
        <w:trPr>
          <w:trHeight w:val="197"/>
        </w:trPr>
        <w:tc>
          <w:tcPr>
            <w:tcW w:w="2234" w:type="dxa"/>
            <w:vMerge/>
            <w:shd w:val="clear" w:color="auto" w:fill="EAF1DD"/>
            <w:tcMar>
              <w:left w:w="115" w:type="dxa"/>
              <w:right w:w="115" w:type="dxa"/>
            </w:tcMar>
            <w:vAlign w:val="center"/>
          </w:tcPr>
          <w:p w14:paraId="28311642"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7E2FBCB6"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Nisko temperaturni</w:t>
            </w:r>
          </w:p>
        </w:tc>
        <w:tc>
          <w:tcPr>
            <w:tcW w:w="1815" w:type="dxa"/>
            <w:shd w:val="clear" w:color="auto" w:fill="EAF1DD"/>
            <w:tcMar>
              <w:left w:w="115" w:type="dxa"/>
              <w:right w:w="115" w:type="dxa"/>
            </w:tcMar>
            <w:vAlign w:val="bottom"/>
          </w:tcPr>
          <w:p w14:paraId="0867910D"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90 do 95%</w:t>
            </w:r>
          </w:p>
        </w:tc>
      </w:tr>
      <w:tr w:rsidR="00D41DA8" w:rsidRPr="009C52C4" w14:paraId="38E5E040" w14:textId="77777777" w:rsidTr="006130B9">
        <w:trPr>
          <w:trHeight w:val="197"/>
        </w:trPr>
        <w:tc>
          <w:tcPr>
            <w:tcW w:w="2234" w:type="dxa"/>
            <w:vMerge w:val="restart"/>
            <w:shd w:val="clear" w:color="auto" w:fill="EAF1DD"/>
            <w:tcMar>
              <w:left w:w="115" w:type="dxa"/>
              <w:right w:w="115" w:type="dxa"/>
            </w:tcMar>
            <w:vAlign w:val="center"/>
          </w:tcPr>
          <w:p w14:paraId="58B3B0DB"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Plinska goriva</w:t>
            </w:r>
          </w:p>
        </w:tc>
        <w:tc>
          <w:tcPr>
            <w:tcW w:w="4921" w:type="dxa"/>
            <w:shd w:val="clear" w:color="auto" w:fill="EAF1DD"/>
            <w:tcMar>
              <w:left w:w="115" w:type="dxa"/>
              <w:right w:w="115" w:type="dxa"/>
            </w:tcMar>
            <w:vAlign w:val="bottom"/>
          </w:tcPr>
          <w:p w14:paraId="0094A78A"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Standardni</w:t>
            </w:r>
          </w:p>
        </w:tc>
        <w:tc>
          <w:tcPr>
            <w:tcW w:w="1815" w:type="dxa"/>
            <w:shd w:val="clear" w:color="auto" w:fill="EAF1DD"/>
            <w:tcMar>
              <w:left w:w="115" w:type="dxa"/>
              <w:right w:w="115" w:type="dxa"/>
            </w:tcMar>
            <w:vAlign w:val="bottom"/>
          </w:tcPr>
          <w:p w14:paraId="61EC14C6"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92 do 95%</w:t>
            </w:r>
          </w:p>
        </w:tc>
      </w:tr>
      <w:tr w:rsidR="00D41DA8" w:rsidRPr="009C52C4" w14:paraId="58549D40" w14:textId="77777777" w:rsidTr="006130B9">
        <w:trPr>
          <w:trHeight w:val="197"/>
        </w:trPr>
        <w:tc>
          <w:tcPr>
            <w:tcW w:w="2234" w:type="dxa"/>
            <w:vMerge/>
            <w:shd w:val="clear" w:color="auto" w:fill="EAF1DD"/>
            <w:tcMar>
              <w:left w:w="115" w:type="dxa"/>
              <w:right w:w="115" w:type="dxa"/>
            </w:tcMar>
            <w:vAlign w:val="center"/>
          </w:tcPr>
          <w:p w14:paraId="65D8C0E7"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476D4CF6"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Nisko temperaturni</w:t>
            </w:r>
          </w:p>
        </w:tc>
        <w:tc>
          <w:tcPr>
            <w:tcW w:w="1815" w:type="dxa"/>
            <w:shd w:val="clear" w:color="auto" w:fill="EAF1DD"/>
            <w:tcMar>
              <w:left w:w="115" w:type="dxa"/>
              <w:right w:w="115" w:type="dxa"/>
            </w:tcMar>
            <w:vAlign w:val="bottom"/>
          </w:tcPr>
          <w:p w14:paraId="472E5A8D"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95 do 98%</w:t>
            </w:r>
          </w:p>
        </w:tc>
      </w:tr>
      <w:tr w:rsidR="00D41DA8" w:rsidRPr="009C52C4" w14:paraId="028585E8" w14:textId="77777777" w:rsidTr="006130B9">
        <w:trPr>
          <w:trHeight w:val="197"/>
        </w:trPr>
        <w:tc>
          <w:tcPr>
            <w:tcW w:w="2234" w:type="dxa"/>
            <w:vMerge/>
            <w:shd w:val="clear" w:color="auto" w:fill="EAF1DD"/>
            <w:tcMar>
              <w:left w:w="115" w:type="dxa"/>
              <w:right w:w="115" w:type="dxa"/>
            </w:tcMar>
            <w:vAlign w:val="center"/>
          </w:tcPr>
          <w:p w14:paraId="41218BC6" w14:textId="77777777" w:rsidR="00D41DA8" w:rsidRPr="009C52C4" w:rsidRDefault="00D41DA8">
            <w:pPr>
              <w:rPr>
                <w:rFonts w:ascii="Times New Roman" w:hAnsi="Times New Roman" w:cs="Times New Roman"/>
                <w:sz w:val="24"/>
                <w:szCs w:val="24"/>
              </w:rPr>
            </w:pPr>
          </w:p>
        </w:tc>
        <w:tc>
          <w:tcPr>
            <w:tcW w:w="4921" w:type="dxa"/>
            <w:shd w:val="clear" w:color="auto" w:fill="EAF1DD"/>
            <w:tcMar>
              <w:left w:w="115" w:type="dxa"/>
              <w:right w:w="115" w:type="dxa"/>
            </w:tcMar>
            <w:vAlign w:val="bottom"/>
          </w:tcPr>
          <w:p w14:paraId="3EFBF782" w14:textId="77777777" w:rsidR="00D41DA8" w:rsidRPr="009C52C4" w:rsidRDefault="00D41DA8">
            <w:pPr>
              <w:rPr>
                <w:rFonts w:ascii="Times New Roman" w:hAnsi="Times New Roman" w:cs="Times New Roman"/>
                <w:sz w:val="24"/>
                <w:szCs w:val="24"/>
              </w:rPr>
            </w:pPr>
            <w:r w:rsidRPr="009C52C4">
              <w:rPr>
                <w:rFonts w:ascii="Times New Roman" w:hAnsi="Times New Roman" w:cs="Times New Roman"/>
                <w:sz w:val="24"/>
                <w:szCs w:val="24"/>
              </w:rPr>
              <w:t>Kondenzacijski</w:t>
            </w:r>
          </w:p>
        </w:tc>
        <w:tc>
          <w:tcPr>
            <w:tcW w:w="1815" w:type="dxa"/>
            <w:shd w:val="clear" w:color="auto" w:fill="EAF1DD"/>
            <w:tcMar>
              <w:left w:w="115" w:type="dxa"/>
              <w:right w:w="115" w:type="dxa"/>
            </w:tcMar>
            <w:vAlign w:val="bottom"/>
          </w:tcPr>
          <w:p w14:paraId="63530221" w14:textId="77777777" w:rsidR="00D41DA8" w:rsidRPr="009C52C4" w:rsidRDefault="00D41DA8" w:rsidP="001F15D3">
            <w:pPr>
              <w:jc w:val="center"/>
              <w:rPr>
                <w:rFonts w:ascii="Times New Roman" w:hAnsi="Times New Roman" w:cs="Times New Roman"/>
                <w:sz w:val="24"/>
                <w:szCs w:val="24"/>
              </w:rPr>
            </w:pPr>
            <w:r w:rsidRPr="009C52C4">
              <w:rPr>
                <w:rFonts w:ascii="Times New Roman" w:hAnsi="Times New Roman" w:cs="Times New Roman"/>
                <w:sz w:val="24"/>
                <w:szCs w:val="24"/>
              </w:rPr>
              <w:t>do 108%</w:t>
            </w:r>
          </w:p>
        </w:tc>
      </w:tr>
    </w:tbl>
    <w:p w14:paraId="576EC78F" w14:textId="3DCE26B4" w:rsidR="00B122B4" w:rsidRPr="009C52C4" w:rsidRDefault="007C2814">
      <w:pPr>
        <w:rPr>
          <w:rFonts w:ascii="Times New Roman" w:hAnsi="Times New Roman" w:cs="Times New Roman"/>
          <w:sz w:val="24"/>
          <w:szCs w:val="24"/>
        </w:rPr>
      </w:pPr>
      <w:r w:rsidRPr="009C52C4">
        <w:rPr>
          <w:rFonts w:ascii="Times New Roman" w:hAnsi="Times New Roman" w:cs="Times New Roman"/>
          <w:sz w:val="24"/>
          <w:szCs w:val="24"/>
        </w:rPr>
        <w:t xml:space="preserve">  </w:t>
      </w:r>
      <w:r w:rsidR="000B57C1" w:rsidRPr="009C52C4">
        <w:rPr>
          <w:rFonts w:ascii="Times New Roman" w:hAnsi="Times New Roman" w:cs="Times New Roman"/>
          <w:sz w:val="24"/>
          <w:szCs w:val="24"/>
        </w:rPr>
        <w:t xml:space="preserve">Izvor: </w:t>
      </w:r>
      <w:r w:rsidR="000B57C1" w:rsidRPr="009C52C4">
        <w:rPr>
          <w:rFonts w:ascii="Times New Roman" w:hAnsi="Times New Roman" w:cs="Times New Roman"/>
          <w:i/>
          <w:sz w:val="24"/>
          <w:szCs w:val="24"/>
        </w:rPr>
        <w:t>REGEA,</w:t>
      </w:r>
      <w:r w:rsidR="000B57C1" w:rsidRPr="009C52C4">
        <w:rPr>
          <w:rFonts w:ascii="Times New Roman" w:hAnsi="Times New Roman" w:cs="Times New Roman"/>
          <w:sz w:val="24"/>
          <w:szCs w:val="24"/>
        </w:rPr>
        <w:t xml:space="preserve"> 2017</w:t>
      </w:r>
    </w:p>
    <w:p w14:paraId="4FEA8E38" w14:textId="77777777" w:rsidR="000B57C1" w:rsidRPr="009C52C4" w:rsidRDefault="000B57C1">
      <w:pPr>
        <w:rPr>
          <w:rFonts w:ascii="Times New Roman" w:hAnsi="Times New Roman" w:cs="Times New Roman"/>
          <w:sz w:val="24"/>
          <w:szCs w:val="24"/>
        </w:rPr>
      </w:pPr>
    </w:p>
    <w:p w14:paraId="745EDFF2" w14:textId="18A8D5FD"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Prema članku 66. Tehničkog propisa, za zgrade veće od 50 m</w:t>
      </w:r>
      <w:r w:rsidRPr="009C52C4">
        <w:rPr>
          <w:rFonts w:ascii="Times New Roman" w:hAnsi="Times New Roman" w:cs="Times New Roman"/>
          <w:sz w:val="24"/>
          <w:szCs w:val="24"/>
          <w:vertAlign w:val="superscript"/>
        </w:rPr>
        <w:t xml:space="preserve">2 </w:t>
      </w:r>
      <w:r w:rsidRPr="009C52C4">
        <w:rPr>
          <w:rFonts w:ascii="Times New Roman" w:hAnsi="Times New Roman" w:cs="Times New Roman"/>
          <w:sz w:val="24"/>
          <w:szCs w:val="24"/>
        </w:rPr>
        <w:t>koje moraju ispuniti zahtjeve energetskih svojstava i koje se griju na unutarnju temperaturu veću od 18 °C, obavezan je Elaborat alternativnih sustava opskrb</w:t>
      </w:r>
      <w:r w:rsidR="001D275B" w:rsidRPr="009C52C4">
        <w:rPr>
          <w:rFonts w:ascii="Times New Roman" w:hAnsi="Times New Roman" w:cs="Times New Roman"/>
          <w:sz w:val="24"/>
          <w:szCs w:val="24"/>
        </w:rPr>
        <w:t>e</w:t>
      </w:r>
      <w:r w:rsidRPr="009C52C4">
        <w:rPr>
          <w:rFonts w:ascii="Times New Roman" w:hAnsi="Times New Roman" w:cs="Times New Roman"/>
          <w:sz w:val="24"/>
          <w:szCs w:val="24"/>
        </w:rPr>
        <w:t xml:space="preserve"> energijom, naročito decentraliziranih sustava opskrbe energijom korištenjem obnovljivih izvora energije, kogeneracijskih sustava, sustava s dizalicama topline i daljinskog grijanja i hlađenja. Zakon o gradnji obvezuje projektanta da prije izrade glavnog projekta zgrade koja mora ispunjavati zahtjeve energetske učinkovitosti, treba izraditi Elaborat alternativnih sustava opskrbe energijom i predati ga investitoru. </w:t>
      </w:r>
    </w:p>
    <w:p w14:paraId="76C22C70" w14:textId="77777777" w:rsidR="00362848" w:rsidRPr="009C52C4" w:rsidRDefault="00362848" w:rsidP="00362848">
      <w:pPr>
        <w:ind w:right="357"/>
        <w:rPr>
          <w:rFonts w:ascii="Times New Roman" w:hAnsi="Times New Roman" w:cs="Times New Roman"/>
          <w:sz w:val="24"/>
          <w:szCs w:val="24"/>
        </w:rPr>
      </w:pPr>
    </w:p>
    <w:p w14:paraId="122FC9B0" w14:textId="77777777" w:rsidR="00B122B4"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Bazirano na pozitivnim iskustvima i energetsko-ekološkoj s jedne i ekonomskoj optimalnosti s druge strane, daljinsko grijanje i/ili hlađenje temeljeno na energiji iz obnovljivih izvora je smjer u kojem se trebaju razvijati sustavi grijanja nacionalnog fonda zgrada Republike Hrvatske. Na područjima gdje nije primjenjivo daljinsko grijanje i/ili hlađenje trebali bi se ugrađivati pojedinačni sustavi koji također koriste obnovljive izvore energije poput kotlova na biomasu i dizalica topline. Imajući u vidu veliki energetski potencijal biomase kao i </w:t>
      </w:r>
      <w:r w:rsidRPr="009C52C4">
        <w:rPr>
          <w:rFonts w:ascii="Times New Roman" w:hAnsi="Times New Roman" w:cs="Times New Roman"/>
          <w:sz w:val="24"/>
          <w:szCs w:val="24"/>
        </w:rPr>
        <w:lastRenderedPageBreak/>
        <w:t>gospodarske koristi koje proizlaze iz njezinog iskorištavanje, veća primjena daljinskih sustava grijanja na biomasu je u nacionalnom interesu</w:t>
      </w:r>
      <w:r w:rsidR="007014C8" w:rsidRPr="009C52C4">
        <w:rPr>
          <w:rStyle w:val="FootnoteReference"/>
          <w:rFonts w:ascii="Times New Roman" w:hAnsi="Times New Roman" w:cs="Times New Roman"/>
          <w:sz w:val="24"/>
          <w:szCs w:val="24"/>
        </w:rPr>
        <w:footnoteReference w:id="30"/>
      </w:r>
      <w:r w:rsidRPr="009C52C4">
        <w:rPr>
          <w:rFonts w:ascii="Times New Roman" w:hAnsi="Times New Roman" w:cs="Times New Roman"/>
          <w:sz w:val="24"/>
          <w:szCs w:val="24"/>
        </w:rPr>
        <w:t>.</w:t>
      </w:r>
      <w:r w:rsidRPr="009C52C4">
        <w:rPr>
          <w:rFonts w:ascii="Times New Roman" w:hAnsi="Times New Roman" w:cs="Times New Roman"/>
          <w:sz w:val="24"/>
          <w:szCs w:val="24"/>
        </w:rPr>
        <w:br w:type="page"/>
      </w:r>
    </w:p>
    <w:p w14:paraId="4E59284C" w14:textId="77777777" w:rsidR="00B122B4" w:rsidRPr="009C52C4" w:rsidRDefault="00F54CC3" w:rsidP="004F09F1">
      <w:pPr>
        <w:pStyle w:val="Heading1"/>
        <w:numPr>
          <w:ilvl w:val="0"/>
          <w:numId w:val="20"/>
        </w:numPr>
        <w:spacing w:before="480" w:line="276" w:lineRule="auto"/>
        <w:ind w:hanging="359"/>
        <w:rPr>
          <w:rFonts w:ascii="Times New Roman" w:hAnsi="Times New Roman" w:cs="Times New Roman"/>
          <w:sz w:val="24"/>
          <w:szCs w:val="24"/>
        </w:rPr>
      </w:pPr>
      <w:bookmarkStart w:id="100" w:name="h.2u6wntf" w:colFirst="0" w:colLast="0"/>
      <w:bookmarkStart w:id="101" w:name="_Toc3277905"/>
      <w:bookmarkEnd w:id="100"/>
      <w:r w:rsidRPr="009C52C4">
        <w:rPr>
          <w:rFonts w:ascii="Times New Roman" w:hAnsi="Times New Roman" w:cs="Times New Roman"/>
          <w:sz w:val="24"/>
          <w:szCs w:val="24"/>
        </w:rPr>
        <w:lastRenderedPageBreak/>
        <w:t>Analiza ključnih elemenata programa obnove zgrada</w:t>
      </w:r>
      <w:bookmarkEnd w:id="101"/>
    </w:p>
    <w:p w14:paraId="4D6BD0C3" w14:textId="77777777" w:rsidR="00B122B4" w:rsidRPr="009C52C4" w:rsidRDefault="00F54CC3" w:rsidP="004F09F1">
      <w:pPr>
        <w:pStyle w:val="Heading2"/>
        <w:numPr>
          <w:ilvl w:val="1"/>
          <w:numId w:val="20"/>
        </w:numPr>
        <w:ind w:left="567" w:firstLine="0"/>
        <w:rPr>
          <w:rFonts w:ascii="Times New Roman" w:hAnsi="Times New Roman" w:cs="Times New Roman"/>
          <w:sz w:val="24"/>
          <w:szCs w:val="24"/>
        </w:rPr>
      </w:pPr>
      <w:bookmarkStart w:id="102" w:name="h.19c6y18" w:colFirst="0" w:colLast="0"/>
      <w:bookmarkStart w:id="103" w:name="_Toc3277906"/>
      <w:bookmarkEnd w:id="102"/>
      <w:r w:rsidRPr="009C52C4">
        <w:rPr>
          <w:rFonts w:ascii="Times New Roman" w:hAnsi="Times New Roman" w:cs="Times New Roman"/>
          <w:sz w:val="24"/>
          <w:szCs w:val="24"/>
        </w:rPr>
        <w:t>Tehničke mogućnosti za energetsku obnovu (retrofit) primjenom mjera energetske učinkovitosti i obnovljivih izvora energije za svaku kategoriju zgrada</w:t>
      </w:r>
      <w:bookmarkEnd w:id="103"/>
    </w:p>
    <w:p w14:paraId="3C34AAEC" w14:textId="77777777" w:rsidR="00B122B4" w:rsidRPr="009C52C4" w:rsidRDefault="00B122B4">
      <w:pPr>
        <w:rPr>
          <w:rFonts w:ascii="Times New Roman" w:hAnsi="Times New Roman" w:cs="Times New Roman"/>
          <w:sz w:val="24"/>
          <w:szCs w:val="24"/>
        </w:rPr>
      </w:pPr>
    </w:p>
    <w:p w14:paraId="4B8DF0A8" w14:textId="6ECA948C" w:rsidR="00362848" w:rsidRPr="009C52C4" w:rsidRDefault="00362848" w:rsidP="00362848">
      <w:pPr>
        <w:rPr>
          <w:rFonts w:ascii="Times New Roman" w:hAnsi="Times New Roman" w:cs="Times New Roman"/>
          <w:color w:val="auto"/>
          <w:sz w:val="24"/>
          <w:szCs w:val="24"/>
        </w:rPr>
      </w:pPr>
      <w:bookmarkStart w:id="104" w:name="h.3tbugp1" w:colFirst="0" w:colLast="0"/>
      <w:bookmarkEnd w:id="104"/>
      <w:r w:rsidRPr="009C52C4">
        <w:rPr>
          <w:rFonts w:ascii="Times New Roman" w:hAnsi="Times New Roman" w:cs="Times New Roman"/>
          <w:color w:val="auto"/>
          <w:sz w:val="24"/>
          <w:szCs w:val="24"/>
        </w:rPr>
        <w:t xml:space="preserve">Za potrebe energetske obnove zgrada primjenom mjera energetske učinkovitosti (EnU) i obnovljivih izvora energije (OIE), pozornost se usmjerava na zgrade građene prije 1987. godine te na njihovu obnovu </w:t>
      </w:r>
      <w:r w:rsidR="00866CBC" w:rsidRPr="009C52C4">
        <w:rPr>
          <w:rFonts w:ascii="Times New Roman" w:hAnsi="Times New Roman" w:cs="Times New Roman"/>
          <w:color w:val="auto"/>
          <w:sz w:val="24"/>
          <w:szCs w:val="24"/>
        </w:rPr>
        <w:t xml:space="preserve">prema zahtjevima </w:t>
      </w:r>
      <w:r w:rsidR="00866CBC" w:rsidRPr="009C52C4">
        <w:rPr>
          <w:rFonts w:ascii="Times New Roman" w:hAnsi="Times New Roman" w:cs="Times New Roman"/>
          <w:i/>
          <w:color w:val="auto"/>
          <w:sz w:val="24"/>
          <w:szCs w:val="24"/>
        </w:rPr>
        <w:t>Tehničkog propisa</w:t>
      </w:r>
      <w:r w:rsidRPr="009C52C4">
        <w:rPr>
          <w:rFonts w:ascii="Times New Roman" w:hAnsi="Times New Roman" w:cs="Times New Roman"/>
          <w:color w:val="auto"/>
          <w:sz w:val="24"/>
          <w:szCs w:val="24"/>
        </w:rPr>
        <w:t>. Navedeni fond zgrada izabran je zbog najvećeg potencijala ušteda i značajnog udjela u ukupnoj površini svih zgrada te je sukladan ciljevima mjera obnove zgrada opisanima u Četvrto</w:t>
      </w:r>
      <w:r w:rsidR="00555A05"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rPr>
        <w:t xml:space="preserve"> nacionalno</w:t>
      </w:r>
      <w:r w:rsidR="00555A05"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rPr>
        <w:t xml:space="preserve"> akcijsko</w:t>
      </w:r>
      <w:r w:rsidR="00555A05"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rPr>
        <w:t xml:space="preserve"> plan</w:t>
      </w:r>
      <w:r w:rsidR="00555A05" w:rsidRPr="009C52C4">
        <w:rPr>
          <w:rFonts w:ascii="Times New Roman" w:hAnsi="Times New Roman" w:cs="Times New Roman"/>
          <w:color w:val="auto"/>
          <w:sz w:val="24"/>
          <w:szCs w:val="24"/>
        </w:rPr>
        <w:t>u</w:t>
      </w:r>
      <w:r w:rsidRPr="009C52C4">
        <w:rPr>
          <w:rFonts w:ascii="Times New Roman" w:hAnsi="Times New Roman" w:cs="Times New Roman"/>
          <w:color w:val="auto"/>
          <w:sz w:val="24"/>
          <w:szCs w:val="24"/>
        </w:rPr>
        <w:t xml:space="preserve"> energetske učinkovitosti za razdoblje do kraja 2019. Preduvjet za provođenje mjera EnU i OIE je postojanje projektne dokumentacije u skladu s relevantnim zakonodavstvom. Također, preduvjet provedbi mjera EnU i OIE je provedeni energetski pregled zgrade koji uključuje razradu preporučenih mjera i uspostavu sustava gospodarenja energijom u zgradi.</w:t>
      </w:r>
    </w:p>
    <w:p w14:paraId="1F563D77" w14:textId="77777777" w:rsidR="00362848" w:rsidRPr="009C52C4" w:rsidRDefault="00362848" w:rsidP="00362848">
      <w:pPr>
        <w:rPr>
          <w:rFonts w:ascii="Times New Roman" w:hAnsi="Times New Roman" w:cs="Times New Roman"/>
          <w:sz w:val="24"/>
          <w:szCs w:val="24"/>
        </w:rPr>
      </w:pPr>
    </w:p>
    <w:p w14:paraId="4A80CF4D"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Pri svakom postupku obnove zgrade, mjera energetske učinkovitosti koja ima prioritet je rekonstrukcija vanjske ovojnice grijanog prostora. Prednost ove mjere, uz značajne rezultirajuće uštede, leži u čestoj potrebi za redimenzioniranjem tehničkih sustava (poglavito sustava grijanja i hlađenja) nakon njene primjene zbog smanjenja energetskih potreba. Iako pri postupku obnove nije moguće u velikoj mjeri utjecati na arhitektonsko oblikovanje zgrade, pri obnovi svake zgrade zasebno potrebno je razmotriti mogućnosti oblikovanja arhitektonskih detalja zgrade</w:t>
      </w:r>
      <w:r w:rsidR="00415EC9" w:rsidRPr="009C52C4">
        <w:rPr>
          <w:rFonts w:ascii="Times New Roman" w:hAnsi="Times New Roman" w:cs="Times New Roman"/>
          <w:sz w:val="24"/>
          <w:szCs w:val="24"/>
        </w:rPr>
        <w:t xml:space="preserve"> poput pokretnih elemenata zasjenjenja, primjene većih staklenih površina na južnim (jugoistočnim, jugozapadnim) dijelovima pročelja, toplinsku zaštitu nezaštićenih istaka i prodora u svrhu eliminacije pojave toplinskih mostova i dr.</w:t>
      </w:r>
      <w:r w:rsidR="00574A75" w:rsidRPr="009C52C4">
        <w:rPr>
          <w:rFonts w:ascii="Times New Roman" w:hAnsi="Times New Roman" w:cs="Times New Roman"/>
          <w:sz w:val="24"/>
          <w:szCs w:val="24"/>
        </w:rPr>
        <w:t xml:space="preserve"> </w:t>
      </w:r>
      <w:r w:rsidRPr="009C52C4">
        <w:rPr>
          <w:rFonts w:ascii="Times New Roman" w:hAnsi="Times New Roman" w:cs="Times New Roman"/>
          <w:sz w:val="24"/>
          <w:szCs w:val="24"/>
        </w:rPr>
        <w:t>Uz sve prethodno navedene aktivnosti, mjerom je potrebno zadovoljiti maksimalne dozvoljene koeficijente prolaska topline konstrukcijskih dijelova.</w:t>
      </w:r>
    </w:p>
    <w:p w14:paraId="4A9DAB57" w14:textId="77777777" w:rsidR="00362848" w:rsidRPr="009C52C4" w:rsidRDefault="00362848" w:rsidP="00362848">
      <w:pPr>
        <w:rPr>
          <w:rFonts w:ascii="Times New Roman" w:hAnsi="Times New Roman" w:cs="Times New Roman"/>
          <w:sz w:val="24"/>
          <w:szCs w:val="24"/>
        </w:rPr>
      </w:pPr>
    </w:p>
    <w:p w14:paraId="1DC317CD" w14:textId="224C29E8" w:rsidR="00362848" w:rsidRPr="009C52C4" w:rsidRDefault="00D4611E" w:rsidP="00362848">
      <w:pPr>
        <w:rPr>
          <w:rFonts w:ascii="Times New Roman" w:hAnsi="Times New Roman" w:cs="Times New Roman"/>
          <w:sz w:val="24"/>
          <w:szCs w:val="24"/>
        </w:rPr>
      </w:pPr>
      <w:r w:rsidRPr="009C52C4">
        <w:rPr>
          <w:rFonts w:ascii="Times New Roman" w:hAnsi="Times New Roman" w:cs="Times New Roman"/>
          <w:sz w:val="24"/>
          <w:szCs w:val="24"/>
        </w:rPr>
        <w:t>Standard gradnje zgrade gotovo nulte energije (</w:t>
      </w:r>
      <w:r w:rsidR="00362848" w:rsidRPr="009C52C4">
        <w:rPr>
          <w:rFonts w:ascii="Times New Roman" w:hAnsi="Times New Roman" w:cs="Times New Roman"/>
          <w:sz w:val="24"/>
          <w:szCs w:val="24"/>
        </w:rPr>
        <w:t>nZEB standard</w:t>
      </w:r>
      <w:r w:rsidRPr="009C52C4">
        <w:rPr>
          <w:rFonts w:ascii="Times New Roman" w:hAnsi="Times New Roman" w:cs="Times New Roman"/>
          <w:sz w:val="24"/>
          <w:szCs w:val="24"/>
        </w:rPr>
        <w:t>)</w:t>
      </w:r>
      <w:r w:rsidR="00362848" w:rsidRPr="009C52C4">
        <w:rPr>
          <w:rFonts w:ascii="Times New Roman" w:hAnsi="Times New Roman" w:cs="Times New Roman"/>
          <w:sz w:val="24"/>
          <w:szCs w:val="24"/>
        </w:rPr>
        <w:t xml:space="preserve"> u Republici Hrvatskoj je u potpunosti definiran Tehničkim propisom o racionalnoj uporabi energije i toplinskoj zaštiti u zgradama. Člankom 9. </w:t>
      </w:r>
      <w:r w:rsidR="00834639" w:rsidRPr="009C52C4">
        <w:rPr>
          <w:rFonts w:ascii="Times New Roman" w:hAnsi="Times New Roman" w:cs="Times New Roman"/>
          <w:sz w:val="24"/>
          <w:szCs w:val="24"/>
        </w:rPr>
        <w:t>Direktive 2010/31/EU</w:t>
      </w:r>
      <w:r w:rsidR="009207FB" w:rsidRPr="009C52C4">
        <w:rPr>
          <w:rFonts w:ascii="Times New Roman" w:hAnsi="Times New Roman" w:cs="Times New Roman"/>
          <w:sz w:val="24"/>
          <w:szCs w:val="24"/>
        </w:rPr>
        <w:t xml:space="preserve"> Europskog parlamenta i Vijeća od 19. svibnja 2010. o energetskoj učinkovitosti zgrada (preinaka)</w:t>
      </w:r>
      <w:r w:rsidR="00E34FB4" w:rsidRPr="009C52C4">
        <w:rPr>
          <w:rStyle w:val="FootnoteReference"/>
          <w:rFonts w:ascii="Times New Roman" w:hAnsi="Times New Roman" w:cs="Times New Roman"/>
          <w:sz w:val="24"/>
          <w:szCs w:val="24"/>
        </w:rPr>
        <w:t>6</w:t>
      </w:r>
      <w:r w:rsidR="00362848" w:rsidRPr="009C52C4">
        <w:rPr>
          <w:rFonts w:ascii="Times New Roman" w:hAnsi="Times New Roman" w:cs="Times New Roman"/>
          <w:sz w:val="24"/>
          <w:szCs w:val="24"/>
        </w:rPr>
        <w:t xml:space="preserve"> utvrđen je poseban cilj da do 31. prosinca 2020. godine sve nove zgrade moraju biti zgrade s približno nultim ili vrlo niskim energetskim potrebama (zgrade gotovo nulte energije). Približno nulta</w:t>
      </w:r>
      <w:r w:rsidR="00C7545B" w:rsidRPr="009C52C4">
        <w:rPr>
          <w:rFonts w:ascii="Times New Roman" w:hAnsi="Times New Roman" w:cs="Times New Roman"/>
          <w:sz w:val="24"/>
          <w:szCs w:val="24"/>
        </w:rPr>
        <w:t>,</w:t>
      </w:r>
      <w:r w:rsidR="00362848" w:rsidRPr="009C52C4">
        <w:rPr>
          <w:rFonts w:ascii="Times New Roman" w:hAnsi="Times New Roman" w:cs="Times New Roman"/>
          <w:sz w:val="24"/>
          <w:szCs w:val="24"/>
        </w:rPr>
        <w:t xml:space="preserve"> odnosno vrlo niska količina energije trebala bi se u znatnoj mjeri pokrivati energijom iz obnovljivih izvora. Ista odredba vrijedi za zgrade javne namjene koje </w:t>
      </w:r>
      <w:r w:rsidR="00C7545B" w:rsidRPr="009C52C4">
        <w:rPr>
          <w:rFonts w:ascii="Times New Roman" w:hAnsi="Times New Roman" w:cs="Times New Roman"/>
          <w:sz w:val="24"/>
          <w:szCs w:val="24"/>
        </w:rPr>
        <w:t xml:space="preserve">se </w:t>
      </w:r>
      <w:r w:rsidR="00362848" w:rsidRPr="009C52C4">
        <w:rPr>
          <w:rFonts w:ascii="Times New Roman" w:hAnsi="Times New Roman" w:cs="Times New Roman"/>
          <w:sz w:val="24"/>
          <w:szCs w:val="24"/>
        </w:rPr>
        <w:t>grad</w:t>
      </w:r>
      <w:r w:rsidR="00C7545B" w:rsidRPr="009C52C4">
        <w:rPr>
          <w:rFonts w:ascii="Times New Roman" w:hAnsi="Times New Roman" w:cs="Times New Roman"/>
          <w:sz w:val="24"/>
          <w:szCs w:val="24"/>
        </w:rPr>
        <w:t>e</w:t>
      </w:r>
      <w:r w:rsidR="00362848" w:rsidRPr="009C52C4">
        <w:rPr>
          <w:rFonts w:ascii="Times New Roman" w:hAnsi="Times New Roman" w:cs="Times New Roman"/>
          <w:sz w:val="24"/>
          <w:szCs w:val="24"/>
        </w:rPr>
        <w:t xml:space="preserve"> nakon 31. prosinca 2018. godine. Usporedno sa zahtjevima za nove zgrade, Direktivom se zahtijeva od država članica da uspostave politike kojima će se poticati adaptacija zgrada koje se obnavljaju u zgrade približno nulte energije. Zakonodavni okvir i planovi u Republici Hrvatskoj koji opisuju nZEB</w:t>
      </w:r>
      <w:r w:rsidRPr="009C52C4">
        <w:rPr>
          <w:rFonts w:ascii="Times New Roman" w:hAnsi="Times New Roman" w:cs="Times New Roman"/>
          <w:sz w:val="24"/>
          <w:szCs w:val="24"/>
        </w:rPr>
        <w:t xml:space="preserve"> standard</w:t>
      </w:r>
      <w:r w:rsidR="00362848" w:rsidRPr="009C52C4">
        <w:rPr>
          <w:rFonts w:ascii="Times New Roman" w:hAnsi="Times New Roman" w:cs="Times New Roman"/>
          <w:sz w:val="24"/>
          <w:szCs w:val="24"/>
        </w:rPr>
        <w:t>:</w:t>
      </w:r>
    </w:p>
    <w:p w14:paraId="6074DC3A" w14:textId="3EB67F9D" w:rsidR="00362848" w:rsidRPr="009C52C4" w:rsidRDefault="00362848" w:rsidP="00037B03">
      <w:pPr>
        <w:numPr>
          <w:ilvl w:val="2"/>
          <w:numId w:val="35"/>
        </w:numPr>
        <w:ind w:left="1418" w:hanging="709"/>
        <w:contextualSpacing/>
        <w:rPr>
          <w:rFonts w:ascii="Times New Roman" w:hAnsi="Times New Roman" w:cs="Times New Roman"/>
          <w:sz w:val="24"/>
          <w:szCs w:val="24"/>
        </w:rPr>
      </w:pPr>
      <w:r w:rsidRPr="009C52C4">
        <w:rPr>
          <w:rFonts w:ascii="Times New Roman" w:hAnsi="Times New Roman" w:cs="Times New Roman"/>
          <w:sz w:val="24"/>
          <w:szCs w:val="24"/>
        </w:rPr>
        <w:t>Tehnički propis o racionalnoj uporabi energije i toplinskoj zaštiti u zgradama</w:t>
      </w:r>
    </w:p>
    <w:p w14:paraId="7E318538" w14:textId="411E4AC2" w:rsidR="00362848" w:rsidRPr="009C52C4" w:rsidRDefault="00362848" w:rsidP="004F09F1">
      <w:pPr>
        <w:numPr>
          <w:ilvl w:val="2"/>
          <w:numId w:val="35"/>
        </w:numPr>
        <w:contextualSpacing/>
        <w:rPr>
          <w:rFonts w:ascii="Times New Roman" w:hAnsi="Times New Roman" w:cs="Times New Roman"/>
          <w:sz w:val="24"/>
          <w:szCs w:val="24"/>
        </w:rPr>
      </w:pPr>
      <w:r w:rsidRPr="009C52C4">
        <w:rPr>
          <w:rFonts w:ascii="Times New Roman" w:hAnsi="Times New Roman" w:cs="Times New Roman"/>
          <w:sz w:val="24"/>
          <w:szCs w:val="24"/>
        </w:rPr>
        <w:t>Plan za povećanje zgrada gotovo nulte energije do 2020. godine</w:t>
      </w:r>
    </w:p>
    <w:p w14:paraId="4CD0A19D" w14:textId="77777777" w:rsidR="00362848" w:rsidRPr="009C52C4" w:rsidRDefault="00362848" w:rsidP="00362848">
      <w:pPr>
        <w:rPr>
          <w:rFonts w:ascii="Times New Roman" w:hAnsi="Times New Roman" w:cs="Times New Roman"/>
          <w:sz w:val="24"/>
          <w:szCs w:val="24"/>
        </w:rPr>
      </w:pPr>
    </w:p>
    <w:p w14:paraId="7AD4F001"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Svojstva zgrada gotovo nulte energije određena su prema karakteristikama fonda utvrđenim za definiciju referentnih zgrada, uz optimizaciju geometrijskih karakteristika s ciljem postizanja što niže razine potrebne energije za zadovoljavanje energetskih potreba zgrada. Definicija zgrade gotovo nulte energije u RH primjenjuje se za nove zgrade prema sljedećim namjenama: </w:t>
      </w:r>
    </w:p>
    <w:p w14:paraId="56084CC0" w14:textId="3CA4491F"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jednoobiteljska zgrada</w:t>
      </w:r>
    </w:p>
    <w:p w14:paraId="17753B4B" w14:textId="05960AED"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višestambena zgrada</w:t>
      </w:r>
    </w:p>
    <w:p w14:paraId="0770620C" w14:textId="401DC3CD"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uredska zgrada</w:t>
      </w:r>
    </w:p>
    <w:p w14:paraId="7D6E29DE" w14:textId="3F21B168"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lastRenderedPageBreak/>
        <w:t>zgrada za obrazovanje</w:t>
      </w:r>
    </w:p>
    <w:p w14:paraId="06491CBE" w14:textId="0A9FBEB9"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zgrada za trgovinu (maloprodaja i veleprodaja) </w:t>
      </w:r>
    </w:p>
    <w:p w14:paraId="3DE05880" w14:textId="00D59DA8"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zgrada hotela i restorana</w:t>
      </w:r>
    </w:p>
    <w:p w14:paraId="62AFF82C" w14:textId="1698D3D8"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zgrada bolnica</w:t>
      </w:r>
    </w:p>
    <w:p w14:paraId="13D08960" w14:textId="0003B517" w:rsidR="00362848" w:rsidRPr="009C52C4" w:rsidRDefault="00362848" w:rsidP="004F09F1">
      <w:pPr>
        <w:numPr>
          <w:ilvl w:val="2"/>
          <w:numId w:val="36"/>
        </w:numPr>
        <w:contextualSpacing/>
        <w:rPr>
          <w:rFonts w:ascii="Times New Roman" w:hAnsi="Times New Roman" w:cs="Times New Roman"/>
          <w:sz w:val="24"/>
          <w:szCs w:val="24"/>
        </w:rPr>
      </w:pPr>
      <w:r w:rsidRPr="009C52C4">
        <w:rPr>
          <w:rFonts w:ascii="Times New Roman" w:hAnsi="Times New Roman" w:cs="Times New Roman"/>
          <w:sz w:val="24"/>
          <w:szCs w:val="24"/>
        </w:rPr>
        <w:t>zgrada sportskih dvorana</w:t>
      </w:r>
    </w:p>
    <w:p w14:paraId="4232F61A" w14:textId="77777777" w:rsidR="00362848" w:rsidRPr="009C52C4" w:rsidRDefault="00362848" w:rsidP="00362848">
      <w:pPr>
        <w:rPr>
          <w:rFonts w:ascii="Times New Roman" w:hAnsi="Times New Roman" w:cs="Times New Roman"/>
          <w:sz w:val="24"/>
          <w:szCs w:val="24"/>
        </w:rPr>
      </w:pPr>
    </w:p>
    <w:p w14:paraId="38180F33" w14:textId="4226D92E"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Zgrada gotovo nulte energije definirana je potrošnjom primarne energije za grijanje, hlađenje, ventilaciju, pripremu potrošne tople vode i rasvjetu te minimalnim udjelom obnovljivih izvora energije od 30% u primarnoj energiji potrebnoj za zadovoljavanje energetskih potreba zgrade. Tehničkim propisom definiran</w:t>
      </w:r>
      <w:r w:rsidR="00C960C8" w:rsidRPr="009C52C4">
        <w:rPr>
          <w:rFonts w:ascii="Times New Roman" w:hAnsi="Times New Roman" w:cs="Times New Roman"/>
          <w:sz w:val="24"/>
          <w:szCs w:val="24"/>
        </w:rPr>
        <w:t>a su</w:t>
      </w:r>
      <w:r w:rsidRPr="009C52C4">
        <w:rPr>
          <w:rFonts w:ascii="Times New Roman" w:hAnsi="Times New Roman" w:cs="Times New Roman"/>
          <w:sz w:val="24"/>
          <w:szCs w:val="24"/>
        </w:rPr>
        <w:t xml:space="preserve"> </w:t>
      </w:r>
      <w:r w:rsidR="00C960C8" w:rsidRPr="009C52C4">
        <w:rPr>
          <w:rFonts w:ascii="Times New Roman" w:hAnsi="Times New Roman" w:cs="Times New Roman"/>
          <w:sz w:val="24"/>
          <w:szCs w:val="24"/>
        </w:rPr>
        <w:t>ograničenja iznosa godišnje potrebne toplinske energije za grijanje po jedinici ploštine korisne površine zgrade Q’’</w:t>
      </w:r>
      <w:r w:rsidR="00C960C8" w:rsidRPr="009C52C4">
        <w:rPr>
          <w:rFonts w:ascii="Times New Roman" w:hAnsi="Times New Roman" w:cs="Times New Roman"/>
          <w:sz w:val="24"/>
          <w:szCs w:val="24"/>
          <w:vertAlign w:val="subscript"/>
        </w:rPr>
        <w:t>H,nd</w:t>
      </w:r>
      <w:r w:rsidR="00C960C8" w:rsidRPr="009C52C4">
        <w:rPr>
          <w:rFonts w:ascii="Times New Roman" w:hAnsi="Times New Roman" w:cs="Times New Roman"/>
          <w:sz w:val="24"/>
          <w:szCs w:val="24"/>
        </w:rPr>
        <w:t xml:space="preserve"> [kWh/(m</w:t>
      </w:r>
      <w:r w:rsidR="00C960C8" w:rsidRPr="009C52C4">
        <w:rPr>
          <w:rFonts w:ascii="Times New Roman" w:hAnsi="Times New Roman" w:cs="Times New Roman"/>
          <w:sz w:val="24"/>
          <w:szCs w:val="24"/>
          <w:vertAlign w:val="superscript"/>
        </w:rPr>
        <w:t>2</w:t>
      </w:r>
      <w:r w:rsidR="00C960C8" w:rsidRPr="009C52C4">
        <w:rPr>
          <w:rFonts w:ascii="Times New Roman" w:hAnsi="Times New Roman" w:cs="Times New Roman"/>
          <w:sz w:val="24"/>
          <w:szCs w:val="24"/>
        </w:rPr>
        <w:t>·a)], godišnje isporučene energije E</w:t>
      </w:r>
      <w:r w:rsidR="00C960C8" w:rsidRPr="009C52C4">
        <w:rPr>
          <w:rFonts w:ascii="Times New Roman" w:hAnsi="Times New Roman" w:cs="Times New Roman"/>
          <w:sz w:val="24"/>
          <w:szCs w:val="24"/>
          <w:vertAlign w:val="subscript"/>
        </w:rPr>
        <w:t>del</w:t>
      </w:r>
      <w:r w:rsidR="00C960C8" w:rsidRPr="009C52C4">
        <w:rPr>
          <w:rFonts w:ascii="Times New Roman" w:hAnsi="Times New Roman" w:cs="Times New Roman"/>
          <w:sz w:val="24"/>
          <w:szCs w:val="24"/>
        </w:rPr>
        <w:t xml:space="preserve"> te godišnje primarne energije E</w:t>
      </w:r>
      <w:r w:rsidR="00C960C8" w:rsidRPr="009C52C4">
        <w:rPr>
          <w:rFonts w:ascii="Times New Roman" w:hAnsi="Times New Roman" w:cs="Times New Roman"/>
          <w:sz w:val="24"/>
          <w:szCs w:val="24"/>
          <w:vertAlign w:val="subscript"/>
        </w:rPr>
        <w:t>prim</w:t>
      </w:r>
      <w:r w:rsidR="00C960C8" w:rsidRPr="009C52C4">
        <w:rPr>
          <w:rFonts w:ascii="Times New Roman" w:hAnsi="Times New Roman" w:cs="Times New Roman"/>
          <w:sz w:val="24"/>
          <w:szCs w:val="24"/>
        </w:rPr>
        <w:t>, koja uključuje energiju za grijanje, hlađenje, ventilaciju, pripremu potrošne tople vode te kod nestambenih zgrada i rasvjetu,</w:t>
      </w:r>
      <w:r w:rsidR="00086EAD" w:rsidRPr="009C52C4">
        <w:rPr>
          <w:rFonts w:ascii="Times New Roman" w:hAnsi="Times New Roman" w:cs="Times New Roman"/>
          <w:sz w:val="24"/>
          <w:szCs w:val="24"/>
        </w:rPr>
        <w:t xml:space="preserve"> </w:t>
      </w:r>
      <w:r w:rsidRPr="009C52C4">
        <w:rPr>
          <w:rFonts w:ascii="Times New Roman" w:hAnsi="Times New Roman" w:cs="Times New Roman"/>
          <w:sz w:val="24"/>
          <w:szCs w:val="24"/>
        </w:rPr>
        <w:t>za svaki tip zgrade prema namjeni. Planom povećanja broja zgrada gotovo nulte energije potrebno je obuhvatiti najmanje 65.000 m² nestambenih zgrada godišnje s raspodjelom prema namjeni prikazanoj u sljedećoj tablici (</w:t>
      </w:r>
      <w:r w:rsidR="003D0360" w:rsidRPr="009C52C4">
        <w:rPr>
          <w:rFonts w:ascii="Times New Roman" w:hAnsi="Times New Roman" w:cs="Times New Roman"/>
          <w:sz w:val="24"/>
          <w:szCs w:val="24"/>
        </w:rPr>
        <w:fldChar w:fldCharType="begin"/>
      </w:r>
      <w:r w:rsidR="003D0360" w:rsidRPr="009C52C4">
        <w:rPr>
          <w:rFonts w:ascii="Times New Roman" w:hAnsi="Times New Roman" w:cs="Times New Roman"/>
          <w:sz w:val="24"/>
          <w:szCs w:val="24"/>
        </w:rPr>
        <w:instrText xml:space="preserve"> REF _Ref483404136 \h </w:instrText>
      </w:r>
      <w:r w:rsidR="00873572" w:rsidRPr="009C52C4">
        <w:rPr>
          <w:rFonts w:ascii="Times New Roman" w:hAnsi="Times New Roman" w:cs="Times New Roman"/>
          <w:sz w:val="24"/>
          <w:szCs w:val="24"/>
        </w:rPr>
        <w:instrText xml:space="preserve"> \* MERGEFORMAT </w:instrText>
      </w:r>
      <w:r w:rsidR="003D0360" w:rsidRPr="009C52C4">
        <w:rPr>
          <w:rFonts w:ascii="Times New Roman" w:hAnsi="Times New Roman" w:cs="Times New Roman"/>
          <w:sz w:val="24"/>
          <w:szCs w:val="24"/>
        </w:rPr>
      </w:r>
      <w:r w:rsidR="003D0360"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3D0360"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p>
    <w:p w14:paraId="0E0BE382" w14:textId="77777777" w:rsidR="00AC5AC8" w:rsidRPr="009C52C4" w:rsidRDefault="00AC5AC8" w:rsidP="00362848">
      <w:pPr>
        <w:rPr>
          <w:rFonts w:ascii="Times New Roman" w:hAnsi="Times New Roman" w:cs="Times New Roman"/>
          <w:sz w:val="24"/>
          <w:szCs w:val="24"/>
        </w:rPr>
      </w:pPr>
    </w:p>
    <w:p w14:paraId="7923ACBE" w14:textId="2EAE0E66" w:rsidR="00362848" w:rsidRPr="009C52C4" w:rsidRDefault="00362848" w:rsidP="00362848">
      <w:pPr>
        <w:pStyle w:val="Caption"/>
        <w:rPr>
          <w:rFonts w:ascii="Times New Roman" w:hAnsi="Times New Roman" w:cs="Times New Roman"/>
          <w:b w:val="0"/>
          <w:sz w:val="24"/>
          <w:szCs w:val="24"/>
        </w:rPr>
      </w:pPr>
      <w:bookmarkStart w:id="105" w:name="_Ref483404136"/>
      <w:bookmarkStart w:id="106" w:name="_Toc2681316"/>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05"/>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Ciljana površina zgrada gotovo nulte energije prema namjeni godišnje</w:t>
      </w:r>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322"/>
        <w:gridCol w:w="2322"/>
        <w:gridCol w:w="2322"/>
      </w:tblGrid>
      <w:tr w:rsidR="00362848" w:rsidRPr="009C52C4" w14:paraId="2F130558" w14:textId="77777777" w:rsidTr="00887E64">
        <w:trPr>
          <w:trHeight w:val="292"/>
          <w:jc w:val="center"/>
        </w:trPr>
        <w:tc>
          <w:tcPr>
            <w:tcW w:w="1250" w:type="pct"/>
            <w:tcBorders>
              <w:bottom w:val="single" w:sz="4" w:space="0" w:color="auto"/>
            </w:tcBorders>
            <w:shd w:val="clear" w:color="auto" w:fill="C2D69B" w:themeFill="accent3" w:themeFillTint="99"/>
          </w:tcPr>
          <w:p w14:paraId="68A6EFE7"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Ciljana površina zgrada gotovo nulte energije prema namjeni godišnje </w:t>
            </w:r>
          </w:p>
        </w:tc>
        <w:tc>
          <w:tcPr>
            <w:tcW w:w="1250" w:type="pct"/>
            <w:tcBorders>
              <w:bottom w:val="single" w:sz="4" w:space="0" w:color="auto"/>
            </w:tcBorders>
            <w:shd w:val="clear" w:color="auto" w:fill="C2D69B" w:themeFill="accent3" w:themeFillTint="99"/>
          </w:tcPr>
          <w:p w14:paraId="674E6CEC"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Ciljana površina godišnje </w:t>
            </w:r>
          </w:p>
          <w:p w14:paraId="46B58B2D"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[m²] </w:t>
            </w:r>
          </w:p>
        </w:tc>
        <w:tc>
          <w:tcPr>
            <w:tcW w:w="1250" w:type="pct"/>
            <w:tcBorders>
              <w:bottom w:val="single" w:sz="4" w:space="0" w:color="auto"/>
            </w:tcBorders>
            <w:shd w:val="clear" w:color="auto" w:fill="C2D69B" w:themeFill="accent3" w:themeFillTint="99"/>
          </w:tcPr>
          <w:p w14:paraId="3DA91756"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Specifični dodatni trošak u odnosu na novogradnju [HRK/m²] </w:t>
            </w:r>
          </w:p>
        </w:tc>
        <w:tc>
          <w:tcPr>
            <w:tcW w:w="1250" w:type="pct"/>
            <w:tcBorders>
              <w:bottom w:val="single" w:sz="4" w:space="0" w:color="auto"/>
            </w:tcBorders>
            <w:shd w:val="clear" w:color="auto" w:fill="C2D69B" w:themeFill="accent3" w:themeFillTint="99"/>
          </w:tcPr>
          <w:p w14:paraId="1AF11DDA"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Ukupni dodatni trošak u odnosu na novogradnju [HRK] </w:t>
            </w:r>
          </w:p>
        </w:tc>
      </w:tr>
      <w:tr w:rsidR="00362848" w:rsidRPr="009C52C4" w14:paraId="75163E30" w14:textId="77777777" w:rsidTr="00887E64">
        <w:trPr>
          <w:trHeight w:val="84"/>
          <w:jc w:val="center"/>
        </w:trPr>
        <w:tc>
          <w:tcPr>
            <w:tcW w:w="1250" w:type="pct"/>
            <w:shd w:val="clear" w:color="auto" w:fill="EAF1DD" w:themeFill="accent3" w:themeFillTint="33"/>
          </w:tcPr>
          <w:p w14:paraId="07C0CFF2"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višestambene zgrade </w:t>
            </w:r>
          </w:p>
        </w:tc>
        <w:tc>
          <w:tcPr>
            <w:tcW w:w="1250" w:type="pct"/>
            <w:shd w:val="clear" w:color="auto" w:fill="EAF1DD" w:themeFill="accent3" w:themeFillTint="33"/>
            <w:vAlign w:val="center"/>
          </w:tcPr>
          <w:p w14:paraId="0AF63BA0"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90.700</w:t>
            </w:r>
          </w:p>
        </w:tc>
        <w:tc>
          <w:tcPr>
            <w:tcW w:w="1250" w:type="pct"/>
            <w:shd w:val="clear" w:color="auto" w:fill="EAF1DD" w:themeFill="accent3" w:themeFillTint="33"/>
            <w:vAlign w:val="center"/>
          </w:tcPr>
          <w:p w14:paraId="235A3242"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1.512</w:t>
            </w:r>
          </w:p>
        </w:tc>
        <w:tc>
          <w:tcPr>
            <w:tcW w:w="1250" w:type="pct"/>
            <w:shd w:val="clear" w:color="auto" w:fill="EAF1DD" w:themeFill="accent3" w:themeFillTint="33"/>
            <w:vAlign w:val="center"/>
          </w:tcPr>
          <w:p w14:paraId="5646CC3E"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137.138.400</w:t>
            </w:r>
          </w:p>
        </w:tc>
      </w:tr>
      <w:tr w:rsidR="00362848" w:rsidRPr="009C52C4" w14:paraId="346CFCE9" w14:textId="77777777" w:rsidTr="00887E64">
        <w:trPr>
          <w:trHeight w:val="84"/>
          <w:jc w:val="center"/>
        </w:trPr>
        <w:tc>
          <w:tcPr>
            <w:tcW w:w="1250" w:type="pct"/>
            <w:shd w:val="clear" w:color="auto" w:fill="EAF1DD" w:themeFill="accent3" w:themeFillTint="33"/>
          </w:tcPr>
          <w:p w14:paraId="715CA534"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hoteli i restorani </w:t>
            </w:r>
          </w:p>
        </w:tc>
        <w:tc>
          <w:tcPr>
            <w:tcW w:w="1250" w:type="pct"/>
            <w:shd w:val="clear" w:color="auto" w:fill="EAF1DD" w:themeFill="accent3" w:themeFillTint="33"/>
            <w:vAlign w:val="center"/>
          </w:tcPr>
          <w:p w14:paraId="0A3AC025"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14.630</w:t>
            </w:r>
          </w:p>
        </w:tc>
        <w:tc>
          <w:tcPr>
            <w:tcW w:w="1250" w:type="pct"/>
            <w:shd w:val="clear" w:color="auto" w:fill="EAF1DD" w:themeFill="accent3" w:themeFillTint="33"/>
            <w:vAlign w:val="center"/>
          </w:tcPr>
          <w:p w14:paraId="0AE9EF7C"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214</w:t>
            </w:r>
          </w:p>
        </w:tc>
        <w:tc>
          <w:tcPr>
            <w:tcW w:w="1250" w:type="pct"/>
            <w:shd w:val="clear" w:color="auto" w:fill="EAF1DD" w:themeFill="accent3" w:themeFillTint="33"/>
            <w:vAlign w:val="center"/>
          </w:tcPr>
          <w:p w14:paraId="4B9529AF"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3.133.870</w:t>
            </w:r>
          </w:p>
        </w:tc>
      </w:tr>
      <w:tr w:rsidR="00362848" w:rsidRPr="009C52C4" w14:paraId="26AF759A" w14:textId="77777777" w:rsidTr="00887E64">
        <w:trPr>
          <w:trHeight w:val="84"/>
          <w:jc w:val="center"/>
        </w:trPr>
        <w:tc>
          <w:tcPr>
            <w:tcW w:w="1250" w:type="pct"/>
            <w:shd w:val="clear" w:color="auto" w:fill="EAF1DD" w:themeFill="accent3" w:themeFillTint="33"/>
          </w:tcPr>
          <w:p w14:paraId="542F446B"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uredi </w:t>
            </w:r>
          </w:p>
        </w:tc>
        <w:tc>
          <w:tcPr>
            <w:tcW w:w="1250" w:type="pct"/>
            <w:shd w:val="clear" w:color="auto" w:fill="EAF1DD" w:themeFill="accent3" w:themeFillTint="33"/>
            <w:vAlign w:val="center"/>
          </w:tcPr>
          <w:p w14:paraId="3460AB8B"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19.736</w:t>
            </w:r>
          </w:p>
        </w:tc>
        <w:tc>
          <w:tcPr>
            <w:tcW w:w="1250" w:type="pct"/>
            <w:shd w:val="clear" w:color="auto" w:fill="EAF1DD" w:themeFill="accent3" w:themeFillTint="33"/>
            <w:vAlign w:val="center"/>
          </w:tcPr>
          <w:p w14:paraId="7BA1B1D5"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337</w:t>
            </w:r>
          </w:p>
        </w:tc>
        <w:tc>
          <w:tcPr>
            <w:tcW w:w="1250" w:type="pct"/>
            <w:shd w:val="clear" w:color="auto" w:fill="EAF1DD" w:themeFill="accent3" w:themeFillTint="33"/>
            <w:vAlign w:val="center"/>
          </w:tcPr>
          <w:p w14:paraId="05303D61"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6.660.033</w:t>
            </w:r>
          </w:p>
        </w:tc>
      </w:tr>
      <w:tr w:rsidR="00362848" w:rsidRPr="009C52C4" w14:paraId="0A80EB97" w14:textId="77777777" w:rsidTr="00887E64">
        <w:trPr>
          <w:trHeight w:val="84"/>
          <w:jc w:val="center"/>
        </w:trPr>
        <w:tc>
          <w:tcPr>
            <w:tcW w:w="1250" w:type="pct"/>
            <w:tcBorders>
              <w:bottom w:val="single" w:sz="4" w:space="0" w:color="auto"/>
            </w:tcBorders>
            <w:shd w:val="clear" w:color="auto" w:fill="EAF1DD" w:themeFill="accent3" w:themeFillTint="33"/>
          </w:tcPr>
          <w:p w14:paraId="343F53BC"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zgrade za trgovinu </w:t>
            </w:r>
          </w:p>
        </w:tc>
        <w:tc>
          <w:tcPr>
            <w:tcW w:w="1250" w:type="pct"/>
            <w:tcBorders>
              <w:bottom w:val="single" w:sz="4" w:space="0" w:color="auto"/>
            </w:tcBorders>
            <w:shd w:val="clear" w:color="auto" w:fill="EAF1DD" w:themeFill="accent3" w:themeFillTint="33"/>
            <w:vAlign w:val="center"/>
          </w:tcPr>
          <w:p w14:paraId="7C7C3560"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20.879</w:t>
            </w:r>
          </w:p>
        </w:tc>
        <w:tc>
          <w:tcPr>
            <w:tcW w:w="1250" w:type="pct"/>
            <w:tcBorders>
              <w:bottom w:val="single" w:sz="4" w:space="0" w:color="auto"/>
            </w:tcBorders>
            <w:shd w:val="clear" w:color="auto" w:fill="EAF1DD" w:themeFill="accent3" w:themeFillTint="33"/>
            <w:vAlign w:val="center"/>
          </w:tcPr>
          <w:p w14:paraId="44189B29"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408</w:t>
            </w:r>
          </w:p>
        </w:tc>
        <w:tc>
          <w:tcPr>
            <w:tcW w:w="1250" w:type="pct"/>
            <w:tcBorders>
              <w:bottom w:val="single" w:sz="4" w:space="0" w:color="auto"/>
            </w:tcBorders>
            <w:shd w:val="clear" w:color="auto" w:fill="EAF1DD" w:themeFill="accent3" w:themeFillTint="33"/>
            <w:vAlign w:val="center"/>
          </w:tcPr>
          <w:p w14:paraId="7F055453"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8.528.265</w:t>
            </w:r>
          </w:p>
        </w:tc>
      </w:tr>
      <w:tr w:rsidR="00362848" w:rsidRPr="009C52C4" w14:paraId="7192FBCE" w14:textId="77777777" w:rsidTr="00887E64">
        <w:trPr>
          <w:trHeight w:val="84"/>
          <w:jc w:val="center"/>
        </w:trPr>
        <w:tc>
          <w:tcPr>
            <w:tcW w:w="1250" w:type="pct"/>
            <w:shd w:val="clear" w:color="auto" w:fill="EAF1DD" w:themeFill="accent3" w:themeFillTint="33"/>
          </w:tcPr>
          <w:p w14:paraId="0EDAC804"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zgrade bolnica </w:t>
            </w:r>
          </w:p>
        </w:tc>
        <w:tc>
          <w:tcPr>
            <w:tcW w:w="1250" w:type="pct"/>
            <w:shd w:val="clear" w:color="auto" w:fill="EAF1DD" w:themeFill="accent3" w:themeFillTint="33"/>
            <w:vAlign w:val="center"/>
          </w:tcPr>
          <w:p w14:paraId="7A37F1DB"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4.723</w:t>
            </w:r>
          </w:p>
        </w:tc>
        <w:tc>
          <w:tcPr>
            <w:tcW w:w="1250" w:type="pct"/>
            <w:shd w:val="clear" w:color="auto" w:fill="EAF1DD" w:themeFill="accent3" w:themeFillTint="33"/>
            <w:vAlign w:val="center"/>
          </w:tcPr>
          <w:p w14:paraId="4F46456F"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691</w:t>
            </w:r>
          </w:p>
        </w:tc>
        <w:tc>
          <w:tcPr>
            <w:tcW w:w="1250" w:type="pct"/>
            <w:shd w:val="clear" w:color="auto" w:fill="EAF1DD" w:themeFill="accent3" w:themeFillTint="33"/>
            <w:vAlign w:val="center"/>
          </w:tcPr>
          <w:p w14:paraId="55E29C4C"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3.264.192</w:t>
            </w:r>
          </w:p>
        </w:tc>
      </w:tr>
      <w:tr w:rsidR="00362848" w:rsidRPr="009C52C4" w14:paraId="1228A07F" w14:textId="77777777" w:rsidTr="00887E64">
        <w:trPr>
          <w:trHeight w:val="84"/>
          <w:jc w:val="center"/>
        </w:trPr>
        <w:tc>
          <w:tcPr>
            <w:tcW w:w="1250" w:type="pct"/>
            <w:shd w:val="clear" w:color="auto" w:fill="EAF1DD" w:themeFill="accent3" w:themeFillTint="33"/>
          </w:tcPr>
          <w:p w14:paraId="2ED2F2C4"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sportske dvorane </w:t>
            </w:r>
          </w:p>
        </w:tc>
        <w:tc>
          <w:tcPr>
            <w:tcW w:w="1250" w:type="pct"/>
            <w:shd w:val="clear" w:color="auto" w:fill="EAF1DD" w:themeFill="accent3" w:themeFillTint="33"/>
            <w:vAlign w:val="center"/>
          </w:tcPr>
          <w:p w14:paraId="6DB81674"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1.428</w:t>
            </w:r>
          </w:p>
        </w:tc>
        <w:tc>
          <w:tcPr>
            <w:tcW w:w="1250" w:type="pct"/>
            <w:shd w:val="clear" w:color="auto" w:fill="EAF1DD" w:themeFill="accent3" w:themeFillTint="33"/>
            <w:vAlign w:val="center"/>
          </w:tcPr>
          <w:p w14:paraId="4A424465"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1.496</w:t>
            </w:r>
          </w:p>
        </w:tc>
        <w:tc>
          <w:tcPr>
            <w:tcW w:w="1250" w:type="pct"/>
            <w:shd w:val="clear" w:color="auto" w:fill="EAF1DD" w:themeFill="accent3" w:themeFillTint="33"/>
            <w:vAlign w:val="center"/>
          </w:tcPr>
          <w:p w14:paraId="6B46B207"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2.136.297</w:t>
            </w:r>
          </w:p>
        </w:tc>
      </w:tr>
      <w:tr w:rsidR="00362848" w:rsidRPr="009C52C4" w14:paraId="56B1775A" w14:textId="77777777" w:rsidTr="00887E64">
        <w:trPr>
          <w:trHeight w:val="84"/>
          <w:jc w:val="center"/>
        </w:trPr>
        <w:tc>
          <w:tcPr>
            <w:tcW w:w="1250" w:type="pct"/>
            <w:shd w:val="clear" w:color="auto" w:fill="EAF1DD" w:themeFill="accent3" w:themeFillTint="33"/>
          </w:tcPr>
          <w:p w14:paraId="3BA1D59E" w14:textId="77777777" w:rsidR="00362848" w:rsidRPr="009C52C4" w:rsidRDefault="00362848" w:rsidP="00362848">
            <w:pPr>
              <w:autoSpaceDE w:val="0"/>
              <w:autoSpaceDN w:val="0"/>
              <w:adjustRightInd w:val="0"/>
              <w:rPr>
                <w:rFonts w:ascii="Times New Roman" w:hAnsi="Times New Roman" w:cs="Times New Roman"/>
                <w:color w:val="auto"/>
                <w:sz w:val="24"/>
                <w:szCs w:val="24"/>
              </w:rPr>
            </w:pPr>
            <w:r w:rsidRPr="009C52C4">
              <w:rPr>
                <w:rFonts w:ascii="Times New Roman" w:hAnsi="Times New Roman" w:cs="Times New Roman"/>
                <w:color w:val="auto"/>
                <w:sz w:val="24"/>
                <w:szCs w:val="24"/>
              </w:rPr>
              <w:t xml:space="preserve">zgrade za obrazovanje </w:t>
            </w:r>
          </w:p>
        </w:tc>
        <w:tc>
          <w:tcPr>
            <w:tcW w:w="1250" w:type="pct"/>
            <w:shd w:val="clear" w:color="auto" w:fill="EAF1DD" w:themeFill="accent3" w:themeFillTint="33"/>
            <w:vAlign w:val="center"/>
          </w:tcPr>
          <w:p w14:paraId="4A8CF20E"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3.612</w:t>
            </w:r>
          </w:p>
        </w:tc>
        <w:tc>
          <w:tcPr>
            <w:tcW w:w="1250" w:type="pct"/>
            <w:shd w:val="clear" w:color="auto" w:fill="EAF1DD" w:themeFill="accent3" w:themeFillTint="33"/>
            <w:vAlign w:val="center"/>
          </w:tcPr>
          <w:p w14:paraId="1C2ECCE5"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1.211</w:t>
            </w:r>
          </w:p>
        </w:tc>
        <w:tc>
          <w:tcPr>
            <w:tcW w:w="1250" w:type="pct"/>
            <w:shd w:val="clear" w:color="auto" w:fill="EAF1DD" w:themeFill="accent3" w:themeFillTint="33"/>
            <w:vAlign w:val="center"/>
          </w:tcPr>
          <w:p w14:paraId="4A771D72" w14:textId="77777777" w:rsidR="00362848" w:rsidRPr="009C52C4" w:rsidRDefault="00362848" w:rsidP="00362848">
            <w:pPr>
              <w:autoSpaceDE w:val="0"/>
              <w:autoSpaceDN w:val="0"/>
              <w:adjustRightInd w:val="0"/>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4.375.061</w:t>
            </w:r>
          </w:p>
        </w:tc>
      </w:tr>
    </w:tbl>
    <w:p w14:paraId="713CA8D6" w14:textId="67669858" w:rsidR="00362848" w:rsidRPr="009C52C4" w:rsidRDefault="000B57C1" w:rsidP="0036284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00C960C8" w:rsidRPr="009C52C4">
        <w:rPr>
          <w:rFonts w:ascii="Times New Roman" w:hAnsi="Times New Roman" w:cs="Times New Roman"/>
          <w:i/>
          <w:sz w:val="24"/>
          <w:szCs w:val="24"/>
        </w:rPr>
        <w:t>Nacionalni plan za povećanje zgrada gotovo nulte energije do 2020. godine</w:t>
      </w:r>
    </w:p>
    <w:p w14:paraId="3F25FE39" w14:textId="77777777" w:rsidR="000B57C1" w:rsidRPr="009C52C4" w:rsidRDefault="000B57C1" w:rsidP="00362848">
      <w:pPr>
        <w:rPr>
          <w:rFonts w:ascii="Times New Roman" w:hAnsi="Times New Roman" w:cs="Times New Roman"/>
          <w:sz w:val="24"/>
          <w:szCs w:val="24"/>
        </w:rPr>
      </w:pPr>
    </w:p>
    <w:p w14:paraId="2F969A83" w14:textId="291AF896" w:rsidR="00362848" w:rsidRPr="009C52C4" w:rsidRDefault="00327450" w:rsidP="00362848">
      <w:pPr>
        <w:rPr>
          <w:rFonts w:ascii="Times New Roman" w:hAnsi="Times New Roman" w:cs="Times New Roman"/>
          <w:sz w:val="24"/>
          <w:szCs w:val="24"/>
        </w:rPr>
      </w:pPr>
      <w:r w:rsidRPr="009C52C4">
        <w:rPr>
          <w:rFonts w:ascii="Times New Roman" w:hAnsi="Times New Roman" w:cs="Times New Roman"/>
          <w:sz w:val="24"/>
          <w:szCs w:val="24"/>
        </w:rPr>
        <w:t>S</w:t>
      </w:r>
      <w:r w:rsidR="00C960C8" w:rsidRPr="009C52C4">
        <w:rPr>
          <w:rFonts w:ascii="Times New Roman" w:hAnsi="Times New Roman" w:cs="Times New Roman"/>
          <w:sz w:val="24"/>
          <w:szCs w:val="24"/>
        </w:rPr>
        <w:t>ukladno Direktivi 2010/31/EU</w:t>
      </w:r>
      <w:r w:rsidR="009207FB" w:rsidRPr="009C52C4">
        <w:rPr>
          <w:rFonts w:ascii="Times New Roman" w:hAnsi="Times New Roman" w:cs="Times New Roman"/>
          <w:sz w:val="24"/>
          <w:szCs w:val="24"/>
        </w:rPr>
        <w:t xml:space="preserve"> Europskog parlamenta i Vijeća od 19. svibnja 2010. o energetskoj učinkovitosti zgrada (preinaka)</w:t>
      </w:r>
      <w:r w:rsidR="00C960C8" w:rsidRPr="009C52C4">
        <w:rPr>
          <w:rFonts w:ascii="Times New Roman" w:hAnsi="Times New Roman" w:cs="Times New Roman"/>
          <w:sz w:val="24"/>
          <w:szCs w:val="24"/>
        </w:rPr>
        <w:t xml:space="preserve"> koja propisuje poticanje razmatranja ugradnje visokoučinkovitih alternativnih sustava u mjeri u kojoj je to tehnički, funkcionalno i gospodarski izvedivo te </w:t>
      </w:r>
      <w:r w:rsidRPr="009C52C4">
        <w:rPr>
          <w:rFonts w:ascii="Times New Roman" w:hAnsi="Times New Roman" w:cs="Times New Roman"/>
          <w:sz w:val="24"/>
          <w:szCs w:val="24"/>
        </w:rPr>
        <w:t>Direktivi 2009/28/EU</w:t>
      </w:r>
      <w:r w:rsidR="00C960C8" w:rsidRPr="009C52C4">
        <w:rPr>
          <w:rFonts w:ascii="Times New Roman" w:hAnsi="Times New Roman" w:cs="Times New Roman"/>
          <w:sz w:val="24"/>
          <w:szCs w:val="24"/>
        </w:rPr>
        <w:t xml:space="preserve"> koja propisuje obvezu uvođenja mjera za povećanje udjela energije iz obnovljivih izvora energije</w:t>
      </w:r>
      <w:r w:rsidR="00362848" w:rsidRPr="009C52C4">
        <w:rPr>
          <w:rFonts w:ascii="Times New Roman" w:hAnsi="Times New Roman" w:cs="Times New Roman"/>
          <w:sz w:val="24"/>
          <w:szCs w:val="24"/>
        </w:rPr>
        <w:t xml:space="preserve">, uz prethodno opisanu mjeru rekonstrukcije vanjske ovojnice grijanog prostora zgrade, potrebno je provoditi i mjere povećanja EnU i ugradnje OIE navedene u nastavku. </w:t>
      </w:r>
    </w:p>
    <w:p w14:paraId="3FB26A35" w14:textId="77777777" w:rsidR="00AC5AC8" w:rsidRPr="009C52C4" w:rsidRDefault="00AC5AC8" w:rsidP="00362848">
      <w:pPr>
        <w:rPr>
          <w:rFonts w:ascii="Times New Roman" w:hAnsi="Times New Roman" w:cs="Times New Roman"/>
          <w:sz w:val="24"/>
          <w:szCs w:val="24"/>
        </w:rPr>
      </w:pPr>
    </w:p>
    <w:p w14:paraId="3AA14C32" w14:textId="77777777" w:rsidR="00B122B4" w:rsidRPr="009C52C4" w:rsidRDefault="00F54CC3" w:rsidP="00AC5AC8">
      <w:pPr>
        <w:pStyle w:val="Heading3"/>
        <w:numPr>
          <w:ilvl w:val="2"/>
          <w:numId w:val="20"/>
        </w:numPr>
        <w:spacing w:before="0" w:line="240" w:lineRule="auto"/>
        <w:ind w:left="709" w:hanging="709"/>
        <w:rPr>
          <w:rFonts w:ascii="Times New Roman" w:hAnsi="Times New Roman" w:cs="Times New Roman"/>
          <w:sz w:val="24"/>
          <w:szCs w:val="24"/>
        </w:rPr>
      </w:pPr>
      <w:bookmarkStart w:id="107" w:name="_Toc3277907"/>
      <w:r w:rsidRPr="009C52C4">
        <w:rPr>
          <w:rFonts w:ascii="Times New Roman" w:hAnsi="Times New Roman" w:cs="Times New Roman"/>
          <w:sz w:val="24"/>
          <w:szCs w:val="24"/>
        </w:rPr>
        <w:t>Mjera centralizacije i modernizacije sustava grijanja uz primjenu obnovljivih izvora energije</w:t>
      </w:r>
      <w:bookmarkEnd w:id="107"/>
    </w:p>
    <w:p w14:paraId="58F4E4F1" w14:textId="77777777" w:rsidR="00B122B4" w:rsidRPr="009C52C4" w:rsidRDefault="00B122B4">
      <w:pPr>
        <w:rPr>
          <w:rFonts w:ascii="Times New Roman" w:hAnsi="Times New Roman" w:cs="Times New Roman"/>
          <w:sz w:val="24"/>
          <w:szCs w:val="24"/>
        </w:rPr>
      </w:pPr>
    </w:p>
    <w:p w14:paraId="45FFD608" w14:textId="77777777" w:rsidR="00574A75" w:rsidRPr="009C52C4" w:rsidRDefault="00362848" w:rsidP="00362848">
      <w:pPr>
        <w:rPr>
          <w:rFonts w:ascii="Times New Roman" w:hAnsi="Times New Roman" w:cs="Times New Roman"/>
          <w:sz w:val="24"/>
          <w:szCs w:val="24"/>
        </w:rPr>
      </w:pPr>
      <w:bookmarkStart w:id="108" w:name="h.28h4qwu" w:colFirst="0" w:colLast="0"/>
      <w:bookmarkStart w:id="109" w:name="h.nmf14n" w:colFirst="0" w:colLast="0"/>
      <w:bookmarkEnd w:id="108"/>
      <w:bookmarkEnd w:id="109"/>
      <w:r w:rsidRPr="009C52C4">
        <w:rPr>
          <w:rFonts w:ascii="Times New Roman" w:hAnsi="Times New Roman" w:cs="Times New Roman"/>
          <w:sz w:val="24"/>
          <w:szCs w:val="24"/>
        </w:rPr>
        <w:t xml:space="preserve">Mjera obuhvaća centralizaciju sustava grijanja, odnosno modernizaciju postojećih kotlovnica na način da se iste zamijene kotlovima na biomasu (piroliza, peleti i sječka), odnosno dizalicama topline te, ukoliko navedeno nije moguće iz tehničkih razloga (npr. zbog nedostatka prostora za spremnik biomase) uz već postojeći priključak na prirodni plin, niskotemperaturnim kondenzacijskim </w:t>
      </w:r>
      <w:r w:rsidR="00AB03FB" w:rsidRPr="009C52C4">
        <w:rPr>
          <w:rFonts w:ascii="Times New Roman" w:hAnsi="Times New Roman" w:cs="Times New Roman"/>
          <w:sz w:val="24"/>
          <w:szCs w:val="24"/>
        </w:rPr>
        <w:t xml:space="preserve">kotlovima </w:t>
      </w:r>
      <w:r w:rsidRPr="009C52C4">
        <w:rPr>
          <w:rFonts w:ascii="Times New Roman" w:hAnsi="Times New Roman" w:cs="Times New Roman"/>
          <w:sz w:val="24"/>
          <w:szCs w:val="24"/>
        </w:rPr>
        <w:t xml:space="preserve">na prirodni plin uz uporabu postojećih radijatorskih sustava. Ukoliko su ukupne energetske potrebe objekta male, a sustav pogodan niskotemperaturnom režimu grijanja te je izražena potreba za hlađenjem, preporučuje se </w:t>
      </w:r>
      <w:r w:rsidRPr="009C52C4">
        <w:rPr>
          <w:rFonts w:ascii="Times New Roman" w:hAnsi="Times New Roman" w:cs="Times New Roman"/>
          <w:sz w:val="24"/>
          <w:szCs w:val="24"/>
        </w:rPr>
        <w:lastRenderedPageBreak/>
        <w:t>primijeniti geotermalnu ili zračnu dizalicu topline za grijanje</w:t>
      </w:r>
      <w:r w:rsidRPr="009C52C4">
        <w:rPr>
          <w:rFonts w:ascii="Times New Roman" w:hAnsi="Times New Roman" w:cs="Times New Roman"/>
          <w:color w:val="auto"/>
          <w:sz w:val="24"/>
          <w:szCs w:val="24"/>
        </w:rPr>
        <w:t>,</w:t>
      </w:r>
      <w:r w:rsidRPr="009C52C4">
        <w:rPr>
          <w:rFonts w:ascii="Times New Roman" w:hAnsi="Times New Roman" w:cs="Times New Roman"/>
          <w:sz w:val="24"/>
          <w:szCs w:val="24"/>
        </w:rPr>
        <w:t xml:space="preserve"> hlađenje i </w:t>
      </w:r>
      <w:r w:rsidRPr="009C52C4">
        <w:rPr>
          <w:rFonts w:ascii="Times New Roman" w:hAnsi="Times New Roman" w:cs="Times New Roman"/>
          <w:color w:val="auto"/>
          <w:sz w:val="24"/>
          <w:szCs w:val="24"/>
        </w:rPr>
        <w:t>p</w:t>
      </w:r>
      <w:r w:rsidRPr="009C52C4">
        <w:rPr>
          <w:rFonts w:ascii="Times New Roman" w:hAnsi="Times New Roman" w:cs="Times New Roman"/>
          <w:sz w:val="24"/>
          <w:szCs w:val="24"/>
        </w:rPr>
        <w:t xml:space="preserve">ripremu potrošne tople vode. </w:t>
      </w:r>
    </w:p>
    <w:p w14:paraId="02C2BAA4"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U svrhu definiranja najpogodnijeg načina grijanja, za svaku zgradu zasebno potrebno je razmotriti mogućnosti:</w:t>
      </w:r>
    </w:p>
    <w:p w14:paraId="037ECEDE" w14:textId="2946E43F" w:rsidR="00362848" w:rsidRPr="009C52C4" w:rsidRDefault="00362848" w:rsidP="00853BC8">
      <w:pPr>
        <w:numPr>
          <w:ilvl w:val="0"/>
          <w:numId w:val="16"/>
        </w:numPr>
        <w:ind w:hanging="359"/>
        <w:rPr>
          <w:rFonts w:ascii="Times New Roman" w:hAnsi="Times New Roman" w:cs="Times New Roman"/>
          <w:sz w:val="24"/>
          <w:szCs w:val="24"/>
        </w:rPr>
      </w:pPr>
      <w:r w:rsidRPr="009C52C4">
        <w:rPr>
          <w:rFonts w:ascii="Times New Roman" w:hAnsi="Times New Roman" w:cs="Times New Roman"/>
          <w:sz w:val="24"/>
          <w:szCs w:val="24"/>
        </w:rPr>
        <w:t>zasebnog (samostalnog) kotlovskog sustava</w:t>
      </w:r>
    </w:p>
    <w:p w14:paraId="32D2D159" w14:textId="1FAF1F84" w:rsidR="00362848" w:rsidRPr="009C52C4" w:rsidRDefault="00362848" w:rsidP="00853BC8">
      <w:pPr>
        <w:numPr>
          <w:ilvl w:val="0"/>
          <w:numId w:val="16"/>
        </w:numPr>
        <w:ind w:hanging="359"/>
        <w:rPr>
          <w:rFonts w:ascii="Times New Roman" w:hAnsi="Times New Roman" w:cs="Times New Roman"/>
          <w:sz w:val="24"/>
          <w:szCs w:val="24"/>
        </w:rPr>
      </w:pPr>
      <w:r w:rsidRPr="009C52C4">
        <w:rPr>
          <w:rFonts w:ascii="Times New Roman" w:hAnsi="Times New Roman" w:cs="Times New Roman"/>
          <w:sz w:val="24"/>
          <w:szCs w:val="24"/>
        </w:rPr>
        <w:t>sustava područnog grijanja - kotlovski sustav na biomasu - sječku (model ugovorne prodaje topline)</w:t>
      </w:r>
    </w:p>
    <w:p w14:paraId="5CB624BA" w14:textId="77777777" w:rsidR="00362848" w:rsidRPr="009C52C4" w:rsidRDefault="00362848" w:rsidP="00362848">
      <w:pPr>
        <w:ind w:left="720"/>
        <w:rPr>
          <w:rFonts w:ascii="Times New Roman" w:hAnsi="Times New Roman" w:cs="Times New Roman"/>
          <w:sz w:val="24"/>
          <w:szCs w:val="24"/>
        </w:rPr>
      </w:pPr>
    </w:p>
    <w:p w14:paraId="52ABE99E"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Kod zasebnih kotlovskih sustava kotlovnica se nalazi u sklopu zgrade na postojećoj lokaciji. U slučaju sustava područnog grijanja kotlovnica se ne mora nalaziti u zgradi već se može nalaziti u sklopu ostalih objekata priključenih na cijevni sustav. U ovome slučaju neophodno je osigurati podstanicu za predaju toplinske energije iz područnog grijanja objektu. Mjera uključuje primjenu regulacije i balansiranja sustava grijanja (termostatski setovi, regulatori diferencijalnog tlaka i frekventno upravljane pume i dr.), kao i provedbu detaljnog čišćenja cijevnog radijatorskog sustava i svih izmjenjivača. </w:t>
      </w:r>
      <w:r w:rsidR="003B571D" w:rsidRPr="009C52C4">
        <w:rPr>
          <w:rFonts w:ascii="Times New Roman" w:hAnsi="Times New Roman" w:cs="Times New Roman"/>
          <w:sz w:val="24"/>
          <w:szCs w:val="24"/>
        </w:rPr>
        <w:t>Kod zasebnih kotlovskih sustava, za svaku zgradu zasebno potrebno je razmotriti i potrebu za rekonstrukcijom dimnjaka.</w:t>
      </w:r>
      <w:r w:rsidRPr="009C52C4">
        <w:rPr>
          <w:rFonts w:ascii="Times New Roman" w:hAnsi="Times New Roman" w:cs="Times New Roman"/>
          <w:sz w:val="24"/>
          <w:szCs w:val="24"/>
        </w:rPr>
        <w:t xml:space="preserve"> </w:t>
      </w:r>
    </w:p>
    <w:p w14:paraId="282E4617" w14:textId="77777777" w:rsidR="00AC5AC8" w:rsidRPr="009C52C4" w:rsidRDefault="00AC5AC8" w:rsidP="00362848">
      <w:pPr>
        <w:rPr>
          <w:rFonts w:ascii="Times New Roman" w:hAnsi="Times New Roman" w:cs="Times New Roman"/>
          <w:sz w:val="24"/>
          <w:szCs w:val="24"/>
        </w:rPr>
      </w:pPr>
    </w:p>
    <w:p w14:paraId="1243A538" w14:textId="77777777" w:rsidR="00B122B4" w:rsidRPr="009C52C4" w:rsidRDefault="00F54CC3" w:rsidP="00AC5AC8">
      <w:pPr>
        <w:pStyle w:val="Heading3"/>
        <w:numPr>
          <w:ilvl w:val="2"/>
          <w:numId w:val="20"/>
        </w:numPr>
        <w:spacing w:before="0"/>
        <w:ind w:left="709" w:hanging="709"/>
        <w:rPr>
          <w:rFonts w:ascii="Times New Roman" w:hAnsi="Times New Roman" w:cs="Times New Roman"/>
          <w:sz w:val="24"/>
          <w:szCs w:val="24"/>
        </w:rPr>
      </w:pPr>
      <w:bookmarkStart w:id="110" w:name="_Toc3277908"/>
      <w:r w:rsidRPr="009C52C4">
        <w:rPr>
          <w:rFonts w:ascii="Times New Roman" w:hAnsi="Times New Roman" w:cs="Times New Roman"/>
          <w:sz w:val="24"/>
          <w:szCs w:val="24"/>
        </w:rPr>
        <w:t>Mjera centralizacije i modernizacije sustava hlađenja i ventilacije uz primjenu obnovljivih izvora energije</w:t>
      </w:r>
      <w:bookmarkEnd w:id="110"/>
    </w:p>
    <w:p w14:paraId="4826060C" w14:textId="77777777" w:rsidR="00B122B4" w:rsidRPr="009C52C4" w:rsidRDefault="00B122B4">
      <w:pPr>
        <w:rPr>
          <w:rFonts w:ascii="Times New Roman" w:hAnsi="Times New Roman" w:cs="Times New Roman"/>
          <w:sz w:val="24"/>
          <w:szCs w:val="24"/>
        </w:rPr>
      </w:pPr>
    </w:p>
    <w:p w14:paraId="75C2D6BE" w14:textId="1C58D3B6" w:rsidR="00362848" w:rsidRPr="009C52C4" w:rsidRDefault="00362848" w:rsidP="00362848">
      <w:pPr>
        <w:rPr>
          <w:rFonts w:ascii="Times New Roman" w:hAnsi="Times New Roman" w:cs="Times New Roman"/>
          <w:sz w:val="24"/>
          <w:szCs w:val="24"/>
        </w:rPr>
      </w:pPr>
      <w:bookmarkStart w:id="111" w:name="h.37m2jsg" w:colFirst="0" w:colLast="0"/>
      <w:bookmarkEnd w:id="111"/>
      <w:r w:rsidRPr="009C52C4">
        <w:rPr>
          <w:rFonts w:ascii="Times New Roman" w:hAnsi="Times New Roman" w:cs="Times New Roman"/>
          <w:sz w:val="24"/>
          <w:szCs w:val="24"/>
        </w:rPr>
        <w:t xml:space="preserve">Mjera predviđa centralizaciju sustava hlađenja uz primjenu sustava dizalice topline za hlađenje prostora. U slučaju dostatnosti prirodne ventilacije potrebno je napomenuti da je kratko prozračivanje potpunim otvaranjem krila prozora i balkonskih vrata, osobito s aspekta zaštite od prehlade i uštede toplinske energije za grijanje i hlađenje (primjerice u jednakim vremenskim intervalima svakih sat vremena na 5 do 10 minuta ), bolje od trajnog prozračivanja kroz poluotvorena krila vrata ili prozora. U slučaju izvedbe prirodne ventilacije vertikalnim kanalima potrebno je osigurati stalno dovođenje svježeg zraka u odgovarajućim količinama te mogućnost regulacije izmjene zraka u prostorijama podesivim zaklopkama kanala uz obveznu primjenu </w:t>
      </w:r>
      <w:r w:rsidR="006107D4" w:rsidRPr="009C52C4">
        <w:rPr>
          <w:rFonts w:ascii="Times New Roman" w:hAnsi="Times New Roman" w:cs="Times New Roman"/>
          <w:sz w:val="24"/>
          <w:szCs w:val="24"/>
        </w:rPr>
        <w:t>rekuperacije</w:t>
      </w:r>
      <w:r w:rsidRPr="009C52C4">
        <w:rPr>
          <w:rFonts w:ascii="Times New Roman" w:hAnsi="Times New Roman" w:cs="Times New Roman"/>
          <w:sz w:val="24"/>
          <w:szCs w:val="24"/>
        </w:rPr>
        <w:t xml:space="preserve"> topline ili rashladne energije. </w:t>
      </w:r>
    </w:p>
    <w:p w14:paraId="4EB535CD" w14:textId="77777777" w:rsidR="00362848" w:rsidRPr="009C52C4" w:rsidRDefault="00362848" w:rsidP="00362848">
      <w:pPr>
        <w:rPr>
          <w:rFonts w:ascii="Times New Roman" w:hAnsi="Times New Roman" w:cs="Times New Roman"/>
          <w:sz w:val="24"/>
          <w:szCs w:val="24"/>
        </w:rPr>
      </w:pPr>
    </w:p>
    <w:p w14:paraId="18DDE034" w14:textId="77777777" w:rsidR="00362848" w:rsidRPr="009C52C4" w:rsidRDefault="00362848" w:rsidP="00362848">
      <w:pPr>
        <w:rPr>
          <w:rFonts w:ascii="Times New Roman" w:hAnsi="Times New Roman" w:cs="Times New Roman"/>
          <w:color w:val="auto"/>
          <w:sz w:val="24"/>
          <w:szCs w:val="24"/>
        </w:rPr>
      </w:pPr>
      <w:r w:rsidRPr="009C52C4">
        <w:rPr>
          <w:rFonts w:ascii="Times New Roman" w:hAnsi="Times New Roman" w:cs="Times New Roman"/>
          <w:sz w:val="24"/>
          <w:szCs w:val="24"/>
        </w:rPr>
        <w:t xml:space="preserve">U slučaju potrebe za većom izmjenom zraka (veći broj korisnika ili opasnost od pojave kondenzacije vlage), potrebno je predvidjeti lokalni tlačno/odsisni sustav ventilacije s rekuperacijom za pojedine prostore (npr. hodnici i čekaonice). Poželjna je automatska regulacija ventilacije kojom će se, uz ostalo, omogućiti izmjena zraka ljeti tijekom noći (temperatura okolišnog zraka niža od temperature zraka u zgradi) što će rezultirati efektom hlađenja prostora. </w:t>
      </w:r>
      <w:r w:rsidRPr="009C52C4">
        <w:rPr>
          <w:rFonts w:ascii="Times New Roman" w:hAnsi="Times New Roman" w:cs="Times New Roman"/>
          <w:color w:val="auto"/>
          <w:sz w:val="24"/>
          <w:szCs w:val="24"/>
        </w:rPr>
        <w:t xml:space="preserve">Uređaji za ventiliranje moraju ispuniti zahtjeve dane tablicom 4. iz Priloga B </w:t>
      </w:r>
      <w:r w:rsidRPr="009C52C4">
        <w:rPr>
          <w:rFonts w:ascii="Times New Roman" w:hAnsi="Times New Roman" w:cs="Times New Roman"/>
          <w:i/>
          <w:color w:val="auto"/>
          <w:sz w:val="24"/>
          <w:szCs w:val="24"/>
        </w:rPr>
        <w:t>Tehničkog propisa</w:t>
      </w:r>
      <w:r w:rsidRPr="009C52C4">
        <w:rPr>
          <w:rFonts w:ascii="Times New Roman" w:hAnsi="Times New Roman" w:cs="Times New Roman"/>
          <w:color w:val="auto"/>
          <w:sz w:val="24"/>
          <w:szCs w:val="24"/>
        </w:rPr>
        <w:t>.</w:t>
      </w:r>
    </w:p>
    <w:p w14:paraId="12EEDF7E" w14:textId="77777777" w:rsidR="00B122B4" w:rsidRPr="009C52C4" w:rsidRDefault="00F54CC3" w:rsidP="009A42E4">
      <w:pPr>
        <w:pStyle w:val="Heading3"/>
        <w:numPr>
          <w:ilvl w:val="2"/>
          <w:numId w:val="20"/>
        </w:numPr>
        <w:spacing w:before="200"/>
        <w:ind w:left="709" w:hanging="709"/>
        <w:rPr>
          <w:rFonts w:ascii="Times New Roman" w:hAnsi="Times New Roman" w:cs="Times New Roman"/>
          <w:sz w:val="24"/>
          <w:szCs w:val="24"/>
        </w:rPr>
      </w:pPr>
      <w:bookmarkStart w:id="112" w:name="_Toc3277909"/>
      <w:r w:rsidRPr="009C52C4">
        <w:rPr>
          <w:rFonts w:ascii="Times New Roman" w:hAnsi="Times New Roman" w:cs="Times New Roman"/>
          <w:sz w:val="24"/>
          <w:szCs w:val="24"/>
        </w:rPr>
        <w:t>Mjera centralizacije i modernizacije sustava pripreme potrošne tople vode uz primjenu obnovljivih izvora energije</w:t>
      </w:r>
      <w:bookmarkEnd w:id="112"/>
    </w:p>
    <w:p w14:paraId="7100ABE1" w14:textId="77777777" w:rsidR="00B122B4" w:rsidRPr="009C52C4" w:rsidRDefault="00B122B4">
      <w:pPr>
        <w:rPr>
          <w:rFonts w:ascii="Times New Roman" w:hAnsi="Times New Roman" w:cs="Times New Roman"/>
          <w:sz w:val="24"/>
          <w:szCs w:val="24"/>
        </w:rPr>
      </w:pPr>
    </w:p>
    <w:p w14:paraId="41CEBF0A" w14:textId="77777777" w:rsidR="00362848" w:rsidRPr="009C52C4" w:rsidRDefault="00362848" w:rsidP="00362848">
      <w:pPr>
        <w:rPr>
          <w:rFonts w:ascii="Times New Roman" w:hAnsi="Times New Roman" w:cs="Times New Roman"/>
          <w:sz w:val="24"/>
          <w:szCs w:val="24"/>
        </w:rPr>
      </w:pPr>
      <w:bookmarkStart w:id="113" w:name="h.1mrcu09" w:colFirst="0" w:colLast="0"/>
      <w:bookmarkEnd w:id="113"/>
      <w:r w:rsidRPr="009C52C4">
        <w:rPr>
          <w:rFonts w:ascii="Times New Roman" w:hAnsi="Times New Roman" w:cs="Times New Roman"/>
          <w:sz w:val="24"/>
          <w:szCs w:val="24"/>
        </w:rPr>
        <w:t xml:space="preserve">U sklopu mjere predviđena je priprema potrošne tople vode u svakoj zgradi putem primarnog i sekundarnog izvora energije. Tijekom cijele godine, a naročito u zimskim mjesecima, potrošnu toplu vodu potrebno je pripremati pomoću kotlovskog sustava za grijanje, koji predstavlja </w:t>
      </w:r>
      <w:r w:rsidRPr="009C52C4">
        <w:rPr>
          <w:rFonts w:ascii="Times New Roman" w:hAnsi="Times New Roman" w:cs="Times New Roman"/>
          <w:i/>
          <w:sz w:val="24"/>
          <w:szCs w:val="24"/>
        </w:rPr>
        <w:t>primarni izvor</w:t>
      </w:r>
      <w:r w:rsidRPr="009C52C4">
        <w:rPr>
          <w:rFonts w:ascii="Times New Roman" w:hAnsi="Times New Roman" w:cs="Times New Roman"/>
          <w:sz w:val="24"/>
          <w:szCs w:val="24"/>
        </w:rPr>
        <w:t xml:space="preserve"> toplinske energije. Solarni kolektorski sustav ili </w:t>
      </w:r>
      <w:r w:rsidRPr="009C52C4">
        <w:rPr>
          <w:rFonts w:ascii="Times New Roman" w:hAnsi="Times New Roman" w:cs="Times New Roman"/>
          <w:i/>
          <w:sz w:val="24"/>
          <w:szCs w:val="24"/>
        </w:rPr>
        <w:t>sekundarni izvor</w:t>
      </w:r>
      <w:r w:rsidRPr="009C52C4">
        <w:rPr>
          <w:rFonts w:ascii="Times New Roman" w:hAnsi="Times New Roman" w:cs="Times New Roman"/>
          <w:sz w:val="24"/>
          <w:szCs w:val="24"/>
        </w:rPr>
        <w:t xml:space="preserve"> toplinske energije potrebno je predvidjeti i optimalno dimenzionirati na način da se kompletne potrebe za toplom vodom u razdoblju od mjeseca </w:t>
      </w:r>
      <w:r w:rsidRPr="009C52C4">
        <w:rPr>
          <w:rFonts w:ascii="Times New Roman" w:hAnsi="Times New Roman" w:cs="Times New Roman"/>
          <w:color w:val="auto"/>
          <w:sz w:val="24"/>
          <w:szCs w:val="24"/>
        </w:rPr>
        <w:t xml:space="preserve">lipnja do rujna </w:t>
      </w:r>
      <w:r w:rsidRPr="009C52C4">
        <w:rPr>
          <w:rFonts w:ascii="Times New Roman" w:hAnsi="Times New Roman" w:cs="Times New Roman"/>
          <w:sz w:val="24"/>
          <w:szCs w:val="24"/>
        </w:rPr>
        <w:t xml:space="preserve">pokrivaju iz solarnog kolektorskog sustava. Na taj način se izbjegava rad kotla za pripremu manje količine tople vode dok nema potrebe za grijanjem te je samim tim godišnja efikasnost i životni vijek kotla </w:t>
      </w:r>
      <w:r w:rsidRPr="009C52C4">
        <w:rPr>
          <w:rFonts w:ascii="Times New Roman" w:hAnsi="Times New Roman" w:cs="Times New Roman"/>
          <w:sz w:val="24"/>
          <w:szCs w:val="24"/>
        </w:rPr>
        <w:lastRenderedPageBreak/>
        <w:t>veći. Primjenom ove mjere potrebno je obratiti pažnju na stvarne potrebe za potrošnom toplom vodom u ovisnosti o primarnoj funkciji objekata.</w:t>
      </w:r>
    </w:p>
    <w:p w14:paraId="3383B67B" w14:textId="77777777" w:rsidR="00B122B4" w:rsidRPr="009C52C4" w:rsidRDefault="00F54CC3" w:rsidP="009A42E4">
      <w:pPr>
        <w:pStyle w:val="Heading3"/>
        <w:numPr>
          <w:ilvl w:val="2"/>
          <w:numId w:val="20"/>
        </w:numPr>
        <w:spacing w:before="200"/>
        <w:ind w:left="709" w:hanging="709"/>
        <w:rPr>
          <w:rFonts w:ascii="Times New Roman" w:hAnsi="Times New Roman" w:cs="Times New Roman"/>
          <w:sz w:val="24"/>
          <w:szCs w:val="24"/>
        </w:rPr>
      </w:pPr>
      <w:bookmarkStart w:id="114" w:name="_Toc3277910"/>
      <w:r w:rsidRPr="009C52C4">
        <w:rPr>
          <w:rFonts w:ascii="Times New Roman" w:hAnsi="Times New Roman" w:cs="Times New Roman"/>
          <w:sz w:val="24"/>
          <w:szCs w:val="24"/>
        </w:rPr>
        <w:t>Mjera modernizacije sustava rasvjete</w:t>
      </w:r>
      <w:bookmarkEnd w:id="114"/>
    </w:p>
    <w:p w14:paraId="5EFC49F9" w14:textId="77777777" w:rsidR="00B122B4" w:rsidRPr="009C52C4" w:rsidRDefault="00B122B4">
      <w:pPr>
        <w:rPr>
          <w:rFonts w:ascii="Times New Roman" w:hAnsi="Times New Roman" w:cs="Times New Roman"/>
          <w:sz w:val="24"/>
          <w:szCs w:val="24"/>
        </w:rPr>
      </w:pPr>
    </w:p>
    <w:p w14:paraId="0FAEC5A1" w14:textId="16BEAEE8" w:rsidR="00362848" w:rsidRPr="009C52C4" w:rsidRDefault="00362848" w:rsidP="00362848">
      <w:pPr>
        <w:rPr>
          <w:rFonts w:ascii="Times New Roman" w:hAnsi="Times New Roman" w:cs="Times New Roman"/>
          <w:sz w:val="24"/>
          <w:szCs w:val="24"/>
        </w:rPr>
      </w:pPr>
      <w:bookmarkStart w:id="115" w:name="h.46r0co2" w:colFirst="0" w:colLast="0"/>
      <w:bookmarkEnd w:id="115"/>
      <w:r w:rsidRPr="009C52C4">
        <w:rPr>
          <w:rFonts w:ascii="Times New Roman" w:hAnsi="Times New Roman" w:cs="Times New Roman"/>
          <w:sz w:val="24"/>
          <w:szCs w:val="24"/>
        </w:rPr>
        <w:t>Mjera modernizacije sustava rasvjete, u svrhu poboljšanja svjetlosne udobnosti korisnika, kao pripremnu radnju obvezno mora uključiti razmatranje kako u što većoj mjeri koristiti prirodno (dnevno) osvjetljenje. Za optimalno iskorištenje prirodnog osvjetljenja potrebno je razmotriti reorganizaciju prostora te smještanje unutarnjih pregrada koje reflektiraju dnevno svjetlo i doprinose njegovoj raspodjeli.</w:t>
      </w:r>
    </w:p>
    <w:p w14:paraId="3EE061BE" w14:textId="77777777" w:rsidR="00362848" w:rsidRPr="009C52C4" w:rsidRDefault="00362848" w:rsidP="00362848">
      <w:pPr>
        <w:rPr>
          <w:rFonts w:ascii="Times New Roman" w:hAnsi="Times New Roman" w:cs="Times New Roman"/>
          <w:sz w:val="24"/>
          <w:szCs w:val="24"/>
        </w:rPr>
      </w:pPr>
    </w:p>
    <w:p w14:paraId="41128EF7"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Tehničke karakteristike predloženih svjetlotehničkih rješenja unutarnje rasvjete zgrade moraju biti u skladu s normom HRN EN 12464-1:2008, energetskog razreda A, s RoHS smjernicama EU 2002/95/EC (ograničenje upotrebe štetnih tvari u električnoj i elektronskoj opremi), EuP smjernicama 2005/32/EC (smjernice za postavljanje okvira za ekološku konstrukciju uređaja potrošača energije) te smjernicama 2000/55/EC (smjernice za elektronske predspojne naprave). Preporučeni izvori svjetlosti su LED izvori svijetlosti visoke energetske učinkovitosti (minimalno 90 lm/W) i boje izvora svijetlosti (4000K ili niže) te faktora uzvrata boje CRI iznosa 85 ili više. Tehničke karakteristike predlaganih svjetlotehničkih rješenja vanjske rasvjete također moraju biti u skladu s normom HRN EN 13201 kao i </w:t>
      </w:r>
      <w:r w:rsidRPr="009C52C4">
        <w:rPr>
          <w:rFonts w:ascii="Times New Roman" w:hAnsi="Times New Roman" w:cs="Times New Roman"/>
          <w:i/>
          <w:sz w:val="24"/>
          <w:szCs w:val="24"/>
        </w:rPr>
        <w:t>Zakonom o zaštiti od svjetlosnog onečišćenja (NN 114/11)</w:t>
      </w:r>
      <w:r w:rsidRPr="009C52C4">
        <w:rPr>
          <w:rFonts w:ascii="Times New Roman" w:hAnsi="Times New Roman" w:cs="Times New Roman"/>
          <w:sz w:val="24"/>
          <w:szCs w:val="24"/>
        </w:rPr>
        <w:t xml:space="preserve">. Obavezno treba primijeniti i regulaciju snage izvora svijetlosti koja će omogućiti energetske uštede i smanjenje svjetlosnog onečišćenja u kasno-noćnim satima. </w:t>
      </w:r>
    </w:p>
    <w:p w14:paraId="00036483" w14:textId="77777777" w:rsidR="00B122B4" w:rsidRPr="009C52C4" w:rsidRDefault="00F54CC3" w:rsidP="009A42E4">
      <w:pPr>
        <w:pStyle w:val="Heading3"/>
        <w:numPr>
          <w:ilvl w:val="2"/>
          <w:numId w:val="20"/>
        </w:numPr>
        <w:spacing w:before="200"/>
        <w:ind w:left="709" w:hanging="709"/>
        <w:rPr>
          <w:rFonts w:ascii="Times New Roman" w:hAnsi="Times New Roman" w:cs="Times New Roman"/>
          <w:sz w:val="24"/>
          <w:szCs w:val="24"/>
        </w:rPr>
      </w:pPr>
      <w:bookmarkStart w:id="116" w:name="_Toc3277911"/>
      <w:r w:rsidRPr="009C52C4">
        <w:rPr>
          <w:rFonts w:ascii="Times New Roman" w:hAnsi="Times New Roman" w:cs="Times New Roman"/>
          <w:sz w:val="24"/>
          <w:szCs w:val="24"/>
        </w:rPr>
        <w:t>Mjera smanjenja potrošnje vode</w:t>
      </w:r>
      <w:bookmarkEnd w:id="116"/>
    </w:p>
    <w:p w14:paraId="1D33B3B5" w14:textId="77777777" w:rsidR="00B122B4" w:rsidRPr="009C52C4" w:rsidRDefault="00B122B4">
      <w:pPr>
        <w:rPr>
          <w:rFonts w:ascii="Times New Roman" w:hAnsi="Times New Roman" w:cs="Times New Roman"/>
          <w:sz w:val="24"/>
          <w:szCs w:val="24"/>
        </w:rPr>
      </w:pPr>
    </w:p>
    <w:p w14:paraId="6381F07C" w14:textId="77777777" w:rsidR="00362848" w:rsidRPr="009C52C4" w:rsidRDefault="00362848" w:rsidP="00362848">
      <w:pPr>
        <w:rPr>
          <w:rFonts w:ascii="Times New Roman" w:hAnsi="Times New Roman" w:cs="Times New Roman"/>
          <w:sz w:val="24"/>
          <w:szCs w:val="24"/>
        </w:rPr>
      </w:pPr>
      <w:bookmarkStart w:id="117" w:name="h.2lwamvv" w:colFirst="0" w:colLast="0"/>
      <w:bookmarkEnd w:id="117"/>
      <w:r w:rsidRPr="009C52C4">
        <w:rPr>
          <w:rFonts w:ascii="Times New Roman" w:hAnsi="Times New Roman" w:cs="Times New Roman"/>
          <w:sz w:val="24"/>
          <w:szCs w:val="24"/>
        </w:rPr>
        <w:t>Radi smanjenja potrošnje vode potrebno je predvidjeti senzorske slavine, štedne perlatore te vodokotliće sa smanjenim volumenom ispiranja. U svrhu pohrane kišnice (oborinske vode) te korištenja iste za održavanje travnatih površina oko zgrade, potrebno je predvidjeti spremnike za sakupljanje oborinske vode. U skladu s mogućnostima, preporučuje se iskoristiti prirodni pad terena, ukoliko isti postoji.</w:t>
      </w:r>
    </w:p>
    <w:p w14:paraId="0AF3A286" w14:textId="77777777" w:rsidR="00B122B4" w:rsidRPr="009C52C4" w:rsidRDefault="00F54CC3" w:rsidP="009A42E4">
      <w:pPr>
        <w:pStyle w:val="Heading3"/>
        <w:numPr>
          <w:ilvl w:val="2"/>
          <w:numId w:val="20"/>
        </w:numPr>
        <w:spacing w:before="200"/>
        <w:ind w:left="709" w:hanging="709"/>
        <w:rPr>
          <w:rFonts w:ascii="Times New Roman" w:hAnsi="Times New Roman" w:cs="Times New Roman"/>
          <w:sz w:val="24"/>
          <w:szCs w:val="24"/>
        </w:rPr>
      </w:pPr>
      <w:bookmarkStart w:id="118" w:name="_Toc3277912"/>
      <w:r w:rsidRPr="009C52C4">
        <w:rPr>
          <w:rFonts w:ascii="Times New Roman" w:hAnsi="Times New Roman" w:cs="Times New Roman"/>
          <w:sz w:val="24"/>
          <w:szCs w:val="24"/>
        </w:rPr>
        <w:t>Mjera ugradnje centralnog nadzornog i upravljačkog sustava</w:t>
      </w:r>
      <w:bookmarkEnd w:id="118"/>
    </w:p>
    <w:p w14:paraId="3FAEA5D4" w14:textId="77777777" w:rsidR="00B122B4" w:rsidRPr="009C52C4" w:rsidRDefault="00B122B4">
      <w:pPr>
        <w:rPr>
          <w:rFonts w:ascii="Times New Roman" w:hAnsi="Times New Roman" w:cs="Times New Roman"/>
          <w:sz w:val="24"/>
          <w:szCs w:val="24"/>
        </w:rPr>
      </w:pPr>
    </w:p>
    <w:p w14:paraId="2A1C83DE" w14:textId="77777777" w:rsidR="00362848" w:rsidRPr="009C52C4" w:rsidRDefault="00362848" w:rsidP="00362848">
      <w:pPr>
        <w:rPr>
          <w:rFonts w:ascii="Times New Roman" w:hAnsi="Times New Roman" w:cs="Times New Roman"/>
          <w:sz w:val="24"/>
          <w:szCs w:val="24"/>
        </w:rPr>
      </w:pPr>
      <w:bookmarkStart w:id="119" w:name="h.111kx3o" w:colFirst="0" w:colLast="0"/>
      <w:bookmarkEnd w:id="119"/>
      <w:r w:rsidRPr="009C52C4">
        <w:rPr>
          <w:rFonts w:ascii="Times New Roman" w:hAnsi="Times New Roman" w:cs="Times New Roman"/>
          <w:sz w:val="24"/>
          <w:szCs w:val="24"/>
        </w:rPr>
        <w:t>Mjera uključuje ugradnju centralnog nadzornog i upravljačkog sustava uz mogućnost daljinskog očitanja potrošnje svih energenata i vode. Pritom je potrebno planirati i izvršiti kabliranje svih mjernih mjesta (struja, voda, plin i dr.) te predvidjeti brojila s impulsnim izlazima. Ugradnjom centralnog nadzornog i upravljačkog sustava (CNUS)</w:t>
      </w:r>
      <w:r w:rsidRPr="009C52C4">
        <w:rPr>
          <w:rFonts w:ascii="Times New Roman" w:hAnsi="Times New Roman" w:cs="Times New Roman"/>
          <w:i/>
          <w:sz w:val="24"/>
          <w:szCs w:val="24"/>
        </w:rPr>
        <w:t xml:space="preserve"> </w:t>
      </w:r>
      <w:r w:rsidRPr="009C52C4">
        <w:rPr>
          <w:rFonts w:ascii="Times New Roman" w:hAnsi="Times New Roman" w:cs="Times New Roman"/>
          <w:sz w:val="24"/>
          <w:szCs w:val="24"/>
        </w:rPr>
        <w:t>s jednog je mjesta moguće upravljati radom kotla, temperaturama u prostorijama, unutarnjom i vanjskom rasvjetom, sustavom navodnjavanja i ostalim sustavima koji doprinose povećanju energetske učinkovitosti. Potrebno je osigurati minimalni razred C sustava automatizacije i upravljanja prema normi HRN EN 15232.</w:t>
      </w:r>
    </w:p>
    <w:p w14:paraId="22FBAAED" w14:textId="77777777" w:rsidR="00B122B4" w:rsidRPr="009C52C4" w:rsidRDefault="00F54CC3" w:rsidP="009A42E4">
      <w:pPr>
        <w:pStyle w:val="Heading3"/>
        <w:numPr>
          <w:ilvl w:val="2"/>
          <w:numId w:val="20"/>
        </w:numPr>
        <w:spacing w:before="200"/>
        <w:ind w:left="709" w:hanging="709"/>
        <w:rPr>
          <w:rFonts w:ascii="Times New Roman" w:hAnsi="Times New Roman" w:cs="Times New Roman"/>
          <w:sz w:val="24"/>
          <w:szCs w:val="24"/>
        </w:rPr>
      </w:pPr>
      <w:bookmarkStart w:id="120" w:name="_Toc3277913"/>
      <w:r w:rsidRPr="009C52C4">
        <w:rPr>
          <w:rFonts w:ascii="Times New Roman" w:hAnsi="Times New Roman" w:cs="Times New Roman"/>
          <w:sz w:val="24"/>
          <w:szCs w:val="24"/>
        </w:rPr>
        <w:t>Ostale mjere energetske učinkovitosti i primjene obnovljivih izvora energije</w:t>
      </w:r>
      <w:bookmarkEnd w:id="120"/>
    </w:p>
    <w:p w14:paraId="2BD90052" w14:textId="77777777" w:rsidR="00B122B4" w:rsidRPr="009C52C4" w:rsidRDefault="00B122B4">
      <w:pPr>
        <w:rPr>
          <w:rFonts w:ascii="Times New Roman" w:hAnsi="Times New Roman" w:cs="Times New Roman"/>
          <w:sz w:val="24"/>
          <w:szCs w:val="24"/>
        </w:rPr>
      </w:pPr>
    </w:p>
    <w:p w14:paraId="3EEE026F" w14:textId="33265622"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Vezano uz potrošnju električne energije, potrebno je predvidjeti uređaj za kompenzaciju jalove energije, sukladno parametrima potrošnje električne energije (pogotovo s obzirom na sustav rasvjete i sustav hlađenja ukoliko se planira ugraditi). Također, preporučuje se ispitati mogućnost iskorištavanja površine krova za montažu fotonaponskih modula za proizvodnju električne energije za osobne potrebe s obzirom kako je trošak kapitalnog ulaganja za instalaciju 1MW instalirane snage fotonaponskog sustava po prvi puta u svjetskoj povijesti </w:t>
      </w:r>
      <w:r w:rsidRPr="009C52C4">
        <w:rPr>
          <w:rFonts w:ascii="Times New Roman" w:hAnsi="Times New Roman" w:cs="Times New Roman"/>
          <w:sz w:val="24"/>
          <w:szCs w:val="24"/>
        </w:rPr>
        <w:lastRenderedPageBreak/>
        <w:t>niža od 1MW instalirane snage vjetrogeneratora, što zapravo fotonaponske sustave čini najpovoljnijim izvorima električne energije iz obnovljivih izvora.</w:t>
      </w:r>
      <w:r w:rsidR="00C515CD" w:rsidRPr="009C52C4">
        <w:rPr>
          <w:rFonts w:ascii="Times New Roman" w:hAnsi="Times New Roman" w:cs="Times New Roman"/>
          <w:sz w:val="24"/>
          <w:szCs w:val="24"/>
        </w:rPr>
        <w:t xml:space="preserve"> S trendom pada cijene instalirane snage fotonaponskog sustava očekuje se da </w:t>
      </w:r>
      <w:r w:rsidR="00C9000A" w:rsidRPr="009C52C4">
        <w:rPr>
          <w:rFonts w:ascii="Times New Roman" w:hAnsi="Times New Roman" w:cs="Times New Roman"/>
          <w:sz w:val="24"/>
          <w:szCs w:val="24"/>
        </w:rPr>
        <w:t xml:space="preserve">će </w:t>
      </w:r>
      <w:r w:rsidR="00C515CD" w:rsidRPr="009C52C4">
        <w:rPr>
          <w:rFonts w:ascii="Times New Roman" w:hAnsi="Times New Roman" w:cs="Times New Roman"/>
          <w:sz w:val="24"/>
          <w:szCs w:val="24"/>
        </w:rPr>
        <w:t>do 2025. godine cijena 1MW biti oko 0,8 mil USD odnosno da će pasti za dodatnih 60% u odnosu na današnju cijenu instalirane snage</w:t>
      </w:r>
      <w:r w:rsidR="00C515CD" w:rsidRPr="009C52C4">
        <w:rPr>
          <w:rStyle w:val="FootnoteReference"/>
          <w:rFonts w:ascii="Times New Roman" w:hAnsi="Times New Roman" w:cs="Times New Roman"/>
          <w:sz w:val="24"/>
          <w:szCs w:val="24"/>
        </w:rPr>
        <w:footnoteReference w:id="31"/>
      </w:r>
      <w:r w:rsidR="00D202AB" w:rsidRPr="009C52C4">
        <w:rPr>
          <w:rFonts w:ascii="Times New Roman" w:hAnsi="Times New Roman" w:cs="Times New Roman"/>
          <w:sz w:val="24"/>
          <w:szCs w:val="24"/>
        </w:rPr>
        <w:t xml:space="preserve"> što će svakako utjecati na širu primjenu ovih sustava u sektoru zgradarstva</w:t>
      </w:r>
      <w:r w:rsidR="00C515CD" w:rsidRPr="009C52C4">
        <w:rPr>
          <w:rFonts w:ascii="Times New Roman" w:hAnsi="Times New Roman" w:cs="Times New Roman"/>
          <w:sz w:val="24"/>
          <w:szCs w:val="24"/>
        </w:rPr>
        <w:t xml:space="preserve">. </w:t>
      </w:r>
    </w:p>
    <w:p w14:paraId="4BE04273" w14:textId="77777777" w:rsidR="00B122B4" w:rsidRPr="009C52C4" w:rsidRDefault="00B122B4">
      <w:pPr>
        <w:rPr>
          <w:rFonts w:ascii="Times New Roman" w:hAnsi="Times New Roman" w:cs="Times New Roman"/>
          <w:sz w:val="24"/>
          <w:szCs w:val="24"/>
        </w:rPr>
      </w:pPr>
    </w:p>
    <w:p w14:paraId="756225B8"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br w:type="page"/>
      </w:r>
    </w:p>
    <w:p w14:paraId="514DEBEB" w14:textId="77777777" w:rsidR="00B122B4" w:rsidRPr="009C52C4" w:rsidRDefault="00F54CC3" w:rsidP="004F09F1">
      <w:pPr>
        <w:pStyle w:val="Heading2"/>
        <w:numPr>
          <w:ilvl w:val="1"/>
          <w:numId w:val="20"/>
        </w:numPr>
        <w:ind w:hanging="719"/>
        <w:rPr>
          <w:rFonts w:ascii="Times New Roman" w:hAnsi="Times New Roman" w:cs="Times New Roman"/>
          <w:sz w:val="24"/>
          <w:szCs w:val="24"/>
        </w:rPr>
      </w:pPr>
      <w:bookmarkStart w:id="121" w:name="h.3l18frh" w:colFirst="0" w:colLast="0"/>
      <w:bookmarkStart w:id="122" w:name="_Toc3277914"/>
      <w:bookmarkEnd w:id="121"/>
      <w:r w:rsidRPr="009C52C4">
        <w:rPr>
          <w:rFonts w:ascii="Times New Roman" w:hAnsi="Times New Roman" w:cs="Times New Roman"/>
          <w:sz w:val="24"/>
          <w:szCs w:val="24"/>
        </w:rPr>
        <w:lastRenderedPageBreak/>
        <w:t>Tehničke mogućnosti centraliziranog toplinskog sustava (CTS) grijanja</w:t>
      </w:r>
      <w:bookmarkEnd w:id="122"/>
    </w:p>
    <w:p w14:paraId="35607BC0" w14:textId="77777777" w:rsidR="00B122B4" w:rsidRPr="009C52C4" w:rsidRDefault="00B122B4">
      <w:pPr>
        <w:rPr>
          <w:rFonts w:ascii="Times New Roman" w:hAnsi="Times New Roman" w:cs="Times New Roman"/>
          <w:sz w:val="24"/>
          <w:szCs w:val="24"/>
        </w:rPr>
      </w:pPr>
    </w:p>
    <w:p w14:paraId="5178455F" w14:textId="77777777" w:rsidR="00362848" w:rsidRPr="009C52C4" w:rsidRDefault="00362848" w:rsidP="00362848">
      <w:pPr>
        <w:rPr>
          <w:rFonts w:ascii="Times New Roman" w:hAnsi="Times New Roman" w:cs="Times New Roman"/>
          <w:sz w:val="24"/>
          <w:szCs w:val="24"/>
        </w:rPr>
      </w:pPr>
      <w:bookmarkStart w:id="123" w:name="h.206ipza" w:colFirst="0" w:colLast="0"/>
      <w:bookmarkEnd w:id="123"/>
      <w:r w:rsidRPr="009C52C4">
        <w:rPr>
          <w:rFonts w:ascii="Times New Roman" w:hAnsi="Times New Roman" w:cs="Times New Roman"/>
          <w:sz w:val="24"/>
          <w:szCs w:val="24"/>
        </w:rPr>
        <w:t xml:space="preserve">Sustavi daljinskog grijanja, odnosno centralizirani toplinski sustavi (CTS) postoje u znatnom broju većih gradova u Republici Hrvatskoj, i to sljedećim: Zagrebu, Osijeku, Sisku, Velikoj Gorici, Karlovcu, Zaprešiću, Samoboru, Slavonskom Brodu, Splitu, Varaždinu, Rijeci, Virovitici, Vinkovcima, Vukovaru i Požegi. </w:t>
      </w:r>
    </w:p>
    <w:p w14:paraId="0E0A3870" w14:textId="77777777" w:rsidR="00362848" w:rsidRPr="009C52C4" w:rsidRDefault="00362848" w:rsidP="00362848">
      <w:pPr>
        <w:rPr>
          <w:rFonts w:ascii="Times New Roman" w:hAnsi="Times New Roman" w:cs="Times New Roman"/>
          <w:sz w:val="24"/>
          <w:szCs w:val="24"/>
        </w:rPr>
      </w:pPr>
    </w:p>
    <w:p w14:paraId="3923DBE2" w14:textId="68134D52"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Na temelju Zakona o tržištu toplinske energije</w:t>
      </w:r>
      <w:r w:rsidR="00707D84" w:rsidRPr="009C52C4">
        <w:rPr>
          <w:rFonts w:ascii="Times New Roman" w:hAnsi="Times New Roman" w:cs="Times New Roman"/>
          <w:sz w:val="24"/>
          <w:szCs w:val="24"/>
        </w:rPr>
        <w:t xml:space="preserve"> (NN 80/13, 14/14, 102/14, 95/15</w:t>
      </w:r>
      <w:r w:rsidR="00C9000A" w:rsidRPr="009C52C4">
        <w:rPr>
          <w:rFonts w:ascii="Times New Roman" w:hAnsi="Times New Roman" w:cs="Times New Roman"/>
          <w:sz w:val="24"/>
          <w:szCs w:val="24"/>
        </w:rPr>
        <w:t>, 76/18, 96/18</w:t>
      </w:r>
      <w:r w:rsidR="00707D84" w:rsidRPr="009C52C4">
        <w:rPr>
          <w:rFonts w:ascii="Times New Roman" w:hAnsi="Times New Roman" w:cs="Times New Roman"/>
          <w:sz w:val="24"/>
          <w:szCs w:val="24"/>
        </w:rPr>
        <w:t>)</w:t>
      </w:r>
      <w:r w:rsidRPr="009C52C4">
        <w:rPr>
          <w:rFonts w:ascii="Times New Roman" w:hAnsi="Times New Roman" w:cs="Times New Roman"/>
          <w:sz w:val="24"/>
          <w:szCs w:val="24"/>
          <w:vertAlign w:val="superscript"/>
        </w:rPr>
        <w:footnoteReference w:id="32"/>
      </w:r>
      <w:r w:rsidRPr="009C52C4">
        <w:rPr>
          <w:rFonts w:ascii="Times New Roman" w:hAnsi="Times New Roman" w:cs="Times New Roman"/>
          <w:sz w:val="24"/>
          <w:szCs w:val="24"/>
        </w:rPr>
        <w:t xml:space="preserve"> vrijede sljedeći propisi koji definiraju navedene uvjete:</w:t>
      </w:r>
    </w:p>
    <w:p w14:paraId="2FB7339C" w14:textId="478A2E16" w:rsidR="00362848" w:rsidRPr="009C52C4" w:rsidRDefault="00362848" w:rsidP="004F09F1">
      <w:pPr>
        <w:numPr>
          <w:ilvl w:val="0"/>
          <w:numId w:val="28"/>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Opći uvjeti za opskrbu toplinskom energijom</w:t>
      </w:r>
      <w:r w:rsidR="001655D6" w:rsidRPr="009C52C4">
        <w:rPr>
          <w:rFonts w:ascii="Times New Roman" w:hAnsi="Times New Roman" w:cs="Times New Roman"/>
          <w:sz w:val="24"/>
          <w:szCs w:val="24"/>
        </w:rPr>
        <w:t xml:space="preserve"> (NN 35/14)</w:t>
      </w:r>
      <w:r w:rsidRPr="009C52C4">
        <w:rPr>
          <w:rFonts w:ascii="Times New Roman" w:hAnsi="Times New Roman" w:cs="Times New Roman"/>
          <w:sz w:val="24"/>
          <w:szCs w:val="24"/>
          <w:vertAlign w:val="superscript"/>
        </w:rPr>
        <w:footnoteReference w:id="33"/>
      </w:r>
      <w:r w:rsidRPr="009C52C4">
        <w:rPr>
          <w:rFonts w:ascii="Times New Roman" w:hAnsi="Times New Roman" w:cs="Times New Roman"/>
          <w:sz w:val="24"/>
          <w:szCs w:val="24"/>
        </w:rPr>
        <w:t>. U okviru ovog propisa uređuju se odnosi između proizvođača toplinske energije, distributera toplinske energije i opskrbljivača toplinskom energijom, obveze i odgovornosti proizvođača toplinske energije, distributera toplinske energije i opskrbljivača toplinskom energijom, uvjeti kvalitete i sigurnosti opskrbe toplinskom energijom, uvjeti ograničenja i obustave opskrbe toplinskom energijom, uvjeti obračuna i naplate toplinske energije, postupak promjene opskrbljivača toplinskom energijom, mjere zaštite krajnjih kupaca i pravna zaštita</w:t>
      </w:r>
    </w:p>
    <w:p w14:paraId="2243BE97" w14:textId="579D44CF" w:rsidR="00362848" w:rsidRPr="009C52C4" w:rsidRDefault="00362848" w:rsidP="004F09F1">
      <w:pPr>
        <w:numPr>
          <w:ilvl w:val="0"/>
          <w:numId w:val="28"/>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Opći uvjeti za isporuku toplinske energije</w:t>
      </w:r>
      <w:r w:rsidR="001655D6" w:rsidRPr="009C52C4">
        <w:rPr>
          <w:rFonts w:ascii="Times New Roman" w:hAnsi="Times New Roman" w:cs="Times New Roman"/>
          <w:sz w:val="24"/>
          <w:szCs w:val="24"/>
        </w:rPr>
        <w:t xml:space="preserve"> (NN 35/14, 129/15)</w:t>
      </w:r>
      <w:r w:rsidRPr="009C52C4">
        <w:rPr>
          <w:rFonts w:ascii="Times New Roman" w:hAnsi="Times New Roman" w:cs="Times New Roman"/>
          <w:sz w:val="24"/>
          <w:szCs w:val="24"/>
          <w:vertAlign w:val="superscript"/>
        </w:rPr>
        <w:footnoteReference w:id="34"/>
      </w:r>
      <w:r w:rsidRPr="009C52C4">
        <w:rPr>
          <w:rFonts w:ascii="Times New Roman" w:hAnsi="Times New Roman" w:cs="Times New Roman"/>
          <w:sz w:val="24"/>
          <w:szCs w:val="24"/>
        </w:rPr>
        <w:t>. U okviru ovog</w:t>
      </w:r>
      <w:r w:rsidR="00C9000A" w:rsidRPr="009C52C4">
        <w:rPr>
          <w:rFonts w:ascii="Times New Roman" w:hAnsi="Times New Roman" w:cs="Times New Roman"/>
          <w:sz w:val="24"/>
          <w:szCs w:val="24"/>
        </w:rPr>
        <w:t>a</w:t>
      </w:r>
      <w:r w:rsidRPr="009C52C4">
        <w:rPr>
          <w:rFonts w:ascii="Times New Roman" w:hAnsi="Times New Roman" w:cs="Times New Roman"/>
          <w:sz w:val="24"/>
          <w:szCs w:val="24"/>
        </w:rPr>
        <w:t xml:space="preserve"> propisa uređuju se odnosi između opskrbljivača toplinskom energijom i kupca toplinske energije, odnosi između kupca toplinske energije i krajnjih kupaca, obveze i odgovornosti opskrbljivača toplinskom energijom i kupca toplinske energije, obveze i odgovornosti kupca toplinske energije i krajnjih kupaca, uvjeti obračuna i naplate toplinske energije, uvjeti ograničenja i obustave isporuke toplinske energije, investicije, rekonstrukcije i održavanje proizvodnih postrojenja i unutarnjih instalacija, pristup mjerilima toplinske energije i instalacijama priključka, postupak kod neovlaštenog korištenja toplinske energije, postupak u slučaju tehničkih i drugih smetnji u opskrbi toplinskom energijom, postupak kod preraspodjele toplinske energije za krajnjeg kupca, postupak kod isključenja cijele zgrade/građevine iz toplinskog sustava, mjere zaštite krajnjih kupaca, postupak promjene kupca toplinske energije, način informiranja krajnjih kupaca o potrošnji i troškovima toplinske energije, obveza kupca toplinske energije da obavijesti krajnje kupce o svakoj promijeni konačne cijene toplinske energije, pravo na raspolaganje podacima o potrošnji, uključujući pravo i uvjete prosljeđivanja podataka drugom kupcu toplinske energije te pravna zaštita</w:t>
      </w:r>
    </w:p>
    <w:p w14:paraId="1BF3754F" w14:textId="4E91212D" w:rsidR="00362848" w:rsidRPr="009C52C4" w:rsidRDefault="00362848" w:rsidP="004F09F1">
      <w:pPr>
        <w:numPr>
          <w:ilvl w:val="0"/>
          <w:numId w:val="28"/>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Mrežna pravila za distribuciju toplinske energije</w:t>
      </w:r>
      <w:r w:rsidR="00F34487" w:rsidRPr="009C52C4">
        <w:rPr>
          <w:rFonts w:ascii="Times New Roman" w:hAnsi="Times New Roman" w:cs="Times New Roman"/>
          <w:sz w:val="24"/>
          <w:szCs w:val="24"/>
        </w:rPr>
        <w:t xml:space="preserve"> (NN 35/14)</w:t>
      </w:r>
      <w:r w:rsidRPr="009C52C4">
        <w:rPr>
          <w:rFonts w:ascii="Times New Roman" w:hAnsi="Times New Roman" w:cs="Times New Roman"/>
          <w:sz w:val="24"/>
          <w:szCs w:val="24"/>
          <w:vertAlign w:val="superscript"/>
        </w:rPr>
        <w:footnoteReference w:id="35"/>
      </w:r>
      <w:r w:rsidR="00F34487" w:rsidRPr="009C52C4">
        <w:rPr>
          <w:rFonts w:ascii="Times New Roman" w:hAnsi="Times New Roman" w:cs="Times New Roman"/>
          <w:sz w:val="24"/>
          <w:szCs w:val="24"/>
        </w:rPr>
        <w:t xml:space="preserve">. </w:t>
      </w:r>
      <w:r w:rsidRPr="009C52C4">
        <w:rPr>
          <w:rFonts w:ascii="Times New Roman" w:hAnsi="Times New Roman" w:cs="Times New Roman"/>
          <w:sz w:val="24"/>
          <w:szCs w:val="24"/>
        </w:rPr>
        <w:t>U okviru ovog</w:t>
      </w:r>
      <w:r w:rsidR="00C9000A" w:rsidRPr="009C52C4">
        <w:rPr>
          <w:rFonts w:ascii="Times New Roman" w:hAnsi="Times New Roman" w:cs="Times New Roman"/>
          <w:sz w:val="24"/>
          <w:szCs w:val="24"/>
        </w:rPr>
        <w:t>a</w:t>
      </w:r>
      <w:r w:rsidRPr="009C52C4">
        <w:rPr>
          <w:rFonts w:ascii="Times New Roman" w:hAnsi="Times New Roman" w:cs="Times New Roman"/>
          <w:sz w:val="24"/>
          <w:szCs w:val="24"/>
        </w:rPr>
        <w:t xml:space="preserve"> propisa uređuje se opis distribucijske mreže, razvoj, građenje i održavanje distribucijske mreže, upravljanje i nadzor nad distribucijskom mrežom, uvjeti priključenja na distribucijsku mrežu, gradnja priključka i priključenje na distribucijsku mrežu, prava i dužnosti distributera toplinske energije i korisnika distribucijske mreže, uvjeti mjerenja isporučene toplinske energije, objava podataka i razmjena informacija, kvaliteta usluge i sigurnost opskrbe toplinskom energijom, mjere zaštite korisnika distribucijske mreže, neovlašteno korištenje toplinske energije, naknada štete i pravna zaštita. Dodatno je u okviru Mrežnih pravila</w:t>
      </w:r>
      <w:r w:rsidR="00F34487" w:rsidRPr="009C52C4">
        <w:rPr>
          <w:rFonts w:ascii="Times New Roman" w:hAnsi="Times New Roman" w:cs="Times New Roman"/>
          <w:sz w:val="24"/>
          <w:szCs w:val="24"/>
        </w:rPr>
        <w:t xml:space="preserve"> za distribuciju toplinske energije </w:t>
      </w:r>
      <w:r w:rsidRPr="009C52C4">
        <w:rPr>
          <w:rFonts w:ascii="Times New Roman" w:hAnsi="Times New Roman" w:cs="Times New Roman"/>
          <w:sz w:val="24"/>
          <w:szCs w:val="24"/>
        </w:rPr>
        <w:lastRenderedPageBreak/>
        <w:t>navedeno kako je ista dužan  primjenjivati investitor ili vlasnik zgrade/građevine koja se priključuje na distribucijsku mrežu, kupac toplinske energije, krajnji kupac priključen na distribucijsku mrežu, opskrbljivač toplinskom energijom, distributer toplinske energije i proizvođač toplinske energije.</w:t>
      </w:r>
    </w:p>
    <w:p w14:paraId="65E811FE" w14:textId="77777777" w:rsidR="00362848" w:rsidRPr="009C52C4" w:rsidRDefault="00362848" w:rsidP="00362848">
      <w:pPr>
        <w:rPr>
          <w:rFonts w:ascii="Times New Roman" w:hAnsi="Times New Roman" w:cs="Times New Roman"/>
          <w:sz w:val="24"/>
          <w:szCs w:val="24"/>
        </w:rPr>
      </w:pPr>
    </w:p>
    <w:p w14:paraId="13072341" w14:textId="226D6281"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U smislu gore navedenog, tehničke mogućnosti i uvjeti priključka zgrade na centralizirani toplinski </w:t>
      </w:r>
      <w:r w:rsidR="00C9000A" w:rsidRPr="009C52C4">
        <w:rPr>
          <w:rFonts w:ascii="Times New Roman" w:hAnsi="Times New Roman" w:cs="Times New Roman"/>
          <w:sz w:val="24"/>
          <w:szCs w:val="24"/>
        </w:rPr>
        <w:t xml:space="preserve">sustav </w:t>
      </w:r>
      <w:r w:rsidRPr="009C52C4">
        <w:rPr>
          <w:rFonts w:ascii="Times New Roman" w:hAnsi="Times New Roman" w:cs="Times New Roman"/>
          <w:sz w:val="24"/>
          <w:szCs w:val="24"/>
        </w:rPr>
        <w:t>detaljno su opisane u okviru Mrežnih pravila</w:t>
      </w:r>
      <w:r w:rsidR="00F34487" w:rsidRPr="009C52C4">
        <w:rPr>
          <w:rFonts w:ascii="Times New Roman" w:hAnsi="Times New Roman" w:cs="Times New Roman"/>
          <w:sz w:val="24"/>
          <w:szCs w:val="24"/>
        </w:rPr>
        <w:t xml:space="preserve"> za distribuciju toplinske energije</w:t>
      </w:r>
      <w:r w:rsidRPr="009C52C4">
        <w:rPr>
          <w:rFonts w:ascii="Times New Roman" w:hAnsi="Times New Roman" w:cs="Times New Roman"/>
          <w:sz w:val="24"/>
          <w:szCs w:val="24"/>
        </w:rPr>
        <w:t xml:space="preserve">, pri čemu ne postoji razlika u tehničkim mogućnostima i uvjetima u ovisnosti o kategorijama zgrada razmatranih u okviru ove </w:t>
      </w:r>
      <w:r w:rsidR="00D11E23"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w:t>
      </w:r>
    </w:p>
    <w:p w14:paraId="13E03042" w14:textId="77777777" w:rsidR="00362848" w:rsidRPr="009C52C4" w:rsidRDefault="00362848" w:rsidP="00362848">
      <w:pPr>
        <w:rPr>
          <w:rFonts w:ascii="Times New Roman" w:hAnsi="Times New Roman" w:cs="Times New Roman"/>
          <w:sz w:val="24"/>
          <w:szCs w:val="24"/>
        </w:rPr>
      </w:pPr>
    </w:p>
    <w:p w14:paraId="1AA81DEF" w14:textId="427E1D5F"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Sukladno članku 17. Mrežnih pravila</w:t>
      </w:r>
      <w:r w:rsidR="00F34487" w:rsidRPr="009C52C4">
        <w:rPr>
          <w:rFonts w:ascii="Times New Roman" w:hAnsi="Times New Roman" w:cs="Times New Roman"/>
          <w:sz w:val="24"/>
          <w:szCs w:val="24"/>
        </w:rPr>
        <w:t xml:space="preserve"> za distribuciju toplinske energije</w:t>
      </w:r>
      <w:r w:rsidRPr="009C52C4">
        <w:rPr>
          <w:rFonts w:ascii="Times New Roman" w:hAnsi="Times New Roman" w:cs="Times New Roman"/>
          <w:sz w:val="24"/>
          <w:szCs w:val="24"/>
        </w:rPr>
        <w:t>, Prethodnom termoenergetskom suglasnošću utvrđuje se mogućnost i uvjeti priključenja zgrade/građevine na distribucijsku mrežu, tehnički uvjeti priključenja te uvjeti korištenja distribucijske mreže. Dodatno je navedeno kako se Prethodna termoenergetska suglasnost izdaje na zahtjev investitora zgrade/građevine ili treće strane koju ovlasti investitor/vlasnik zgrade/građevine, a prije izrade glavnog projekta zgrade/građevine ili glavnog projekta strojarskih instalacija i toplinske podstanice.</w:t>
      </w:r>
    </w:p>
    <w:p w14:paraId="3E911804" w14:textId="77777777" w:rsidR="00362848" w:rsidRPr="009C52C4" w:rsidRDefault="00362848" w:rsidP="00362848">
      <w:pPr>
        <w:rPr>
          <w:rFonts w:ascii="Times New Roman" w:hAnsi="Times New Roman" w:cs="Times New Roman"/>
          <w:sz w:val="24"/>
          <w:szCs w:val="24"/>
        </w:rPr>
      </w:pPr>
    </w:p>
    <w:p w14:paraId="5F532226" w14:textId="7C641FAB"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Članak 26. Mrežnih pravila</w:t>
      </w:r>
      <w:r w:rsidR="00F34487" w:rsidRPr="009C52C4">
        <w:rPr>
          <w:rFonts w:ascii="Times New Roman" w:hAnsi="Times New Roman" w:cs="Times New Roman"/>
          <w:sz w:val="24"/>
          <w:szCs w:val="24"/>
        </w:rPr>
        <w:t xml:space="preserve"> za distribuciju toplinske energije</w:t>
      </w:r>
      <w:r w:rsidRPr="009C52C4">
        <w:rPr>
          <w:rFonts w:ascii="Times New Roman" w:hAnsi="Times New Roman" w:cs="Times New Roman"/>
          <w:sz w:val="24"/>
          <w:szCs w:val="24"/>
        </w:rPr>
        <w:t>, propisuje da je u slučaju da je izvršena rekonstrukcija zgrade/građevine na način da je smanjena potrebna količina toplinske energije za grijanje, odnosno da je zgrada/građevina energetski učinkovitija, kupac toplinske energije ima pravo od distributera toplinske energije zahtijevati smanjenje priključne snage na obračunskom mjernom mjestu i izdavanje nove termoenergetske suglasnosti.</w:t>
      </w:r>
    </w:p>
    <w:p w14:paraId="1351FDB3" w14:textId="77777777" w:rsidR="00362848" w:rsidRPr="009C52C4" w:rsidRDefault="00362848" w:rsidP="00362848">
      <w:pPr>
        <w:rPr>
          <w:rFonts w:ascii="Times New Roman" w:hAnsi="Times New Roman" w:cs="Times New Roman"/>
          <w:sz w:val="24"/>
          <w:szCs w:val="24"/>
        </w:rPr>
      </w:pPr>
    </w:p>
    <w:p w14:paraId="4B7E7319" w14:textId="0C6B3F4B" w:rsidR="00362848" w:rsidRPr="009C52C4" w:rsidRDefault="00362848" w:rsidP="00362848">
      <w:pPr>
        <w:rPr>
          <w:rFonts w:ascii="Times New Roman" w:hAnsi="Times New Roman" w:cs="Times New Roman"/>
          <w:color w:val="auto"/>
          <w:sz w:val="24"/>
          <w:szCs w:val="24"/>
        </w:rPr>
      </w:pPr>
      <w:r w:rsidRPr="009C52C4">
        <w:rPr>
          <w:rFonts w:ascii="Times New Roman" w:hAnsi="Times New Roman" w:cs="Times New Roman"/>
          <w:color w:val="auto"/>
          <w:sz w:val="24"/>
          <w:szCs w:val="24"/>
        </w:rPr>
        <w:t>Potrebno je također naglasiti kako članak 7. Zakona o energiji</w:t>
      </w:r>
      <w:r w:rsidR="00D22F1D" w:rsidRPr="009C52C4">
        <w:rPr>
          <w:rFonts w:ascii="Times New Roman" w:hAnsi="Times New Roman" w:cs="Times New Roman"/>
          <w:color w:val="auto"/>
          <w:sz w:val="24"/>
          <w:szCs w:val="24"/>
        </w:rPr>
        <w:t xml:space="preserve"> (NN 120/12, 14/14, </w:t>
      </w:r>
      <w:r w:rsidR="00C9000A" w:rsidRPr="009C52C4">
        <w:rPr>
          <w:rFonts w:ascii="Times New Roman" w:hAnsi="Times New Roman" w:cs="Times New Roman"/>
          <w:color w:val="auto"/>
          <w:sz w:val="24"/>
          <w:szCs w:val="24"/>
        </w:rPr>
        <w:t>102/15</w:t>
      </w:r>
      <w:r w:rsidR="00D22F1D" w:rsidRPr="009C52C4">
        <w:rPr>
          <w:rFonts w:ascii="Times New Roman" w:hAnsi="Times New Roman" w:cs="Times New Roman"/>
          <w:color w:val="auto"/>
          <w:sz w:val="24"/>
          <w:szCs w:val="24"/>
        </w:rPr>
        <w:t>)</w:t>
      </w:r>
      <w:r w:rsidRPr="009C52C4">
        <w:rPr>
          <w:rFonts w:ascii="Times New Roman" w:hAnsi="Times New Roman" w:cs="Times New Roman"/>
          <w:color w:val="auto"/>
          <w:sz w:val="24"/>
          <w:szCs w:val="24"/>
          <w:vertAlign w:val="superscript"/>
        </w:rPr>
        <w:footnoteReference w:id="36"/>
      </w:r>
      <w:r w:rsidRPr="009C52C4">
        <w:rPr>
          <w:rFonts w:ascii="Times New Roman" w:hAnsi="Times New Roman" w:cs="Times New Roman"/>
          <w:color w:val="auto"/>
          <w:sz w:val="24"/>
          <w:szCs w:val="24"/>
        </w:rPr>
        <w:t xml:space="preserve"> određuje da su jedinice lokalne samouprave i jedinice područne (regionalne) samouprave dužne u svojim razvojnim dokumentima planirati potrebe i način opskrbe energijom te takve dokumente usklađivati sa Strategijom energetskog razvoja i Programom provedbe Strategije energetskog razvoja. Navedena obveza uključuje i planiranje razvoja centraliziranih toplinskih sustava.</w:t>
      </w:r>
    </w:p>
    <w:p w14:paraId="4D127354" w14:textId="77777777" w:rsidR="00362848" w:rsidRPr="009C52C4" w:rsidRDefault="00362848" w:rsidP="00362848">
      <w:pPr>
        <w:rPr>
          <w:rFonts w:ascii="Times New Roman" w:hAnsi="Times New Roman" w:cs="Times New Roman"/>
          <w:color w:val="auto"/>
          <w:sz w:val="24"/>
          <w:szCs w:val="24"/>
        </w:rPr>
      </w:pPr>
    </w:p>
    <w:p w14:paraId="57DF30E9" w14:textId="56F76952" w:rsidR="00362848" w:rsidRPr="009C52C4" w:rsidRDefault="00362848" w:rsidP="00362848">
      <w:pPr>
        <w:rPr>
          <w:rFonts w:ascii="Times New Roman" w:hAnsi="Times New Roman" w:cs="Times New Roman"/>
          <w:color w:val="auto"/>
          <w:sz w:val="24"/>
          <w:szCs w:val="24"/>
        </w:rPr>
      </w:pPr>
      <w:r w:rsidRPr="009C52C4">
        <w:rPr>
          <w:rFonts w:ascii="Times New Roman" w:hAnsi="Times New Roman" w:cs="Times New Roman"/>
          <w:color w:val="auto"/>
          <w:sz w:val="24"/>
          <w:szCs w:val="24"/>
        </w:rPr>
        <w:t>Sustavi centralizirane toplinske opskrbe imaju određene prednosti u odnosu na pojedinačne sustave proizvodnje toplinske energije koje uključuju mogućnost iskorištavanja otpadne toplinske energije iz kogeneracijskih postrojenja (čime se znatno povećava ukupna učinkovitost takvih postrojenja u odnosu na slučaj kad se otpadna toplina ne koristi) te moguće interpolacije u druge sustave (zbrinjavanje otpada, iskorištenje otpadne topline iz industrije, itd.). U slučaju korištenja obnovljivih izvora energije (u prvom redu energije biomase) u CTS pri određivanju optimalne varijante postrojenja u smislu proizvodnje samo toplinske energije (toplana) ili istovremene proizvodnje toplinske i električne energije (kogeneracija) potrebno je uzeti u obzir ograničenja vezana uz energetsku učinkovitost koja su propisana u okviru Tarifnog sustava za proizvodnju električne energije iz obnovljivih izvora energije i kogeneracije</w:t>
      </w:r>
      <w:r w:rsidRPr="009C52C4">
        <w:rPr>
          <w:rFonts w:ascii="Times New Roman" w:hAnsi="Times New Roman" w:cs="Times New Roman"/>
          <w:color w:val="auto"/>
          <w:sz w:val="24"/>
          <w:szCs w:val="24"/>
          <w:vertAlign w:val="superscript"/>
        </w:rPr>
        <w:footnoteReference w:id="37"/>
      </w:r>
      <w:r w:rsidRPr="009C52C4">
        <w:rPr>
          <w:rFonts w:ascii="Times New Roman" w:hAnsi="Times New Roman" w:cs="Times New Roman"/>
          <w:color w:val="auto"/>
          <w:sz w:val="24"/>
          <w:szCs w:val="24"/>
        </w:rPr>
        <w:t xml:space="preserve">. Za slučaj izgradnje kogeneracijskog postrojenja na biomasu financijska isplativost investicije povećava se za veći broj vršnih radnih sati godišnje te se tipično te vrijednosti kreću u iznosima od 6.000 i više. Međutim, potrebe za toplinskom </w:t>
      </w:r>
      <w:r w:rsidRPr="009C52C4">
        <w:rPr>
          <w:rFonts w:ascii="Times New Roman" w:hAnsi="Times New Roman" w:cs="Times New Roman"/>
          <w:color w:val="auto"/>
          <w:sz w:val="24"/>
          <w:szCs w:val="24"/>
        </w:rPr>
        <w:lastRenderedPageBreak/>
        <w:t xml:space="preserve">energijom zgrada ovise, osim o energetskim karakteristikama zgrada, o klimatskim karakteristikama odnosno o broju stupanj dana grijanja. Za kontinentalnu Hrvatsku tipični iznosi broja vršnih radnih sati godišnje za sustave proizvodnje toplinske energije iznose između 1.500 do 2.000 za dobro planirane sustave (u smislu da nisu predimenzionirani). Uzevši u obzir navedeno, za slučaj proizvodnje toplinske energije za CTS iz kogeneracijskih postrojenja na biomasu za potrebe grijanja zgrada iskoristilo bi se maksimalno oko 30% proizvedene toplinske energije te bi se u tom smislu ukupna energetska učinkovitost takvih postrojenja (definirana prema Tarifnom sustavu za proizvodnju električne energije iz obnovljivih izvora energije i kogeneracije kao učinkovitost pretvorbe primarne energije goriva u proizvedenu električnu energiju i proizvedenu korisnu toplinu) kretala u granicama do 50% i niže. Znatno veća učinkovitost u iznosima do 80% postiže se za slučaj kad se toplinska energija iz kogeneracijskih postrojenja na biomasu  koristi u okviru industrijskih pogona (primjerice drvno-prerađivačke industrije) u kojima postoji potreba za toplinskom energijom tijekom cijele godine te stoga vršni broj sati rada iznosi tipično od 6.000 naviše. </w:t>
      </w:r>
    </w:p>
    <w:p w14:paraId="28643ADB" w14:textId="77777777" w:rsidR="00362848" w:rsidRPr="009C52C4" w:rsidRDefault="00362848" w:rsidP="00362848">
      <w:pPr>
        <w:rPr>
          <w:rFonts w:ascii="Times New Roman" w:hAnsi="Times New Roman" w:cs="Times New Roman"/>
          <w:color w:val="auto"/>
          <w:sz w:val="24"/>
          <w:szCs w:val="24"/>
        </w:rPr>
      </w:pPr>
    </w:p>
    <w:p w14:paraId="28329FBA" w14:textId="56305697" w:rsidR="00362848" w:rsidRPr="009C52C4" w:rsidRDefault="003B571D" w:rsidP="00362848">
      <w:pPr>
        <w:rPr>
          <w:rFonts w:ascii="Times New Roman" w:hAnsi="Times New Roman" w:cs="Times New Roman"/>
          <w:color w:val="auto"/>
          <w:sz w:val="24"/>
          <w:szCs w:val="24"/>
        </w:rPr>
      </w:pPr>
      <w:r w:rsidRPr="009C52C4">
        <w:rPr>
          <w:rFonts w:ascii="Times New Roman" w:hAnsi="Times New Roman" w:cs="Times New Roman"/>
          <w:color w:val="auto"/>
          <w:sz w:val="24"/>
          <w:szCs w:val="24"/>
        </w:rPr>
        <w:t>Potrebno je također istaknuti kako pri planiranju priključenja postojećih zgrada na postojeće ili buduće CTS</w:t>
      </w:r>
      <w:r w:rsidR="00C209AC" w:rsidRPr="009C52C4">
        <w:rPr>
          <w:rFonts w:ascii="Times New Roman" w:hAnsi="Times New Roman" w:cs="Times New Roman"/>
          <w:color w:val="auto"/>
          <w:sz w:val="24"/>
          <w:szCs w:val="24"/>
        </w:rPr>
        <w:t>-ove</w:t>
      </w:r>
      <w:r w:rsidRPr="009C52C4">
        <w:rPr>
          <w:rFonts w:ascii="Times New Roman" w:hAnsi="Times New Roman" w:cs="Times New Roman"/>
          <w:color w:val="auto"/>
          <w:sz w:val="24"/>
          <w:szCs w:val="24"/>
        </w:rPr>
        <w:t>, kao i pri priključenju na ostale izvore topline, treba uzeti u obzir moguće prepreke, u prvom redu činjenicu da određen dio zgrada nema izgrađene unutrašnje</w:t>
      </w:r>
      <w:r w:rsidR="00C209AC" w:rsidRPr="009C52C4">
        <w:rPr>
          <w:rFonts w:ascii="Times New Roman" w:hAnsi="Times New Roman" w:cs="Times New Roman"/>
          <w:color w:val="auto"/>
          <w:sz w:val="24"/>
          <w:szCs w:val="24"/>
        </w:rPr>
        <w:t>,</w:t>
      </w:r>
      <w:r w:rsidRPr="009C52C4">
        <w:rPr>
          <w:rFonts w:ascii="Times New Roman" w:hAnsi="Times New Roman" w:cs="Times New Roman"/>
          <w:color w:val="auto"/>
          <w:sz w:val="24"/>
          <w:szCs w:val="24"/>
        </w:rPr>
        <w:t xml:space="preserve"> odnosno centralne instalacije grijanja (sve zgrade u kojima postoje etažni sustavi grijanja). Priključenje zgrada na centralni izvor topline iziskuje znatno veća financijska sredstva u odnosu na zgrade koje se primjerice griju iz zajedničke izolirane kotlovnice u kojima postoje instalacije centralnog grijanja. Navedenu problematiku potrebno je detaljnije obraditi prilikom analiziranja mogućnosti priključenja na centralni izvor topline za svaku pojedinačnu zgradu.</w:t>
      </w:r>
    </w:p>
    <w:p w14:paraId="392676F1" w14:textId="77777777" w:rsidR="006730B1" w:rsidRPr="009C52C4" w:rsidRDefault="006730B1">
      <w:pPr>
        <w:rPr>
          <w:rFonts w:ascii="Times New Roman" w:hAnsi="Times New Roman" w:cs="Times New Roman"/>
          <w:sz w:val="24"/>
          <w:szCs w:val="24"/>
        </w:rPr>
      </w:pPr>
    </w:p>
    <w:p w14:paraId="13ADC343" w14:textId="77777777" w:rsidR="009A42E4" w:rsidRPr="009C52C4" w:rsidRDefault="009A42E4">
      <w:pPr>
        <w:rPr>
          <w:rFonts w:ascii="Times New Roman" w:hAnsi="Times New Roman" w:cs="Times New Roman"/>
          <w:b/>
          <w:sz w:val="24"/>
          <w:szCs w:val="24"/>
        </w:rPr>
      </w:pPr>
      <w:r w:rsidRPr="009C52C4">
        <w:rPr>
          <w:rFonts w:ascii="Times New Roman" w:hAnsi="Times New Roman" w:cs="Times New Roman"/>
          <w:sz w:val="24"/>
          <w:szCs w:val="24"/>
        </w:rPr>
        <w:br w:type="page"/>
      </w:r>
    </w:p>
    <w:p w14:paraId="0C288E4D" w14:textId="77777777" w:rsidR="00B122B4" w:rsidRPr="009C52C4" w:rsidRDefault="00F54CC3" w:rsidP="004F09F1">
      <w:pPr>
        <w:pStyle w:val="Heading2"/>
        <w:numPr>
          <w:ilvl w:val="1"/>
          <w:numId w:val="20"/>
        </w:numPr>
        <w:ind w:hanging="719"/>
        <w:rPr>
          <w:rFonts w:ascii="Times New Roman" w:hAnsi="Times New Roman" w:cs="Times New Roman"/>
          <w:sz w:val="24"/>
          <w:szCs w:val="24"/>
        </w:rPr>
      </w:pPr>
      <w:bookmarkStart w:id="124" w:name="_Toc3277915"/>
      <w:r w:rsidRPr="009C52C4">
        <w:rPr>
          <w:rFonts w:ascii="Times New Roman" w:hAnsi="Times New Roman" w:cs="Times New Roman"/>
          <w:sz w:val="24"/>
          <w:szCs w:val="24"/>
        </w:rPr>
        <w:lastRenderedPageBreak/>
        <w:t>Mogući modeli održive obnove zgrada</w:t>
      </w:r>
      <w:bookmarkEnd w:id="124"/>
      <w:r w:rsidRPr="009C52C4">
        <w:rPr>
          <w:rFonts w:ascii="Times New Roman" w:hAnsi="Times New Roman" w:cs="Times New Roman"/>
          <w:sz w:val="24"/>
          <w:szCs w:val="24"/>
        </w:rPr>
        <w:t xml:space="preserve"> </w:t>
      </w:r>
    </w:p>
    <w:p w14:paraId="0AE7D2DA" w14:textId="77777777" w:rsidR="00B122B4" w:rsidRPr="009C52C4" w:rsidRDefault="00B122B4">
      <w:pPr>
        <w:rPr>
          <w:rFonts w:ascii="Times New Roman" w:hAnsi="Times New Roman" w:cs="Times New Roman"/>
          <w:sz w:val="24"/>
          <w:szCs w:val="24"/>
        </w:rPr>
      </w:pPr>
    </w:p>
    <w:p w14:paraId="7A90B57B"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U svrhu odabira optimalne metode obnove svake od kategorija zgrada, sukladno troškovnoj učinkovitosti mjera EnU i OIE s obzirom na trenutno važeće tehničke i financijske parametre, razmatraju se sljedeći modeli održive obnove zgrada:</w:t>
      </w:r>
    </w:p>
    <w:p w14:paraId="1C8F2A0B" w14:textId="77777777" w:rsidR="00866CBC" w:rsidRPr="009C52C4" w:rsidRDefault="00866CBC" w:rsidP="00866CBC">
      <w:pPr>
        <w:pStyle w:val="ListParagraph"/>
        <w:numPr>
          <w:ilvl w:val="0"/>
          <w:numId w:val="67"/>
        </w:numPr>
        <w:rPr>
          <w:rFonts w:ascii="Times New Roman" w:hAnsi="Times New Roman" w:cs="Times New Roman"/>
          <w:sz w:val="24"/>
          <w:szCs w:val="24"/>
        </w:rPr>
      </w:pPr>
      <w:r w:rsidRPr="009C52C4">
        <w:rPr>
          <w:rFonts w:ascii="Times New Roman" w:hAnsi="Times New Roman" w:cs="Times New Roman"/>
          <w:sz w:val="24"/>
          <w:szCs w:val="24"/>
        </w:rPr>
        <w:t xml:space="preserve">cjelovita obnova zgrade prema minimalnim zahtjevima </w:t>
      </w:r>
      <w:r w:rsidRPr="009C52C4">
        <w:rPr>
          <w:rFonts w:ascii="Times New Roman" w:hAnsi="Times New Roman" w:cs="Times New Roman"/>
          <w:i/>
          <w:sz w:val="24"/>
          <w:szCs w:val="24"/>
        </w:rPr>
        <w:t>Tehničkog propisa</w:t>
      </w:r>
    </w:p>
    <w:p w14:paraId="3B4CB34D" w14:textId="77777777" w:rsidR="00866CBC" w:rsidRPr="009C52C4" w:rsidRDefault="00866CBC" w:rsidP="00866CBC">
      <w:pPr>
        <w:pStyle w:val="ListParagraph"/>
        <w:numPr>
          <w:ilvl w:val="0"/>
          <w:numId w:val="67"/>
        </w:numPr>
        <w:rPr>
          <w:rFonts w:ascii="Times New Roman" w:hAnsi="Times New Roman" w:cs="Times New Roman"/>
          <w:sz w:val="24"/>
          <w:szCs w:val="24"/>
        </w:rPr>
      </w:pPr>
      <w:r w:rsidRPr="009C52C4">
        <w:rPr>
          <w:rFonts w:ascii="Times New Roman" w:hAnsi="Times New Roman" w:cs="Times New Roman"/>
          <w:sz w:val="24"/>
          <w:szCs w:val="24"/>
        </w:rPr>
        <w:t xml:space="preserve">cjelovita 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p w14:paraId="08875982" w14:textId="6468EDF6" w:rsidR="00362848" w:rsidRPr="009C52C4" w:rsidRDefault="00362848" w:rsidP="00866CBC">
      <w:pPr>
        <w:numPr>
          <w:ilvl w:val="0"/>
          <w:numId w:val="67"/>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cjelovita obnova zgrade prema nZEB standardu gradnje (definiran </w:t>
      </w:r>
      <w:r w:rsidRPr="009C52C4">
        <w:rPr>
          <w:rFonts w:ascii="Times New Roman" w:hAnsi="Times New Roman" w:cs="Times New Roman"/>
          <w:i/>
          <w:sz w:val="24"/>
          <w:szCs w:val="24"/>
        </w:rPr>
        <w:t>Tehničkim propisom</w:t>
      </w:r>
      <w:r w:rsidRPr="009C52C4">
        <w:rPr>
          <w:rFonts w:ascii="Times New Roman" w:hAnsi="Times New Roman" w:cs="Times New Roman"/>
          <w:sz w:val="24"/>
          <w:szCs w:val="24"/>
        </w:rPr>
        <w:t>)</w:t>
      </w:r>
    </w:p>
    <w:p w14:paraId="4B817D1C" w14:textId="41560DCD" w:rsidR="00362848" w:rsidRPr="009C52C4" w:rsidRDefault="00362848" w:rsidP="00866CBC">
      <w:pPr>
        <w:numPr>
          <w:ilvl w:val="0"/>
          <w:numId w:val="67"/>
        </w:numPr>
        <w:contextualSpacing/>
        <w:rPr>
          <w:rFonts w:ascii="Times New Roman" w:hAnsi="Times New Roman" w:cs="Times New Roman"/>
          <w:sz w:val="24"/>
          <w:szCs w:val="24"/>
        </w:rPr>
      </w:pPr>
      <w:r w:rsidRPr="009C52C4">
        <w:rPr>
          <w:rFonts w:ascii="Times New Roman" w:hAnsi="Times New Roman" w:cs="Times New Roman"/>
          <w:sz w:val="24"/>
          <w:szCs w:val="24"/>
        </w:rPr>
        <w:t>cjelovita obnova zgrade prema standardu pasivne gradnje</w:t>
      </w:r>
    </w:p>
    <w:p w14:paraId="41A96D72" w14:textId="1D5C476B" w:rsidR="00362848" w:rsidRPr="009C52C4" w:rsidRDefault="00362848" w:rsidP="00866CBC">
      <w:pPr>
        <w:numPr>
          <w:ilvl w:val="0"/>
          <w:numId w:val="67"/>
        </w:numPr>
        <w:contextualSpacing/>
        <w:rPr>
          <w:rFonts w:ascii="Times New Roman" w:hAnsi="Times New Roman" w:cs="Times New Roman"/>
          <w:sz w:val="24"/>
          <w:szCs w:val="24"/>
        </w:rPr>
      </w:pPr>
      <w:r w:rsidRPr="009C52C4">
        <w:rPr>
          <w:rFonts w:ascii="Times New Roman" w:hAnsi="Times New Roman" w:cs="Times New Roman"/>
          <w:sz w:val="24"/>
          <w:szCs w:val="24"/>
        </w:rPr>
        <w:t>cjelovita obnova zgrade prema standardu aktivne gradnje</w:t>
      </w:r>
    </w:p>
    <w:p w14:paraId="1BD872D3" w14:textId="77777777" w:rsidR="00362848" w:rsidRPr="009C52C4" w:rsidRDefault="00362848" w:rsidP="00362848">
      <w:pPr>
        <w:rPr>
          <w:rFonts w:ascii="Times New Roman" w:hAnsi="Times New Roman" w:cs="Times New Roman"/>
          <w:sz w:val="24"/>
          <w:szCs w:val="24"/>
        </w:rPr>
      </w:pPr>
    </w:p>
    <w:p w14:paraId="59B9DC45" w14:textId="74521BB1" w:rsidR="00866CBC" w:rsidRPr="009C52C4" w:rsidRDefault="00570AB5" w:rsidP="000245F0">
      <w:pPr>
        <w:rPr>
          <w:rFonts w:ascii="Times New Roman" w:hAnsi="Times New Roman" w:cs="Times New Roman"/>
          <w:sz w:val="24"/>
          <w:szCs w:val="24"/>
        </w:rPr>
      </w:pPr>
      <w:r w:rsidRPr="009C52C4">
        <w:rPr>
          <w:rFonts w:ascii="Times New Roman" w:hAnsi="Times New Roman" w:cs="Times New Roman"/>
          <w:sz w:val="24"/>
          <w:szCs w:val="24"/>
        </w:rPr>
        <w:t xml:space="preserve">Svih pet modela obnove obuhvaća obnovu ovojnice i zamjenu i/ili ugradnju učinkovitih tehničkih sustava uz što veći stupanj korištenja obnovljivih izvora energije. </w:t>
      </w:r>
      <w:r w:rsidR="00866CBC" w:rsidRPr="009C52C4">
        <w:rPr>
          <w:rFonts w:ascii="Times New Roman" w:hAnsi="Times New Roman" w:cs="Times New Roman"/>
          <w:sz w:val="24"/>
          <w:szCs w:val="24"/>
        </w:rPr>
        <w:t xml:space="preserve">Model cjelovite obnove zgrade prema minimalnim zahtjevima </w:t>
      </w:r>
      <w:r w:rsidR="00866CBC" w:rsidRPr="009C52C4">
        <w:rPr>
          <w:rFonts w:ascii="Times New Roman" w:hAnsi="Times New Roman" w:cs="Times New Roman"/>
          <w:i/>
          <w:sz w:val="24"/>
          <w:szCs w:val="24"/>
        </w:rPr>
        <w:t>Tehničkog propisa</w:t>
      </w:r>
      <w:r w:rsidR="00866CBC" w:rsidRPr="009C52C4">
        <w:rPr>
          <w:rFonts w:ascii="Times New Roman" w:hAnsi="Times New Roman" w:cs="Times New Roman"/>
          <w:sz w:val="24"/>
          <w:szCs w:val="24"/>
        </w:rPr>
        <w:t xml:space="preserve"> podrazumijeva obnovu ovojnice u cilju zadovoljenja koeficijanata prolaska topline </w:t>
      </w:r>
      <w:r w:rsidRPr="009C52C4">
        <w:rPr>
          <w:rFonts w:ascii="Times New Roman" w:hAnsi="Times New Roman" w:cs="Times New Roman"/>
          <w:sz w:val="24"/>
          <w:szCs w:val="24"/>
        </w:rPr>
        <w:t xml:space="preserve">zadanih </w:t>
      </w:r>
      <w:r w:rsidRPr="009C52C4">
        <w:rPr>
          <w:rFonts w:ascii="Times New Roman" w:hAnsi="Times New Roman" w:cs="Times New Roman"/>
          <w:i/>
          <w:sz w:val="24"/>
          <w:szCs w:val="24"/>
        </w:rPr>
        <w:t>Tehničkim propisom</w:t>
      </w:r>
      <w:r w:rsidRPr="009C52C4">
        <w:rPr>
          <w:rFonts w:ascii="Times New Roman" w:hAnsi="Times New Roman" w:cs="Times New Roman"/>
          <w:sz w:val="24"/>
          <w:szCs w:val="24"/>
        </w:rPr>
        <w:t xml:space="preserve">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_Ref483404202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Model cjelovite obnove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 sukladno </w:t>
      </w:r>
      <w:r w:rsidR="00C209AC" w:rsidRPr="009C52C4">
        <w:rPr>
          <w:rFonts w:ascii="Times New Roman" w:hAnsi="Times New Roman" w:cs="Times New Roman"/>
          <w:sz w:val="24"/>
          <w:szCs w:val="24"/>
        </w:rPr>
        <w:t>č</w:t>
      </w:r>
      <w:r w:rsidRPr="009C52C4">
        <w:rPr>
          <w:rFonts w:ascii="Times New Roman" w:hAnsi="Times New Roman" w:cs="Times New Roman"/>
          <w:sz w:val="24"/>
          <w:szCs w:val="24"/>
        </w:rPr>
        <w:t xml:space="preserve">lanku 45. </w:t>
      </w:r>
      <w:r w:rsidR="00C209AC" w:rsidRPr="009C52C4">
        <w:rPr>
          <w:rFonts w:ascii="Times New Roman" w:hAnsi="Times New Roman" w:cs="Times New Roman"/>
          <w:sz w:val="24"/>
          <w:szCs w:val="24"/>
        </w:rPr>
        <w:t>s</w:t>
      </w:r>
      <w:r w:rsidRPr="009C52C4">
        <w:rPr>
          <w:rFonts w:ascii="Times New Roman" w:hAnsi="Times New Roman" w:cs="Times New Roman"/>
          <w:sz w:val="24"/>
          <w:szCs w:val="24"/>
        </w:rPr>
        <w:t xml:space="preserve">tavku 7., podrazumijeva rekonstrukciju postojeće zgrade kojom se obnavljaju, djelomično ili potpuno zamjenjuju dijelovi ovojnice grijanog dijela zgrade kod koje radovi obuhvaćaju jednako ili više od 75% ovojnice grijanog dijela zgrade te se uz ograničenje vrijednosti koeficijenata prolaska topline građevnih dijelova primjenjuje i ograničenje </w:t>
      </w:r>
      <w:r w:rsidR="000245F0" w:rsidRPr="009C52C4">
        <w:rPr>
          <w:rFonts w:ascii="Times New Roman" w:hAnsi="Times New Roman" w:cs="Times New Roman"/>
          <w:sz w:val="24"/>
          <w:szCs w:val="24"/>
        </w:rPr>
        <w:t xml:space="preserve">iznosa </w:t>
      </w:r>
      <w:r w:rsidRPr="009C52C4">
        <w:rPr>
          <w:rFonts w:ascii="Times New Roman" w:hAnsi="Times New Roman" w:cs="Times New Roman"/>
          <w:sz w:val="24"/>
          <w:szCs w:val="24"/>
        </w:rPr>
        <w:t>godišnje potrebne toplinske energije za grijanje po jedinici ploštine korisne površine zgrade Q’’</w:t>
      </w:r>
      <w:r w:rsidRPr="009C52C4">
        <w:rPr>
          <w:rFonts w:ascii="Times New Roman" w:hAnsi="Times New Roman" w:cs="Times New Roman"/>
          <w:sz w:val="24"/>
          <w:szCs w:val="24"/>
          <w:vertAlign w:val="subscript"/>
        </w:rPr>
        <w:t>H,nd</w:t>
      </w:r>
      <w:r w:rsidRPr="009C52C4">
        <w:rPr>
          <w:rFonts w:ascii="Times New Roman" w:hAnsi="Times New Roman" w:cs="Times New Roman"/>
          <w:sz w:val="24"/>
          <w:szCs w:val="24"/>
        </w:rPr>
        <w:t xml:space="preserve"> [kWh/(m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·a)], godišnje isporučene energije E</w:t>
      </w:r>
      <w:r w:rsidRPr="009C52C4">
        <w:rPr>
          <w:rFonts w:ascii="Times New Roman" w:hAnsi="Times New Roman" w:cs="Times New Roman"/>
          <w:sz w:val="24"/>
          <w:szCs w:val="24"/>
          <w:vertAlign w:val="subscript"/>
        </w:rPr>
        <w:t>del</w:t>
      </w:r>
      <w:r w:rsidRPr="009C52C4">
        <w:rPr>
          <w:rFonts w:ascii="Times New Roman" w:hAnsi="Times New Roman" w:cs="Times New Roman"/>
          <w:sz w:val="24"/>
          <w:szCs w:val="24"/>
        </w:rPr>
        <w:t xml:space="preserve"> </w:t>
      </w:r>
      <w:r w:rsidR="00574A75" w:rsidRPr="009C52C4">
        <w:rPr>
          <w:rFonts w:ascii="Times New Roman" w:hAnsi="Times New Roman" w:cs="Times New Roman"/>
          <w:sz w:val="24"/>
          <w:szCs w:val="24"/>
        </w:rPr>
        <w:t>[kWh/(m</w:t>
      </w:r>
      <w:r w:rsidR="00574A75" w:rsidRPr="009C52C4">
        <w:rPr>
          <w:rFonts w:ascii="Times New Roman" w:hAnsi="Times New Roman" w:cs="Times New Roman"/>
          <w:sz w:val="24"/>
          <w:szCs w:val="24"/>
          <w:vertAlign w:val="superscript"/>
        </w:rPr>
        <w:t>2</w:t>
      </w:r>
      <w:r w:rsidR="00574A75" w:rsidRPr="009C52C4">
        <w:rPr>
          <w:rFonts w:ascii="Times New Roman" w:hAnsi="Times New Roman" w:cs="Times New Roman"/>
          <w:sz w:val="24"/>
          <w:szCs w:val="24"/>
        </w:rPr>
        <w:t xml:space="preserve">·a)] </w:t>
      </w:r>
      <w:r w:rsidR="000245F0" w:rsidRPr="009C52C4">
        <w:rPr>
          <w:rFonts w:ascii="Times New Roman" w:hAnsi="Times New Roman" w:cs="Times New Roman"/>
          <w:sz w:val="24"/>
          <w:szCs w:val="24"/>
        </w:rPr>
        <w:t>te godišnje</w:t>
      </w:r>
      <w:r w:rsidRPr="009C52C4">
        <w:rPr>
          <w:rFonts w:ascii="Times New Roman" w:hAnsi="Times New Roman" w:cs="Times New Roman"/>
          <w:sz w:val="24"/>
          <w:szCs w:val="24"/>
        </w:rPr>
        <w:t xml:space="preserve"> primarn</w:t>
      </w:r>
      <w:r w:rsidR="000245F0" w:rsidRPr="009C52C4">
        <w:rPr>
          <w:rFonts w:ascii="Times New Roman" w:hAnsi="Times New Roman" w:cs="Times New Roman"/>
          <w:sz w:val="24"/>
          <w:szCs w:val="24"/>
        </w:rPr>
        <w:t>e</w:t>
      </w:r>
      <w:r w:rsidRPr="009C52C4">
        <w:rPr>
          <w:rFonts w:ascii="Times New Roman" w:hAnsi="Times New Roman" w:cs="Times New Roman"/>
          <w:sz w:val="24"/>
          <w:szCs w:val="24"/>
        </w:rPr>
        <w:t xml:space="preserve"> energij</w:t>
      </w:r>
      <w:r w:rsidR="000245F0" w:rsidRPr="009C52C4">
        <w:rPr>
          <w:rFonts w:ascii="Times New Roman" w:hAnsi="Times New Roman" w:cs="Times New Roman"/>
          <w:sz w:val="24"/>
          <w:szCs w:val="24"/>
        </w:rPr>
        <w:t xml:space="preserve">e </w:t>
      </w:r>
      <w:r w:rsidRPr="009C52C4">
        <w:rPr>
          <w:rFonts w:ascii="Times New Roman" w:hAnsi="Times New Roman" w:cs="Times New Roman"/>
          <w:sz w:val="24"/>
          <w:szCs w:val="24"/>
        </w:rPr>
        <w:t>E</w:t>
      </w:r>
      <w:r w:rsidRPr="009C52C4">
        <w:rPr>
          <w:rFonts w:ascii="Times New Roman" w:hAnsi="Times New Roman" w:cs="Times New Roman"/>
          <w:sz w:val="24"/>
          <w:szCs w:val="24"/>
          <w:vertAlign w:val="subscript"/>
        </w:rPr>
        <w:t>prim</w:t>
      </w:r>
      <w:r w:rsidRPr="009C52C4">
        <w:rPr>
          <w:rFonts w:ascii="Times New Roman" w:hAnsi="Times New Roman" w:cs="Times New Roman"/>
          <w:sz w:val="24"/>
          <w:szCs w:val="24"/>
        </w:rPr>
        <w:t xml:space="preserve"> </w:t>
      </w:r>
      <w:r w:rsidR="00574A75" w:rsidRPr="009C52C4">
        <w:rPr>
          <w:rFonts w:ascii="Times New Roman" w:hAnsi="Times New Roman" w:cs="Times New Roman"/>
          <w:sz w:val="24"/>
          <w:szCs w:val="24"/>
        </w:rPr>
        <w:t>[kWh/(m</w:t>
      </w:r>
      <w:r w:rsidR="00574A75" w:rsidRPr="009C52C4">
        <w:rPr>
          <w:rFonts w:ascii="Times New Roman" w:hAnsi="Times New Roman" w:cs="Times New Roman"/>
          <w:sz w:val="24"/>
          <w:szCs w:val="24"/>
          <w:vertAlign w:val="superscript"/>
        </w:rPr>
        <w:t>2</w:t>
      </w:r>
      <w:r w:rsidR="00574A75" w:rsidRPr="009C52C4">
        <w:rPr>
          <w:rFonts w:ascii="Times New Roman" w:hAnsi="Times New Roman" w:cs="Times New Roman"/>
          <w:sz w:val="24"/>
          <w:szCs w:val="24"/>
        </w:rPr>
        <w:t xml:space="preserve">·a)], </w:t>
      </w:r>
      <w:r w:rsidRPr="009C52C4">
        <w:rPr>
          <w:rFonts w:ascii="Times New Roman" w:hAnsi="Times New Roman" w:cs="Times New Roman"/>
          <w:sz w:val="24"/>
          <w:szCs w:val="24"/>
        </w:rPr>
        <w:t>koja uključuje energiju za grijanje, hlađenje, ventilaciju, pripremu potrošne tople vode te kod nestambenih zgrada i rasvjetu</w:t>
      </w:r>
      <w:r w:rsidR="000245F0" w:rsidRPr="009C52C4">
        <w:rPr>
          <w:rFonts w:ascii="Times New Roman" w:hAnsi="Times New Roman" w:cs="Times New Roman"/>
          <w:sz w:val="24"/>
          <w:szCs w:val="24"/>
        </w:rPr>
        <w:t>.</w:t>
      </w:r>
      <w:r w:rsidRPr="009C52C4">
        <w:rPr>
          <w:rFonts w:ascii="Times New Roman" w:hAnsi="Times New Roman" w:cs="Times New Roman"/>
          <w:sz w:val="24"/>
          <w:szCs w:val="24"/>
        </w:rPr>
        <w:t xml:space="preserve"> </w:t>
      </w:r>
      <w:r w:rsidR="000245F0" w:rsidRPr="009C52C4">
        <w:rPr>
          <w:rFonts w:ascii="Times New Roman" w:hAnsi="Times New Roman" w:cs="Times New Roman"/>
          <w:sz w:val="24"/>
          <w:szCs w:val="24"/>
        </w:rPr>
        <w:t xml:space="preserve">Za model cjelovite obnove prema nZEB standardu gradnje također se primjenjuju jednaka ograničenja kao kod modela obnove zgrade prema zahtjevima </w:t>
      </w:r>
      <w:r w:rsidR="000245F0" w:rsidRPr="009C52C4">
        <w:rPr>
          <w:rFonts w:ascii="Times New Roman" w:hAnsi="Times New Roman" w:cs="Times New Roman"/>
          <w:i/>
          <w:sz w:val="24"/>
          <w:szCs w:val="24"/>
        </w:rPr>
        <w:t>Tehničkog propisa</w:t>
      </w:r>
      <w:r w:rsidR="000245F0" w:rsidRPr="009C52C4">
        <w:rPr>
          <w:rFonts w:ascii="Times New Roman" w:hAnsi="Times New Roman" w:cs="Times New Roman"/>
          <w:sz w:val="24"/>
          <w:szCs w:val="24"/>
        </w:rPr>
        <w:t xml:space="preserve"> za veliku rekonstrukciju, pri čemu su kriteriji za iznose godišnje potrebne toplinske energije za grijanje po jedinici ploštine korisne površine zgrade Q’’</w:t>
      </w:r>
      <w:r w:rsidR="000245F0" w:rsidRPr="009C52C4">
        <w:rPr>
          <w:rFonts w:ascii="Times New Roman" w:hAnsi="Times New Roman" w:cs="Times New Roman"/>
          <w:sz w:val="24"/>
          <w:szCs w:val="24"/>
          <w:vertAlign w:val="subscript"/>
        </w:rPr>
        <w:t>H,nd</w:t>
      </w:r>
      <w:r w:rsidR="000245F0" w:rsidRPr="009C52C4">
        <w:rPr>
          <w:rFonts w:ascii="Times New Roman" w:hAnsi="Times New Roman" w:cs="Times New Roman"/>
          <w:sz w:val="24"/>
          <w:szCs w:val="24"/>
        </w:rPr>
        <w:t>, godišnje isporučene energije E</w:t>
      </w:r>
      <w:r w:rsidR="000245F0" w:rsidRPr="009C52C4">
        <w:rPr>
          <w:rFonts w:ascii="Times New Roman" w:hAnsi="Times New Roman" w:cs="Times New Roman"/>
          <w:sz w:val="24"/>
          <w:szCs w:val="24"/>
          <w:vertAlign w:val="subscript"/>
        </w:rPr>
        <w:t>del</w:t>
      </w:r>
      <w:r w:rsidR="000245F0" w:rsidRPr="009C52C4">
        <w:rPr>
          <w:rFonts w:ascii="Times New Roman" w:hAnsi="Times New Roman" w:cs="Times New Roman"/>
          <w:sz w:val="24"/>
          <w:szCs w:val="24"/>
        </w:rPr>
        <w:t xml:space="preserve"> te godišnje primarne energije E</w:t>
      </w:r>
      <w:r w:rsidR="000245F0" w:rsidRPr="009C52C4">
        <w:rPr>
          <w:rFonts w:ascii="Times New Roman" w:hAnsi="Times New Roman" w:cs="Times New Roman"/>
          <w:sz w:val="24"/>
          <w:szCs w:val="24"/>
          <w:vertAlign w:val="subscript"/>
        </w:rPr>
        <w:t>prim</w:t>
      </w:r>
      <w:r w:rsidR="000245F0" w:rsidRPr="009C52C4">
        <w:rPr>
          <w:rFonts w:ascii="Times New Roman" w:hAnsi="Times New Roman" w:cs="Times New Roman"/>
          <w:sz w:val="24"/>
          <w:szCs w:val="24"/>
        </w:rPr>
        <w:t xml:space="preserve"> postroženi.</w:t>
      </w:r>
    </w:p>
    <w:p w14:paraId="4A44382E" w14:textId="77777777" w:rsidR="00523E84" w:rsidRPr="009C52C4" w:rsidRDefault="00523E84" w:rsidP="000245F0">
      <w:pPr>
        <w:rPr>
          <w:rFonts w:ascii="Times New Roman" w:hAnsi="Times New Roman" w:cs="Times New Roman"/>
          <w:sz w:val="24"/>
          <w:szCs w:val="24"/>
        </w:rPr>
      </w:pPr>
    </w:p>
    <w:p w14:paraId="362C12E1" w14:textId="12958D2C" w:rsidR="00523E84" w:rsidRPr="009C52C4" w:rsidRDefault="00523E84" w:rsidP="000245F0">
      <w:pPr>
        <w:rPr>
          <w:rFonts w:ascii="Times New Roman" w:hAnsi="Times New Roman" w:cs="Times New Roman"/>
          <w:sz w:val="24"/>
          <w:szCs w:val="24"/>
        </w:rPr>
      </w:pPr>
      <w:r w:rsidRPr="009C52C4">
        <w:rPr>
          <w:rFonts w:ascii="Times New Roman" w:hAnsi="Times New Roman" w:cs="Times New Roman"/>
          <w:sz w:val="24"/>
          <w:szCs w:val="24"/>
        </w:rPr>
        <w:t xml:space="preserve">Primjenom načela standarda pasivne gradnje u zgradi se postiže ugodna atmosfera bez zasebnog sustava grijanja i klimatizacije. Maksimalna potrošnja energije u </w:t>
      </w:r>
      <w:r w:rsidR="00DC6FC5" w:rsidRPr="009C52C4">
        <w:rPr>
          <w:rFonts w:ascii="Times New Roman" w:hAnsi="Times New Roman" w:cs="Times New Roman"/>
          <w:sz w:val="24"/>
          <w:szCs w:val="24"/>
        </w:rPr>
        <w:t>pasivnim</w:t>
      </w:r>
      <w:r w:rsidRPr="009C52C4">
        <w:rPr>
          <w:rFonts w:ascii="Times New Roman" w:hAnsi="Times New Roman" w:cs="Times New Roman"/>
          <w:sz w:val="24"/>
          <w:szCs w:val="24"/>
        </w:rPr>
        <w:t xml:space="preserve"> zgradama uz zadovoljenje primarnih energetskih potreba uključujući toplu vodu i struju ne bi trebala prelaziti 20 kWh/m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godišnje. Načela standarda aktivne gradnje prate načela standarda pasivne gradnje u smislu dizajna i tehnologije, ali primjenom tih načela postiže se da zgrada u prosjeku tokom cijele godine proizvede više energije koristeći obnovljive izvore energije nego što je uzme iz vanjskog sustava. Takve zgrade</w:t>
      </w:r>
      <w:r w:rsidR="00DC6FC5" w:rsidRPr="009C52C4">
        <w:rPr>
          <w:rFonts w:ascii="Times New Roman" w:hAnsi="Times New Roman" w:cs="Times New Roman"/>
          <w:sz w:val="24"/>
          <w:szCs w:val="24"/>
        </w:rPr>
        <w:t xml:space="preserve"> s viškom energije</w:t>
      </w:r>
      <w:r w:rsidRPr="009C52C4">
        <w:rPr>
          <w:rFonts w:ascii="Times New Roman" w:hAnsi="Times New Roman" w:cs="Times New Roman"/>
          <w:sz w:val="24"/>
          <w:szCs w:val="24"/>
        </w:rPr>
        <w:t xml:space="preserve"> stvaraju tzv. pozitivnu energiju koja se može vratiti u mrežu.</w:t>
      </w:r>
      <w:r w:rsidR="00DC6FC5" w:rsidRPr="009C52C4">
        <w:rPr>
          <w:rFonts w:ascii="Times New Roman" w:hAnsi="Times New Roman" w:cs="Times New Roman"/>
          <w:sz w:val="24"/>
          <w:szCs w:val="24"/>
        </w:rPr>
        <w:t xml:space="preserve"> U hrvatskim propisima ne postoji definicija aktivne i pasivne gradnje, međutim postoje informacije o pasivnim kućama i kućama s viškom energije na službenim stranicama projekta </w:t>
      </w:r>
      <w:r w:rsidR="00DC6FC5" w:rsidRPr="009C52C4">
        <w:rPr>
          <w:rFonts w:ascii="Times New Roman" w:hAnsi="Times New Roman" w:cs="Times New Roman"/>
          <w:i/>
          <w:sz w:val="24"/>
          <w:szCs w:val="24"/>
        </w:rPr>
        <w:t>Poticanje energetske efikasnosti u Hrvatskoj</w:t>
      </w:r>
      <w:r w:rsidR="00CF4129" w:rsidRPr="009C52C4">
        <w:rPr>
          <w:rFonts w:ascii="Times New Roman" w:hAnsi="Times New Roman" w:cs="Times New Roman"/>
          <w:sz w:val="24"/>
          <w:szCs w:val="24"/>
        </w:rPr>
        <w:t xml:space="preserve"> kojeg provode Program Ujedinjenih naroda za razvoj u Hrvatskoj (UNDP Hrvatska) i </w:t>
      </w:r>
      <w:r w:rsidR="00C209AC" w:rsidRPr="009C52C4">
        <w:rPr>
          <w:rFonts w:ascii="Times New Roman" w:hAnsi="Times New Roman" w:cs="Times New Roman"/>
          <w:sz w:val="24"/>
          <w:szCs w:val="24"/>
        </w:rPr>
        <w:t>m</w:t>
      </w:r>
      <w:r w:rsidR="00CF4129" w:rsidRPr="009C52C4">
        <w:rPr>
          <w:rFonts w:ascii="Times New Roman" w:hAnsi="Times New Roman" w:cs="Times New Roman"/>
          <w:sz w:val="24"/>
          <w:szCs w:val="24"/>
        </w:rPr>
        <w:t xml:space="preserve">inistarstvo </w:t>
      </w:r>
      <w:r w:rsidR="00C209AC" w:rsidRPr="009C52C4">
        <w:rPr>
          <w:rFonts w:ascii="Times New Roman" w:hAnsi="Times New Roman" w:cs="Times New Roman"/>
          <w:sz w:val="24"/>
          <w:szCs w:val="24"/>
        </w:rPr>
        <w:t>nadležno za poslove gospodarstva</w:t>
      </w:r>
      <w:r w:rsidR="00CF4129" w:rsidRPr="009C52C4">
        <w:rPr>
          <w:rFonts w:ascii="Times New Roman" w:hAnsi="Times New Roman" w:cs="Times New Roman"/>
          <w:sz w:val="24"/>
          <w:szCs w:val="24"/>
        </w:rPr>
        <w:t xml:space="preserve"> (MINGO) te Ministarstvo graditeljstva i prostornog</w:t>
      </w:r>
      <w:r w:rsidR="00C209AC" w:rsidRPr="009C52C4">
        <w:rPr>
          <w:rFonts w:ascii="Times New Roman" w:hAnsi="Times New Roman" w:cs="Times New Roman"/>
          <w:sz w:val="24"/>
          <w:szCs w:val="24"/>
        </w:rPr>
        <w:t>a</w:t>
      </w:r>
      <w:r w:rsidR="00CF4129" w:rsidRPr="009C52C4">
        <w:rPr>
          <w:rFonts w:ascii="Times New Roman" w:hAnsi="Times New Roman" w:cs="Times New Roman"/>
          <w:sz w:val="24"/>
          <w:szCs w:val="24"/>
        </w:rPr>
        <w:t xml:space="preserve"> uređenja (MGIPU) uz potporu Fonda za zaštitu okoliša i energetsku učinkovitost (FZOEU) te Globalnog fonda za okoliš (GEF).</w:t>
      </w:r>
      <w:r w:rsidR="00CF4129" w:rsidRPr="009C52C4">
        <w:rPr>
          <w:rStyle w:val="FootnoteReference"/>
          <w:rFonts w:ascii="Times New Roman" w:hAnsi="Times New Roman" w:cs="Times New Roman"/>
          <w:sz w:val="24"/>
          <w:szCs w:val="24"/>
        </w:rPr>
        <w:footnoteReference w:id="38"/>
      </w:r>
    </w:p>
    <w:p w14:paraId="53DD173B" w14:textId="77777777" w:rsidR="00866CBC" w:rsidRPr="009C52C4" w:rsidRDefault="00866CBC" w:rsidP="00362848">
      <w:pPr>
        <w:rPr>
          <w:rFonts w:ascii="Times New Roman" w:hAnsi="Times New Roman" w:cs="Times New Roman"/>
          <w:sz w:val="24"/>
          <w:szCs w:val="24"/>
        </w:rPr>
      </w:pPr>
    </w:p>
    <w:p w14:paraId="63D115F0" w14:textId="0A75DC61" w:rsidR="00AC5AC8" w:rsidRPr="009C52C4" w:rsidRDefault="00362848" w:rsidP="000245F0">
      <w:pPr>
        <w:spacing w:after="200"/>
        <w:rPr>
          <w:rFonts w:ascii="Times New Roman" w:hAnsi="Times New Roman" w:cs="Times New Roman"/>
          <w:sz w:val="24"/>
          <w:szCs w:val="24"/>
        </w:rPr>
      </w:pPr>
      <w:r w:rsidRPr="009C52C4">
        <w:rPr>
          <w:rFonts w:ascii="Times New Roman" w:hAnsi="Times New Roman" w:cs="Times New Roman"/>
          <w:sz w:val="24"/>
          <w:szCs w:val="24"/>
        </w:rPr>
        <w:lastRenderedPageBreak/>
        <w:t>Budući da sv</w:t>
      </w:r>
      <w:r w:rsidR="000245F0" w:rsidRPr="009C52C4">
        <w:rPr>
          <w:rFonts w:ascii="Times New Roman" w:hAnsi="Times New Roman" w:cs="Times New Roman"/>
          <w:sz w:val="24"/>
          <w:szCs w:val="24"/>
        </w:rPr>
        <w:t>ih</w:t>
      </w:r>
      <w:r w:rsidRPr="009C52C4">
        <w:rPr>
          <w:rFonts w:ascii="Times New Roman" w:hAnsi="Times New Roman" w:cs="Times New Roman"/>
          <w:sz w:val="24"/>
          <w:szCs w:val="24"/>
        </w:rPr>
        <w:t xml:space="preserve"> </w:t>
      </w:r>
      <w:r w:rsidR="000245F0" w:rsidRPr="009C52C4">
        <w:rPr>
          <w:rFonts w:ascii="Times New Roman" w:hAnsi="Times New Roman" w:cs="Times New Roman"/>
          <w:sz w:val="24"/>
          <w:szCs w:val="24"/>
        </w:rPr>
        <w:t>pet</w:t>
      </w:r>
      <w:r w:rsidRPr="009C52C4">
        <w:rPr>
          <w:rFonts w:ascii="Times New Roman" w:hAnsi="Times New Roman" w:cs="Times New Roman"/>
          <w:sz w:val="24"/>
          <w:szCs w:val="24"/>
        </w:rPr>
        <w:t xml:space="preserve"> naveden</w:t>
      </w:r>
      <w:r w:rsidR="000245F0" w:rsidRPr="009C52C4">
        <w:rPr>
          <w:rFonts w:ascii="Times New Roman" w:hAnsi="Times New Roman" w:cs="Times New Roman"/>
          <w:sz w:val="24"/>
          <w:szCs w:val="24"/>
        </w:rPr>
        <w:t>ih</w:t>
      </w:r>
      <w:r w:rsidRPr="009C52C4">
        <w:rPr>
          <w:rFonts w:ascii="Times New Roman" w:hAnsi="Times New Roman" w:cs="Times New Roman"/>
          <w:sz w:val="24"/>
          <w:szCs w:val="24"/>
        </w:rPr>
        <w:t xml:space="preserve"> modela </w:t>
      </w:r>
      <w:r w:rsidR="000245F0" w:rsidRPr="009C52C4">
        <w:rPr>
          <w:rFonts w:ascii="Times New Roman" w:hAnsi="Times New Roman" w:cs="Times New Roman"/>
          <w:sz w:val="24"/>
          <w:szCs w:val="24"/>
        </w:rPr>
        <w:t xml:space="preserve">obnove </w:t>
      </w:r>
      <w:r w:rsidRPr="009C52C4">
        <w:rPr>
          <w:rFonts w:ascii="Times New Roman" w:hAnsi="Times New Roman" w:cs="Times New Roman"/>
          <w:sz w:val="24"/>
          <w:szCs w:val="24"/>
        </w:rPr>
        <w:t xml:space="preserve">obuhvaćaju obnovu vanjske ovojnice grijanog prostora, u nastavku su prikazani ciljni koeficijenti prolaska topline elemenata ovojnice obuhvaćenih navedenim modelima obnove </w:t>
      </w:r>
      <w:r w:rsidR="00F54CC3" w:rsidRPr="009C52C4">
        <w:rPr>
          <w:rFonts w:ascii="Times New Roman" w:hAnsi="Times New Roman" w:cs="Times New Roman"/>
          <w:sz w:val="24"/>
          <w:szCs w:val="24"/>
        </w:rPr>
        <w:t>(</w:t>
      </w:r>
      <w:r w:rsidR="00CC4BCE" w:rsidRPr="009C52C4">
        <w:rPr>
          <w:rFonts w:ascii="Times New Roman" w:hAnsi="Times New Roman" w:cs="Times New Roman"/>
          <w:sz w:val="24"/>
          <w:szCs w:val="24"/>
        </w:rPr>
        <w:fldChar w:fldCharType="begin"/>
      </w:r>
      <w:r w:rsidR="00CC4BCE" w:rsidRPr="009C52C4">
        <w:rPr>
          <w:rFonts w:ascii="Times New Roman" w:hAnsi="Times New Roman" w:cs="Times New Roman"/>
          <w:sz w:val="24"/>
          <w:szCs w:val="24"/>
        </w:rPr>
        <w:instrText xml:space="preserve"> REF _Ref483404202 \h </w:instrText>
      </w:r>
      <w:r w:rsidR="000245F0" w:rsidRPr="009C52C4">
        <w:rPr>
          <w:rFonts w:ascii="Times New Roman" w:hAnsi="Times New Roman" w:cs="Times New Roman"/>
          <w:sz w:val="24"/>
          <w:szCs w:val="24"/>
        </w:rPr>
        <w:instrText xml:space="preserve"> \* MERGEFORMAT </w:instrText>
      </w:r>
      <w:r w:rsidR="00CC4BCE" w:rsidRPr="009C52C4">
        <w:rPr>
          <w:rFonts w:ascii="Times New Roman" w:hAnsi="Times New Roman" w:cs="Times New Roman"/>
          <w:sz w:val="24"/>
          <w:szCs w:val="24"/>
        </w:rPr>
      </w:r>
      <w:r w:rsidR="00CC4BCE"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Tablica 3.2</w:t>
      </w:r>
      <w:r w:rsidR="00CC4BCE" w:rsidRPr="009C52C4">
        <w:rPr>
          <w:rFonts w:ascii="Times New Roman" w:hAnsi="Times New Roman" w:cs="Times New Roman"/>
          <w:sz w:val="24"/>
          <w:szCs w:val="24"/>
        </w:rPr>
        <w:fldChar w:fldCharType="end"/>
      </w:r>
      <w:r w:rsidR="00F54CC3" w:rsidRPr="009C52C4">
        <w:rPr>
          <w:rFonts w:ascii="Times New Roman" w:hAnsi="Times New Roman" w:cs="Times New Roman"/>
          <w:sz w:val="24"/>
          <w:szCs w:val="24"/>
        </w:rPr>
        <w:t>).</w:t>
      </w:r>
    </w:p>
    <w:p w14:paraId="67437A6B" w14:textId="77777777" w:rsidR="00AC5AC8" w:rsidRPr="009C52C4" w:rsidRDefault="00AC5AC8">
      <w:pPr>
        <w:rPr>
          <w:rFonts w:ascii="Times New Roman" w:hAnsi="Times New Roman" w:cs="Times New Roman"/>
          <w:sz w:val="24"/>
          <w:szCs w:val="24"/>
        </w:rPr>
      </w:pPr>
      <w:r w:rsidRPr="009C52C4">
        <w:rPr>
          <w:rFonts w:ascii="Times New Roman" w:hAnsi="Times New Roman" w:cs="Times New Roman"/>
          <w:sz w:val="24"/>
          <w:szCs w:val="24"/>
        </w:rPr>
        <w:br w:type="page"/>
      </w:r>
    </w:p>
    <w:p w14:paraId="22BC39BC" w14:textId="5B21AF56" w:rsidR="006730B1" w:rsidRPr="009C52C4" w:rsidRDefault="006730B1" w:rsidP="006730B1">
      <w:pPr>
        <w:pStyle w:val="Caption"/>
        <w:rPr>
          <w:rFonts w:ascii="Times New Roman" w:hAnsi="Times New Roman" w:cs="Times New Roman"/>
          <w:sz w:val="24"/>
          <w:szCs w:val="24"/>
        </w:rPr>
      </w:pPr>
      <w:bookmarkStart w:id="125" w:name="h.4k668n3" w:colFirst="0" w:colLast="0"/>
      <w:bookmarkStart w:id="126" w:name="_Ref483404202"/>
      <w:bookmarkStart w:id="127" w:name="_Toc2681317"/>
      <w:bookmarkEnd w:id="125"/>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126"/>
      <w:r w:rsidRPr="009C52C4">
        <w:rPr>
          <w:rFonts w:ascii="Times New Roman" w:hAnsi="Times New Roman" w:cs="Times New Roman"/>
          <w:sz w:val="24"/>
          <w:szCs w:val="24"/>
        </w:rPr>
        <w:t xml:space="preserve"> </w:t>
      </w:r>
      <w:r w:rsidR="00362848" w:rsidRPr="009C52C4">
        <w:rPr>
          <w:rFonts w:ascii="Times New Roman" w:hAnsi="Times New Roman" w:cs="Times New Roman"/>
          <w:b w:val="0"/>
          <w:sz w:val="24"/>
          <w:szCs w:val="24"/>
        </w:rPr>
        <w:t>Prikaz ciljnih koeficijenata prolaska topline građevnih dijelova zgrade za moguće modele održive obnove zgrada</w:t>
      </w:r>
      <w:bookmarkEnd w:id="127"/>
    </w:p>
    <w:tbl>
      <w:tblPr>
        <w:tblW w:w="9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17"/>
        <w:gridCol w:w="1560"/>
        <w:gridCol w:w="1701"/>
        <w:gridCol w:w="2409"/>
      </w:tblGrid>
      <w:tr w:rsidR="00362848" w:rsidRPr="009C52C4" w14:paraId="7308EF01" w14:textId="77777777" w:rsidTr="00362848">
        <w:trPr>
          <w:trHeight w:val="57"/>
        </w:trPr>
        <w:tc>
          <w:tcPr>
            <w:tcW w:w="3517" w:type="dxa"/>
            <w:vMerge w:val="restart"/>
            <w:shd w:val="clear" w:color="auto" w:fill="C2D69B"/>
            <w:tcMar>
              <w:left w:w="115" w:type="dxa"/>
              <w:right w:w="115" w:type="dxa"/>
            </w:tcMar>
            <w:vAlign w:val="center"/>
          </w:tcPr>
          <w:p w14:paraId="29FF9320"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b/>
                <w:sz w:val="24"/>
                <w:szCs w:val="24"/>
              </w:rPr>
              <w:t>Koeficijent prolaska topline građevnog dijela [W/(m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K)]</w:t>
            </w:r>
          </w:p>
        </w:tc>
        <w:tc>
          <w:tcPr>
            <w:tcW w:w="3261" w:type="dxa"/>
            <w:gridSpan w:val="2"/>
            <w:shd w:val="clear" w:color="auto" w:fill="C2D69B"/>
            <w:tcMar>
              <w:left w:w="115" w:type="dxa"/>
              <w:right w:w="115" w:type="dxa"/>
            </w:tcMar>
            <w:vAlign w:val="center"/>
          </w:tcPr>
          <w:p w14:paraId="4CBC0472" w14:textId="77777777" w:rsidR="00362848" w:rsidRPr="009C52C4" w:rsidRDefault="00362848" w:rsidP="00362848">
            <w:pPr>
              <w:widowControl w:val="0"/>
              <w:spacing w:after="200" w:line="276" w:lineRule="auto"/>
              <w:jc w:val="center"/>
              <w:rPr>
                <w:rFonts w:ascii="Times New Roman" w:hAnsi="Times New Roman" w:cs="Times New Roman"/>
                <w:sz w:val="24"/>
                <w:szCs w:val="24"/>
              </w:rPr>
            </w:pPr>
            <w:r w:rsidRPr="009C52C4">
              <w:rPr>
                <w:rFonts w:ascii="Times New Roman" w:hAnsi="Times New Roman" w:cs="Times New Roman"/>
                <w:b/>
                <w:sz w:val="24"/>
                <w:szCs w:val="24"/>
              </w:rPr>
              <w:t>Tehnički propis/nZEB*</w:t>
            </w:r>
          </w:p>
        </w:tc>
        <w:tc>
          <w:tcPr>
            <w:tcW w:w="2409" w:type="dxa"/>
            <w:shd w:val="clear" w:color="auto" w:fill="C2D69B" w:themeFill="accent3" w:themeFillTint="99"/>
            <w:tcMar>
              <w:left w:w="115" w:type="dxa"/>
              <w:right w:w="115" w:type="dxa"/>
            </w:tcMar>
            <w:vAlign w:val="center"/>
          </w:tcPr>
          <w:p w14:paraId="640370BD" w14:textId="77777777" w:rsidR="00362848" w:rsidRPr="009C52C4" w:rsidRDefault="00362848" w:rsidP="00362848">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Pasivna gradnja/ aktivna gradnja**</w:t>
            </w:r>
          </w:p>
        </w:tc>
      </w:tr>
      <w:tr w:rsidR="00362848" w:rsidRPr="009C52C4" w14:paraId="1B74F5AD" w14:textId="77777777" w:rsidTr="00362848">
        <w:trPr>
          <w:trHeight w:val="57"/>
        </w:trPr>
        <w:tc>
          <w:tcPr>
            <w:tcW w:w="3517" w:type="dxa"/>
            <w:vMerge/>
            <w:shd w:val="clear" w:color="auto" w:fill="C2D69B"/>
            <w:tcMar>
              <w:left w:w="115" w:type="dxa"/>
              <w:right w:w="115" w:type="dxa"/>
            </w:tcMar>
            <w:vAlign w:val="center"/>
          </w:tcPr>
          <w:p w14:paraId="38C5EC3B" w14:textId="77777777" w:rsidR="00362848" w:rsidRPr="009C52C4" w:rsidRDefault="00362848" w:rsidP="00362848">
            <w:pPr>
              <w:rPr>
                <w:rFonts w:ascii="Times New Roman" w:hAnsi="Times New Roman" w:cs="Times New Roman"/>
                <w:sz w:val="24"/>
                <w:szCs w:val="24"/>
              </w:rPr>
            </w:pPr>
          </w:p>
        </w:tc>
        <w:tc>
          <w:tcPr>
            <w:tcW w:w="1560" w:type="dxa"/>
            <w:shd w:val="clear" w:color="auto" w:fill="C2D69B"/>
            <w:tcMar>
              <w:left w:w="115" w:type="dxa"/>
              <w:right w:w="115" w:type="dxa"/>
            </w:tcMar>
            <w:vAlign w:val="center"/>
          </w:tcPr>
          <w:p w14:paraId="1C045872"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b/>
                <w:sz w:val="24"/>
                <w:szCs w:val="24"/>
              </w:rPr>
              <w:t>Kontinentalna Hrvatska</w:t>
            </w:r>
          </w:p>
        </w:tc>
        <w:tc>
          <w:tcPr>
            <w:tcW w:w="1701" w:type="dxa"/>
            <w:shd w:val="clear" w:color="auto" w:fill="C2D69B"/>
            <w:tcMar>
              <w:left w:w="115" w:type="dxa"/>
              <w:right w:w="115" w:type="dxa"/>
            </w:tcMar>
            <w:vAlign w:val="center"/>
          </w:tcPr>
          <w:p w14:paraId="6DC1CC0D"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b/>
                <w:sz w:val="24"/>
                <w:szCs w:val="24"/>
              </w:rPr>
              <w:t>Primorska Hrvatska</w:t>
            </w:r>
          </w:p>
        </w:tc>
        <w:tc>
          <w:tcPr>
            <w:tcW w:w="2409" w:type="dxa"/>
            <w:shd w:val="clear" w:color="auto" w:fill="C2D69B"/>
            <w:tcMar>
              <w:left w:w="115" w:type="dxa"/>
              <w:right w:w="115" w:type="dxa"/>
            </w:tcMar>
            <w:vAlign w:val="center"/>
          </w:tcPr>
          <w:p w14:paraId="3EBE093B"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b/>
                <w:sz w:val="24"/>
                <w:szCs w:val="24"/>
              </w:rPr>
              <w:t>Kontinentalna i primorska Hrvatska</w:t>
            </w:r>
          </w:p>
        </w:tc>
      </w:tr>
      <w:tr w:rsidR="00362848" w:rsidRPr="009C52C4" w14:paraId="0227AE74" w14:textId="77777777" w:rsidTr="00362848">
        <w:trPr>
          <w:trHeight w:val="57"/>
        </w:trPr>
        <w:tc>
          <w:tcPr>
            <w:tcW w:w="3517" w:type="dxa"/>
            <w:shd w:val="clear" w:color="auto" w:fill="EAF1DD"/>
            <w:tcMar>
              <w:left w:w="115" w:type="dxa"/>
              <w:right w:w="115" w:type="dxa"/>
            </w:tcMar>
            <w:vAlign w:val="center"/>
          </w:tcPr>
          <w:p w14:paraId="7101AE22"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Vanjski zidovi, zidovi prema garaži, zidovi prema provjetravanom tavanu</w:t>
            </w:r>
          </w:p>
        </w:tc>
        <w:tc>
          <w:tcPr>
            <w:tcW w:w="1560" w:type="dxa"/>
            <w:shd w:val="clear" w:color="auto" w:fill="EAF1DD"/>
            <w:tcMar>
              <w:left w:w="115" w:type="dxa"/>
              <w:right w:w="115" w:type="dxa"/>
            </w:tcMar>
            <w:vAlign w:val="center"/>
          </w:tcPr>
          <w:p w14:paraId="688248B5"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0,30</w:t>
            </w:r>
          </w:p>
        </w:tc>
        <w:tc>
          <w:tcPr>
            <w:tcW w:w="1701" w:type="dxa"/>
            <w:shd w:val="clear" w:color="auto" w:fill="EAF1DD"/>
            <w:tcMar>
              <w:left w:w="115" w:type="dxa"/>
              <w:right w:w="115" w:type="dxa"/>
            </w:tcMar>
            <w:vAlign w:val="center"/>
          </w:tcPr>
          <w:p w14:paraId="692C396B"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0,45</w:t>
            </w:r>
          </w:p>
        </w:tc>
        <w:tc>
          <w:tcPr>
            <w:tcW w:w="2409" w:type="dxa"/>
            <w:shd w:val="clear" w:color="auto" w:fill="EAF1DD"/>
            <w:tcMar>
              <w:left w:w="115" w:type="dxa"/>
              <w:right w:w="115" w:type="dxa"/>
            </w:tcMar>
            <w:vAlign w:val="center"/>
          </w:tcPr>
          <w:p w14:paraId="60A3ACC3"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0,13</w:t>
            </w:r>
          </w:p>
        </w:tc>
      </w:tr>
      <w:tr w:rsidR="00362848" w:rsidRPr="009C52C4" w14:paraId="38D6A0DB" w14:textId="77777777" w:rsidTr="00362848">
        <w:trPr>
          <w:trHeight w:val="57"/>
        </w:trPr>
        <w:tc>
          <w:tcPr>
            <w:tcW w:w="3517" w:type="dxa"/>
            <w:shd w:val="clear" w:color="auto" w:fill="EAF1DD"/>
            <w:tcMar>
              <w:left w:w="115" w:type="dxa"/>
              <w:right w:w="115" w:type="dxa"/>
            </w:tcMar>
            <w:vAlign w:val="center"/>
          </w:tcPr>
          <w:p w14:paraId="475C440C"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Prozori, balkonska vrata, krovni prozori, ostali prozirni elementi ovojnice zgrade</w:t>
            </w:r>
          </w:p>
        </w:tc>
        <w:tc>
          <w:tcPr>
            <w:tcW w:w="1560" w:type="dxa"/>
            <w:shd w:val="clear" w:color="auto" w:fill="EAF1DD"/>
            <w:tcMar>
              <w:left w:w="115" w:type="dxa"/>
              <w:right w:w="115" w:type="dxa"/>
            </w:tcMar>
            <w:vAlign w:val="center"/>
          </w:tcPr>
          <w:p w14:paraId="39AB6B23"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1,60</w:t>
            </w:r>
          </w:p>
        </w:tc>
        <w:tc>
          <w:tcPr>
            <w:tcW w:w="1701" w:type="dxa"/>
            <w:shd w:val="clear" w:color="auto" w:fill="EAF1DD"/>
            <w:tcMar>
              <w:left w:w="115" w:type="dxa"/>
              <w:right w:w="115" w:type="dxa"/>
            </w:tcMar>
            <w:vAlign w:val="center"/>
          </w:tcPr>
          <w:p w14:paraId="0039E1FB"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1,80</w:t>
            </w:r>
          </w:p>
        </w:tc>
        <w:tc>
          <w:tcPr>
            <w:tcW w:w="2409" w:type="dxa"/>
            <w:shd w:val="clear" w:color="auto" w:fill="EAF1DD"/>
            <w:tcMar>
              <w:left w:w="115" w:type="dxa"/>
              <w:right w:w="115" w:type="dxa"/>
            </w:tcMar>
            <w:vAlign w:val="center"/>
          </w:tcPr>
          <w:p w14:paraId="479EF981"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0,80</w:t>
            </w:r>
          </w:p>
        </w:tc>
      </w:tr>
      <w:tr w:rsidR="00362848" w:rsidRPr="009C52C4" w14:paraId="4E154B0C" w14:textId="77777777" w:rsidTr="00362848">
        <w:trPr>
          <w:trHeight w:val="57"/>
        </w:trPr>
        <w:tc>
          <w:tcPr>
            <w:tcW w:w="3517" w:type="dxa"/>
            <w:shd w:val="clear" w:color="auto" w:fill="EAF1DD"/>
            <w:tcMar>
              <w:left w:w="115" w:type="dxa"/>
              <w:right w:w="115" w:type="dxa"/>
            </w:tcMar>
            <w:vAlign w:val="center"/>
          </w:tcPr>
          <w:p w14:paraId="1CE5D55E"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Ostakljeni dio prozora, balkonskih vrata, krovnih prozora, prozirnih elemenata ovojnice zgrade</w:t>
            </w:r>
          </w:p>
        </w:tc>
        <w:tc>
          <w:tcPr>
            <w:tcW w:w="1560" w:type="dxa"/>
            <w:shd w:val="clear" w:color="auto" w:fill="EAF1DD"/>
            <w:tcMar>
              <w:left w:w="115" w:type="dxa"/>
              <w:right w:w="115" w:type="dxa"/>
            </w:tcMar>
            <w:vAlign w:val="center"/>
          </w:tcPr>
          <w:p w14:paraId="38372887"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1,10</w:t>
            </w:r>
          </w:p>
        </w:tc>
        <w:tc>
          <w:tcPr>
            <w:tcW w:w="1701" w:type="dxa"/>
            <w:shd w:val="clear" w:color="auto" w:fill="EAF1DD"/>
            <w:tcMar>
              <w:left w:w="115" w:type="dxa"/>
              <w:right w:w="115" w:type="dxa"/>
            </w:tcMar>
            <w:vAlign w:val="center"/>
          </w:tcPr>
          <w:p w14:paraId="371A916B"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1,40</w:t>
            </w:r>
          </w:p>
        </w:tc>
        <w:tc>
          <w:tcPr>
            <w:tcW w:w="2409" w:type="dxa"/>
            <w:shd w:val="clear" w:color="auto" w:fill="EAF1DD"/>
            <w:tcMar>
              <w:left w:w="115" w:type="dxa"/>
              <w:right w:w="115" w:type="dxa"/>
            </w:tcMar>
            <w:vAlign w:val="center"/>
          </w:tcPr>
          <w:p w14:paraId="11498F90"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0,70</w:t>
            </w:r>
          </w:p>
        </w:tc>
      </w:tr>
      <w:tr w:rsidR="00362848" w:rsidRPr="009C52C4" w14:paraId="5C2A70B5" w14:textId="77777777" w:rsidTr="00362848">
        <w:trPr>
          <w:trHeight w:val="57"/>
        </w:trPr>
        <w:tc>
          <w:tcPr>
            <w:tcW w:w="3517" w:type="dxa"/>
            <w:shd w:val="clear" w:color="auto" w:fill="EAF1DD"/>
            <w:tcMar>
              <w:left w:w="115" w:type="dxa"/>
              <w:right w:w="115" w:type="dxa"/>
            </w:tcMar>
            <w:vAlign w:val="center"/>
          </w:tcPr>
          <w:p w14:paraId="21ECECFE"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Ravni i kosi krovovi iznad grijanog prostora, stropovi prema provjetravanom tavanu</w:t>
            </w:r>
          </w:p>
        </w:tc>
        <w:tc>
          <w:tcPr>
            <w:tcW w:w="1560" w:type="dxa"/>
            <w:shd w:val="clear" w:color="auto" w:fill="EAF1DD"/>
            <w:tcMar>
              <w:left w:w="115" w:type="dxa"/>
              <w:right w:w="115" w:type="dxa"/>
            </w:tcMar>
            <w:vAlign w:val="center"/>
          </w:tcPr>
          <w:p w14:paraId="194C99C1"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0,25</w:t>
            </w:r>
          </w:p>
        </w:tc>
        <w:tc>
          <w:tcPr>
            <w:tcW w:w="1701" w:type="dxa"/>
            <w:shd w:val="clear" w:color="auto" w:fill="EAF1DD"/>
            <w:tcMar>
              <w:left w:w="115" w:type="dxa"/>
              <w:right w:w="115" w:type="dxa"/>
            </w:tcMar>
            <w:vAlign w:val="center"/>
          </w:tcPr>
          <w:p w14:paraId="2AB32D8C"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0,30</w:t>
            </w:r>
          </w:p>
        </w:tc>
        <w:tc>
          <w:tcPr>
            <w:tcW w:w="2409" w:type="dxa"/>
            <w:shd w:val="clear" w:color="auto" w:fill="EAF1DD"/>
            <w:tcMar>
              <w:left w:w="115" w:type="dxa"/>
              <w:right w:w="115" w:type="dxa"/>
            </w:tcMar>
            <w:vAlign w:val="center"/>
          </w:tcPr>
          <w:p w14:paraId="36E722AF"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0,10</w:t>
            </w:r>
          </w:p>
        </w:tc>
      </w:tr>
      <w:tr w:rsidR="00362848" w:rsidRPr="009C52C4" w14:paraId="129C9819" w14:textId="77777777" w:rsidTr="00362848">
        <w:trPr>
          <w:trHeight w:val="57"/>
        </w:trPr>
        <w:tc>
          <w:tcPr>
            <w:tcW w:w="3517" w:type="dxa"/>
            <w:shd w:val="clear" w:color="auto" w:fill="EAF1DD"/>
            <w:tcMar>
              <w:left w:w="115" w:type="dxa"/>
              <w:right w:w="115" w:type="dxa"/>
            </w:tcMar>
            <w:vAlign w:val="center"/>
          </w:tcPr>
          <w:p w14:paraId="6332C77D"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Stropovi iznad vanjskog zraka, stropovi iznad garaže</w:t>
            </w:r>
          </w:p>
        </w:tc>
        <w:tc>
          <w:tcPr>
            <w:tcW w:w="1560" w:type="dxa"/>
            <w:shd w:val="clear" w:color="auto" w:fill="EAF1DD"/>
            <w:tcMar>
              <w:left w:w="115" w:type="dxa"/>
              <w:right w:w="115" w:type="dxa"/>
            </w:tcMar>
            <w:vAlign w:val="center"/>
          </w:tcPr>
          <w:p w14:paraId="2E1BEA4A"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0,25</w:t>
            </w:r>
          </w:p>
        </w:tc>
        <w:tc>
          <w:tcPr>
            <w:tcW w:w="1701" w:type="dxa"/>
            <w:shd w:val="clear" w:color="auto" w:fill="EAF1DD"/>
            <w:tcMar>
              <w:left w:w="115" w:type="dxa"/>
              <w:right w:w="115" w:type="dxa"/>
            </w:tcMar>
            <w:vAlign w:val="center"/>
          </w:tcPr>
          <w:p w14:paraId="7FF7F797"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0,30</w:t>
            </w:r>
          </w:p>
        </w:tc>
        <w:tc>
          <w:tcPr>
            <w:tcW w:w="2409" w:type="dxa"/>
            <w:shd w:val="clear" w:color="auto" w:fill="EAF1DD"/>
            <w:tcMar>
              <w:left w:w="115" w:type="dxa"/>
              <w:right w:w="115" w:type="dxa"/>
            </w:tcMar>
            <w:vAlign w:val="center"/>
          </w:tcPr>
          <w:p w14:paraId="66E24C78"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0,10</w:t>
            </w:r>
          </w:p>
        </w:tc>
      </w:tr>
      <w:tr w:rsidR="00362848" w:rsidRPr="009C52C4" w14:paraId="320F587E" w14:textId="77777777" w:rsidTr="00362848">
        <w:trPr>
          <w:trHeight w:val="57"/>
        </w:trPr>
        <w:tc>
          <w:tcPr>
            <w:tcW w:w="3517" w:type="dxa"/>
            <w:shd w:val="clear" w:color="auto" w:fill="EAF1DD"/>
            <w:tcMar>
              <w:left w:w="115" w:type="dxa"/>
              <w:right w:w="115" w:type="dxa"/>
            </w:tcMar>
            <w:vAlign w:val="center"/>
          </w:tcPr>
          <w:p w14:paraId="1C83BE44"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 xml:space="preserve">Zidovi i stropovi prema negrijanim prostorijama i negrijanom stubištu temperature više od 0 </w:t>
            </w:r>
            <w:r w:rsidRPr="009C52C4">
              <w:rPr>
                <w:rFonts w:ascii="Times New Roman" w:hAnsi="Times New Roman" w:cs="Times New Roman"/>
                <w:sz w:val="24"/>
                <w:szCs w:val="24"/>
                <w:vertAlign w:val="superscript"/>
              </w:rPr>
              <w:t>o</w:t>
            </w:r>
            <w:r w:rsidRPr="009C52C4">
              <w:rPr>
                <w:rFonts w:ascii="Times New Roman" w:hAnsi="Times New Roman" w:cs="Times New Roman"/>
                <w:sz w:val="24"/>
                <w:szCs w:val="24"/>
              </w:rPr>
              <w:t>C</w:t>
            </w:r>
          </w:p>
        </w:tc>
        <w:tc>
          <w:tcPr>
            <w:tcW w:w="1560" w:type="dxa"/>
            <w:shd w:val="clear" w:color="auto" w:fill="EAF1DD"/>
            <w:tcMar>
              <w:left w:w="115" w:type="dxa"/>
              <w:right w:w="115" w:type="dxa"/>
            </w:tcMar>
            <w:vAlign w:val="center"/>
          </w:tcPr>
          <w:p w14:paraId="0526FF9D"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0,40</w:t>
            </w:r>
          </w:p>
        </w:tc>
        <w:tc>
          <w:tcPr>
            <w:tcW w:w="1701" w:type="dxa"/>
            <w:shd w:val="clear" w:color="auto" w:fill="EAF1DD"/>
            <w:tcMar>
              <w:left w:w="115" w:type="dxa"/>
              <w:right w:w="115" w:type="dxa"/>
            </w:tcMar>
            <w:vAlign w:val="center"/>
          </w:tcPr>
          <w:p w14:paraId="4428D365"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0,60</w:t>
            </w:r>
          </w:p>
        </w:tc>
        <w:tc>
          <w:tcPr>
            <w:tcW w:w="2409" w:type="dxa"/>
            <w:shd w:val="clear" w:color="auto" w:fill="EAF1DD"/>
            <w:tcMar>
              <w:left w:w="115" w:type="dxa"/>
              <w:right w:w="115" w:type="dxa"/>
            </w:tcMar>
            <w:vAlign w:val="center"/>
          </w:tcPr>
          <w:p w14:paraId="6D42ADB8"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0,15</w:t>
            </w:r>
          </w:p>
        </w:tc>
      </w:tr>
      <w:tr w:rsidR="00362848" w:rsidRPr="009C52C4" w14:paraId="42262437" w14:textId="77777777" w:rsidTr="00362848">
        <w:trPr>
          <w:trHeight w:val="57"/>
        </w:trPr>
        <w:tc>
          <w:tcPr>
            <w:tcW w:w="3517" w:type="dxa"/>
            <w:shd w:val="clear" w:color="auto" w:fill="EAF1DD"/>
            <w:tcMar>
              <w:left w:w="115" w:type="dxa"/>
              <w:right w:w="115" w:type="dxa"/>
            </w:tcMar>
            <w:vAlign w:val="center"/>
          </w:tcPr>
          <w:p w14:paraId="11C29BF0"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Zidovi prema tlu, podovi na tlu</w:t>
            </w:r>
          </w:p>
        </w:tc>
        <w:tc>
          <w:tcPr>
            <w:tcW w:w="1560" w:type="dxa"/>
            <w:shd w:val="clear" w:color="auto" w:fill="EAF1DD"/>
            <w:tcMar>
              <w:left w:w="115" w:type="dxa"/>
              <w:right w:w="115" w:type="dxa"/>
            </w:tcMar>
            <w:vAlign w:val="center"/>
          </w:tcPr>
          <w:p w14:paraId="71E50892"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0,40</w:t>
            </w:r>
          </w:p>
        </w:tc>
        <w:tc>
          <w:tcPr>
            <w:tcW w:w="1701" w:type="dxa"/>
            <w:shd w:val="clear" w:color="auto" w:fill="EAF1DD"/>
            <w:tcMar>
              <w:left w:w="115" w:type="dxa"/>
              <w:right w:w="115" w:type="dxa"/>
            </w:tcMar>
            <w:vAlign w:val="center"/>
          </w:tcPr>
          <w:p w14:paraId="7A86C6B1"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0,50</w:t>
            </w:r>
          </w:p>
        </w:tc>
        <w:tc>
          <w:tcPr>
            <w:tcW w:w="2409" w:type="dxa"/>
            <w:shd w:val="clear" w:color="auto" w:fill="EAF1DD"/>
            <w:tcMar>
              <w:left w:w="115" w:type="dxa"/>
              <w:right w:w="115" w:type="dxa"/>
            </w:tcMar>
            <w:vAlign w:val="center"/>
          </w:tcPr>
          <w:p w14:paraId="1F8165AB"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0,15</w:t>
            </w:r>
          </w:p>
        </w:tc>
      </w:tr>
      <w:tr w:rsidR="00362848" w:rsidRPr="009C52C4" w14:paraId="577EDD2B" w14:textId="77777777" w:rsidTr="00362848">
        <w:trPr>
          <w:trHeight w:val="57"/>
        </w:trPr>
        <w:tc>
          <w:tcPr>
            <w:tcW w:w="3517" w:type="dxa"/>
            <w:shd w:val="clear" w:color="auto" w:fill="EAF1DD"/>
            <w:tcMar>
              <w:left w:w="115" w:type="dxa"/>
              <w:right w:w="115" w:type="dxa"/>
            </w:tcMar>
            <w:vAlign w:val="center"/>
          </w:tcPr>
          <w:p w14:paraId="4C483CAE"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Vanjska vrata, vrata prema negrijanom stubištu, s neprozirnim vratnim krilom i ostakljene pregrade prema negrijanom ili provjetravanom prostoru</w:t>
            </w:r>
          </w:p>
        </w:tc>
        <w:tc>
          <w:tcPr>
            <w:tcW w:w="1560" w:type="dxa"/>
            <w:shd w:val="clear" w:color="auto" w:fill="EAF1DD"/>
            <w:tcMar>
              <w:left w:w="115" w:type="dxa"/>
              <w:right w:w="115" w:type="dxa"/>
            </w:tcMar>
            <w:vAlign w:val="center"/>
          </w:tcPr>
          <w:p w14:paraId="0A4CABDE"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2,00</w:t>
            </w:r>
          </w:p>
        </w:tc>
        <w:tc>
          <w:tcPr>
            <w:tcW w:w="1701" w:type="dxa"/>
            <w:shd w:val="clear" w:color="auto" w:fill="EAF1DD"/>
            <w:tcMar>
              <w:left w:w="115" w:type="dxa"/>
              <w:right w:w="115" w:type="dxa"/>
            </w:tcMar>
            <w:vAlign w:val="center"/>
          </w:tcPr>
          <w:p w14:paraId="3A6A1028"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2,40</w:t>
            </w:r>
          </w:p>
        </w:tc>
        <w:tc>
          <w:tcPr>
            <w:tcW w:w="2409" w:type="dxa"/>
            <w:shd w:val="clear" w:color="auto" w:fill="EAF1DD"/>
            <w:tcMar>
              <w:left w:w="115" w:type="dxa"/>
              <w:right w:w="115" w:type="dxa"/>
            </w:tcMar>
            <w:vAlign w:val="center"/>
          </w:tcPr>
          <w:p w14:paraId="11FAA454"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w:t>
            </w:r>
          </w:p>
        </w:tc>
      </w:tr>
      <w:tr w:rsidR="00362848" w:rsidRPr="009C52C4" w14:paraId="4D15212F" w14:textId="77777777" w:rsidTr="00362848">
        <w:trPr>
          <w:trHeight w:val="57"/>
        </w:trPr>
        <w:tc>
          <w:tcPr>
            <w:tcW w:w="3517" w:type="dxa"/>
            <w:shd w:val="clear" w:color="auto" w:fill="EAF1DD"/>
            <w:tcMar>
              <w:left w:w="115" w:type="dxa"/>
              <w:right w:w="115" w:type="dxa"/>
            </w:tcMar>
            <w:vAlign w:val="center"/>
          </w:tcPr>
          <w:p w14:paraId="38F78C5E"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Stjenke kutija za rolete</w:t>
            </w:r>
          </w:p>
        </w:tc>
        <w:tc>
          <w:tcPr>
            <w:tcW w:w="1560" w:type="dxa"/>
            <w:shd w:val="clear" w:color="auto" w:fill="EAF1DD"/>
            <w:tcMar>
              <w:left w:w="115" w:type="dxa"/>
              <w:right w:w="115" w:type="dxa"/>
            </w:tcMar>
            <w:vAlign w:val="center"/>
          </w:tcPr>
          <w:p w14:paraId="0BD0D282"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0,60</w:t>
            </w:r>
          </w:p>
        </w:tc>
        <w:tc>
          <w:tcPr>
            <w:tcW w:w="1701" w:type="dxa"/>
            <w:shd w:val="clear" w:color="auto" w:fill="EAF1DD"/>
            <w:tcMar>
              <w:left w:w="115" w:type="dxa"/>
              <w:right w:w="115" w:type="dxa"/>
            </w:tcMar>
            <w:vAlign w:val="center"/>
          </w:tcPr>
          <w:p w14:paraId="65288F54"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2409" w:type="dxa"/>
            <w:shd w:val="clear" w:color="auto" w:fill="EAF1DD"/>
            <w:tcMar>
              <w:left w:w="115" w:type="dxa"/>
              <w:right w:w="115" w:type="dxa"/>
            </w:tcMar>
            <w:vAlign w:val="center"/>
          </w:tcPr>
          <w:p w14:paraId="600F7C01"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w:t>
            </w:r>
          </w:p>
        </w:tc>
      </w:tr>
      <w:tr w:rsidR="00362848" w:rsidRPr="009C52C4" w14:paraId="5DFF9EF2" w14:textId="77777777" w:rsidTr="00362848">
        <w:trPr>
          <w:trHeight w:val="57"/>
        </w:trPr>
        <w:tc>
          <w:tcPr>
            <w:tcW w:w="3517" w:type="dxa"/>
            <w:shd w:val="clear" w:color="auto" w:fill="EAF1DD"/>
            <w:tcMar>
              <w:left w:w="115" w:type="dxa"/>
              <w:right w:w="115" w:type="dxa"/>
            </w:tcMar>
            <w:vAlign w:val="center"/>
          </w:tcPr>
          <w:p w14:paraId="3EA6D45A"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Stropovi i zidovi između stanova ili između različitih grijanih posebnih dijelova zgrade (poslovnih prostora i sl.)</w:t>
            </w:r>
          </w:p>
        </w:tc>
        <w:tc>
          <w:tcPr>
            <w:tcW w:w="1560" w:type="dxa"/>
            <w:shd w:val="clear" w:color="auto" w:fill="EAF1DD"/>
            <w:tcMar>
              <w:left w:w="115" w:type="dxa"/>
              <w:right w:w="115" w:type="dxa"/>
            </w:tcMar>
            <w:vAlign w:val="center"/>
          </w:tcPr>
          <w:p w14:paraId="212D5717"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0,60</w:t>
            </w:r>
          </w:p>
        </w:tc>
        <w:tc>
          <w:tcPr>
            <w:tcW w:w="1701" w:type="dxa"/>
            <w:shd w:val="clear" w:color="auto" w:fill="EAF1DD"/>
            <w:tcMar>
              <w:left w:w="115" w:type="dxa"/>
              <w:right w:w="115" w:type="dxa"/>
            </w:tcMar>
            <w:vAlign w:val="center"/>
          </w:tcPr>
          <w:p w14:paraId="6372D163"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0,80</w:t>
            </w:r>
          </w:p>
        </w:tc>
        <w:tc>
          <w:tcPr>
            <w:tcW w:w="2409" w:type="dxa"/>
            <w:shd w:val="clear" w:color="auto" w:fill="EAF1DD"/>
            <w:tcMar>
              <w:left w:w="115" w:type="dxa"/>
              <w:right w:w="115" w:type="dxa"/>
            </w:tcMar>
            <w:vAlign w:val="center"/>
          </w:tcPr>
          <w:p w14:paraId="46D7C078"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0,15</w:t>
            </w:r>
          </w:p>
        </w:tc>
      </w:tr>
      <w:tr w:rsidR="00362848" w:rsidRPr="009C52C4" w14:paraId="3FE401E2" w14:textId="77777777" w:rsidTr="00362848">
        <w:trPr>
          <w:trHeight w:val="57"/>
        </w:trPr>
        <w:tc>
          <w:tcPr>
            <w:tcW w:w="3517" w:type="dxa"/>
            <w:shd w:val="clear" w:color="auto" w:fill="EAF1DD"/>
            <w:tcMar>
              <w:left w:w="115" w:type="dxa"/>
              <w:right w:w="115" w:type="dxa"/>
            </w:tcMar>
            <w:vAlign w:val="center"/>
          </w:tcPr>
          <w:p w14:paraId="3281A493"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Kupole i svjetlosne trake</w:t>
            </w:r>
          </w:p>
        </w:tc>
        <w:tc>
          <w:tcPr>
            <w:tcW w:w="1560" w:type="dxa"/>
            <w:shd w:val="clear" w:color="auto" w:fill="EAF1DD"/>
            <w:tcMar>
              <w:left w:w="115" w:type="dxa"/>
              <w:right w:w="115" w:type="dxa"/>
            </w:tcMar>
            <w:vAlign w:val="center"/>
          </w:tcPr>
          <w:p w14:paraId="32935C24"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2,50</w:t>
            </w:r>
          </w:p>
        </w:tc>
        <w:tc>
          <w:tcPr>
            <w:tcW w:w="1701" w:type="dxa"/>
            <w:shd w:val="clear" w:color="auto" w:fill="EAF1DD"/>
            <w:tcMar>
              <w:left w:w="115" w:type="dxa"/>
              <w:right w:w="115" w:type="dxa"/>
            </w:tcMar>
            <w:vAlign w:val="center"/>
          </w:tcPr>
          <w:p w14:paraId="5A42A885"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2,50</w:t>
            </w:r>
          </w:p>
        </w:tc>
        <w:tc>
          <w:tcPr>
            <w:tcW w:w="2409" w:type="dxa"/>
            <w:shd w:val="clear" w:color="auto" w:fill="EAF1DD"/>
            <w:tcMar>
              <w:left w:w="115" w:type="dxa"/>
              <w:right w:w="115" w:type="dxa"/>
            </w:tcMar>
            <w:vAlign w:val="center"/>
          </w:tcPr>
          <w:p w14:paraId="4A47CF2E"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w:t>
            </w:r>
          </w:p>
        </w:tc>
      </w:tr>
      <w:tr w:rsidR="00362848" w:rsidRPr="009C52C4" w14:paraId="0AB11A26" w14:textId="77777777" w:rsidTr="00362848">
        <w:trPr>
          <w:trHeight w:val="57"/>
        </w:trPr>
        <w:tc>
          <w:tcPr>
            <w:tcW w:w="3517" w:type="dxa"/>
            <w:shd w:val="clear" w:color="auto" w:fill="EAF1DD"/>
            <w:tcMar>
              <w:left w:w="115" w:type="dxa"/>
              <w:right w:w="115" w:type="dxa"/>
            </w:tcMar>
            <w:vAlign w:val="center"/>
          </w:tcPr>
          <w:p w14:paraId="292923B4"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Vjetrobrani, promatrano u smjeru otvaranja vrata</w:t>
            </w:r>
          </w:p>
        </w:tc>
        <w:tc>
          <w:tcPr>
            <w:tcW w:w="1560" w:type="dxa"/>
            <w:shd w:val="clear" w:color="auto" w:fill="EAF1DD"/>
            <w:tcMar>
              <w:left w:w="115" w:type="dxa"/>
              <w:right w:w="115" w:type="dxa"/>
            </w:tcMar>
            <w:vAlign w:val="center"/>
          </w:tcPr>
          <w:p w14:paraId="2A4B79BF"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3,00</w:t>
            </w:r>
          </w:p>
        </w:tc>
        <w:tc>
          <w:tcPr>
            <w:tcW w:w="1701" w:type="dxa"/>
            <w:shd w:val="clear" w:color="auto" w:fill="EAF1DD"/>
            <w:tcMar>
              <w:left w:w="115" w:type="dxa"/>
              <w:right w:w="115" w:type="dxa"/>
            </w:tcMar>
            <w:vAlign w:val="center"/>
          </w:tcPr>
          <w:p w14:paraId="2C8A678F"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3,00</w:t>
            </w:r>
          </w:p>
        </w:tc>
        <w:tc>
          <w:tcPr>
            <w:tcW w:w="2409" w:type="dxa"/>
            <w:shd w:val="clear" w:color="auto" w:fill="EAF1DD"/>
            <w:tcMar>
              <w:left w:w="115" w:type="dxa"/>
              <w:right w:w="115" w:type="dxa"/>
            </w:tcMar>
            <w:vAlign w:val="center"/>
          </w:tcPr>
          <w:p w14:paraId="54B3A440" w14:textId="77777777" w:rsidR="00362848" w:rsidRPr="009C52C4" w:rsidRDefault="00362848" w:rsidP="00362848">
            <w:pPr>
              <w:jc w:val="center"/>
              <w:rPr>
                <w:rFonts w:ascii="Times New Roman" w:hAnsi="Times New Roman" w:cs="Times New Roman"/>
                <w:sz w:val="24"/>
                <w:szCs w:val="24"/>
              </w:rPr>
            </w:pPr>
            <w:r w:rsidRPr="009C52C4">
              <w:rPr>
                <w:rFonts w:ascii="Times New Roman" w:hAnsi="Times New Roman" w:cs="Times New Roman"/>
                <w:sz w:val="24"/>
                <w:szCs w:val="24"/>
              </w:rPr>
              <w:t>-</w:t>
            </w:r>
          </w:p>
        </w:tc>
      </w:tr>
    </w:tbl>
    <w:p w14:paraId="4744D0B0" w14:textId="77777777" w:rsidR="00362848" w:rsidRPr="009C52C4" w:rsidRDefault="00362848" w:rsidP="00362848">
      <w:pPr>
        <w:rPr>
          <w:rFonts w:ascii="Times New Roman" w:hAnsi="Times New Roman" w:cs="Times New Roman"/>
          <w:sz w:val="24"/>
          <w:szCs w:val="24"/>
        </w:rPr>
      </w:pPr>
      <w:r w:rsidRPr="009C52C4">
        <w:rPr>
          <w:rFonts w:ascii="Times New Roman" w:hAnsi="Times New Roman" w:cs="Times New Roman"/>
          <w:sz w:val="24"/>
          <w:szCs w:val="24"/>
        </w:rPr>
        <w:t>Izvor: *</w:t>
      </w:r>
      <w:r w:rsidRPr="009C52C4">
        <w:rPr>
          <w:rFonts w:ascii="Times New Roman" w:hAnsi="Times New Roman" w:cs="Times New Roman"/>
          <w:i/>
          <w:sz w:val="24"/>
          <w:szCs w:val="24"/>
        </w:rPr>
        <w:t>Tehnički propis</w:t>
      </w:r>
      <w:r w:rsidRPr="009C52C4">
        <w:rPr>
          <w:rFonts w:ascii="Times New Roman" w:hAnsi="Times New Roman" w:cs="Times New Roman"/>
          <w:sz w:val="24"/>
          <w:szCs w:val="24"/>
        </w:rPr>
        <w:t>, **</w:t>
      </w:r>
      <w:r w:rsidRPr="009C52C4" w:rsidDel="00DF09CD">
        <w:rPr>
          <w:rFonts w:ascii="Times New Roman" w:hAnsi="Times New Roman" w:cs="Times New Roman"/>
          <w:i/>
          <w:sz w:val="24"/>
          <w:szCs w:val="24"/>
        </w:rPr>
        <w:t xml:space="preserve"> </w:t>
      </w:r>
      <w:r w:rsidRPr="009C52C4">
        <w:rPr>
          <w:rFonts w:ascii="Times New Roman" w:hAnsi="Times New Roman" w:cs="Times New Roman"/>
          <w:i/>
          <w:sz w:val="24"/>
          <w:szCs w:val="24"/>
        </w:rPr>
        <w:t>ISOVER Saint-Gobain Planer – katalozi i brošure, standard pasivne kuće</w:t>
      </w:r>
    </w:p>
    <w:p w14:paraId="3606C236" w14:textId="77777777" w:rsidR="00B122B4" w:rsidRPr="009C52C4" w:rsidRDefault="00B122B4">
      <w:pPr>
        <w:rPr>
          <w:rFonts w:ascii="Times New Roman" w:hAnsi="Times New Roman" w:cs="Times New Roman"/>
          <w:sz w:val="24"/>
          <w:szCs w:val="24"/>
        </w:rPr>
      </w:pPr>
    </w:p>
    <w:p w14:paraId="30D21E2A" w14:textId="3931A8F6" w:rsidR="00AC5AC8" w:rsidRPr="009C52C4" w:rsidRDefault="000245F0">
      <w:pPr>
        <w:rPr>
          <w:rFonts w:ascii="Times New Roman" w:hAnsi="Times New Roman" w:cs="Times New Roman"/>
          <w:sz w:val="24"/>
          <w:szCs w:val="24"/>
        </w:rPr>
      </w:pPr>
      <w:r w:rsidRPr="009C52C4">
        <w:rPr>
          <w:rFonts w:ascii="Times New Roman" w:hAnsi="Times New Roman" w:cs="Times New Roman"/>
          <w:sz w:val="24"/>
          <w:szCs w:val="24"/>
        </w:rPr>
        <w:t>S o</w:t>
      </w:r>
      <w:r w:rsidR="00362848" w:rsidRPr="009C52C4">
        <w:rPr>
          <w:rFonts w:ascii="Times New Roman" w:hAnsi="Times New Roman" w:cs="Times New Roman"/>
          <w:sz w:val="24"/>
          <w:szCs w:val="24"/>
        </w:rPr>
        <w:t xml:space="preserve">bzirom na tehničke mogućnosti provedbe različitih mjera EnU i OIE prikazane u prethodnom poglavlju za pojedinu kategoriju zgrada, u nastavku se nalazi prikaz obuhvata paketa mjera za </w:t>
      </w:r>
      <w:r w:rsidRPr="009C52C4">
        <w:rPr>
          <w:rFonts w:ascii="Times New Roman" w:hAnsi="Times New Roman" w:cs="Times New Roman"/>
          <w:sz w:val="24"/>
          <w:szCs w:val="24"/>
        </w:rPr>
        <w:t>pet predloženih</w:t>
      </w:r>
      <w:r w:rsidR="00362848" w:rsidRPr="009C52C4">
        <w:rPr>
          <w:rFonts w:ascii="Times New Roman" w:hAnsi="Times New Roman" w:cs="Times New Roman"/>
          <w:sz w:val="24"/>
          <w:szCs w:val="24"/>
        </w:rPr>
        <w:t xml:space="preserve"> modela održive obnove za svaku od četiri kategorije zgrada (</w:t>
      </w:r>
      <w:r w:rsidR="00CC4BCE" w:rsidRPr="009C52C4">
        <w:rPr>
          <w:rFonts w:ascii="Times New Roman" w:hAnsi="Times New Roman" w:cs="Times New Roman"/>
          <w:sz w:val="24"/>
          <w:szCs w:val="24"/>
        </w:rPr>
        <w:fldChar w:fldCharType="begin"/>
      </w:r>
      <w:r w:rsidR="00CC4BCE" w:rsidRPr="009C52C4">
        <w:rPr>
          <w:rFonts w:ascii="Times New Roman" w:hAnsi="Times New Roman" w:cs="Times New Roman"/>
          <w:sz w:val="24"/>
          <w:szCs w:val="24"/>
        </w:rPr>
        <w:instrText xml:space="preserve"> REF _Ref483404220 \h </w:instrText>
      </w:r>
      <w:r w:rsidR="00873572" w:rsidRPr="009C52C4">
        <w:rPr>
          <w:rFonts w:ascii="Times New Roman" w:hAnsi="Times New Roman" w:cs="Times New Roman"/>
          <w:sz w:val="24"/>
          <w:szCs w:val="24"/>
        </w:rPr>
        <w:instrText xml:space="preserve"> \* MERGEFORMAT </w:instrText>
      </w:r>
      <w:r w:rsidR="00CC4BCE" w:rsidRPr="009C52C4">
        <w:rPr>
          <w:rFonts w:ascii="Times New Roman" w:hAnsi="Times New Roman" w:cs="Times New Roman"/>
          <w:sz w:val="24"/>
          <w:szCs w:val="24"/>
        </w:rPr>
      </w:r>
      <w:r w:rsidR="00CC4BCE"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3</w:t>
      </w:r>
      <w:r w:rsidR="00CC4BCE" w:rsidRPr="009C52C4">
        <w:rPr>
          <w:rFonts w:ascii="Times New Roman" w:hAnsi="Times New Roman" w:cs="Times New Roman"/>
          <w:sz w:val="24"/>
          <w:szCs w:val="24"/>
        </w:rPr>
        <w:fldChar w:fldCharType="end"/>
      </w:r>
      <w:r w:rsidR="00362848" w:rsidRPr="009C52C4">
        <w:rPr>
          <w:rFonts w:ascii="Times New Roman" w:hAnsi="Times New Roman" w:cs="Times New Roman"/>
          <w:sz w:val="24"/>
          <w:szCs w:val="24"/>
        </w:rPr>
        <w:t xml:space="preserve"> i Prilog 1). Potrebno je naglasiti da postoje razlike u parametrima istih mjera koje se primjenjuju za određenu razinu obnove, u smislu ostvarenja postotne energetske i troškovne uštede, kao i specifičnog iznosa investicije.</w:t>
      </w:r>
      <w:r w:rsidR="00AC5AC8" w:rsidRPr="009C52C4">
        <w:rPr>
          <w:rFonts w:ascii="Times New Roman" w:hAnsi="Times New Roman" w:cs="Times New Roman"/>
          <w:sz w:val="24"/>
          <w:szCs w:val="24"/>
        </w:rPr>
        <w:br w:type="page"/>
      </w:r>
    </w:p>
    <w:p w14:paraId="07DC0003" w14:textId="6A3B3C01" w:rsidR="006730B1" w:rsidRPr="009C52C4" w:rsidRDefault="006730B1" w:rsidP="006730B1">
      <w:pPr>
        <w:pStyle w:val="Caption"/>
        <w:rPr>
          <w:rFonts w:ascii="Times New Roman" w:hAnsi="Times New Roman" w:cs="Times New Roman"/>
          <w:sz w:val="24"/>
          <w:szCs w:val="24"/>
        </w:rPr>
      </w:pPr>
      <w:bookmarkStart w:id="128" w:name="h.2zbgiuw" w:colFirst="0" w:colLast="0"/>
      <w:bookmarkStart w:id="129" w:name="_Ref483404220"/>
      <w:bookmarkStart w:id="130" w:name="_Toc2681318"/>
      <w:bookmarkEnd w:id="128"/>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bookmarkEnd w:id="129"/>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Mjere EnU i OIE za različite kategorije zgrada koje će se razmatrati za moguće modele obnove zgrada</w:t>
      </w:r>
      <w:bookmarkEnd w:id="130"/>
    </w:p>
    <w:tbl>
      <w:tblPr>
        <w:tblStyle w:val="TableGrid1"/>
        <w:tblW w:w="9184" w:type="dxa"/>
        <w:tblLayout w:type="fixed"/>
        <w:tblLook w:val="04A0" w:firstRow="1" w:lastRow="0" w:firstColumn="1" w:lastColumn="0" w:noHBand="0" w:noVBand="1"/>
      </w:tblPr>
      <w:tblGrid>
        <w:gridCol w:w="3655"/>
        <w:gridCol w:w="394"/>
        <w:gridCol w:w="394"/>
        <w:gridCol w:w="394"/>
        <w:gridCol w:w="395"/>
        <w:gridCol w:w="394"/>
        <w:gridCol w:w="394"/>
        <w:gridCol w:w="394"/>
        <w:gridCol w:w="395"/>
        <w:gridCol w:w="394"/>
        <w:gridCol w:w="394"/>
        <w:gridCol w:w="394"/>
        <w:gridCol w:w="395"/>
        <w:gridCol w:w="394"/>
        <w:gridCol w:w="394"/>
        <w:gridCol w:w="10"/>
      </w:tblGrid>
      <w:tr w:rsidR="00634901" w:rsidRPr="009C52C4" w14:paraId="4FA19D14" w14:textId="77777777" w:rsidTr="00A26C32">
        <w:trPr>
          <w:trHeight w:val="268"/>
        </w:trPr>
        <w:tc>
          <w:tcPr>
            <w:tcW w:w="3655" w:type="dxa"/>
            <w:tcBorders>
              <w:bottom w:val="single" w:sz="4" w:space="0" w:color="auto"/>
            </w:tcBorders>
          </w:tcPr>
          <w:p w14:paraId="1DF922E6" w14:textId="77777777" w:rsidR="00634901" w:rsidRPr="009C52C4" w:rsidRDefault="00634901" w:rsidP="00634901">
            <w:pPr>
              <w:rPr>
                <w:rFonts w:ascii="Times New Roman" w:hAnsi="Times New Roman"/>
                <w:sz w:val="24"/>
                <w:szCs w:val="24"/>
              </w:rPr>
            </w:pPr>
          </w:p>
        </w:tc>
        <w:tc>
          <w:tcPr>
            <w:tcW w:w="5529" w:type="dxa"/>
            <w:gridSpan w:val="15"/>
            <w:tcBorders>
              <w:bottom w:val="single" w:sz="4" w:space="0" w:color="auto"/>
            </w:tcBorders>
          </w:tcPr>
          <w:p w14:paraId="79BC80AE"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Redni broj mjere</w:t>
            </w:r>
          </w:p>
        </w:tc>
      </w:tr>
      <w:tr w:rsidR="00634901" w:rsidRPr="009C52C4" w14:paraId="035B87A5" w14:textId="77777777" w:rsidTr="00A26C32">
        <w:trPr>
          <w:gridAfter w:val="1"/>
          <w:wAfter w:w="10" w:type="dxa"/>
          <w:trHeight w:val="551"/>
        </w:trPr>
        <w:tc>
          <w:tcPr>
            <w:tcW w:w="3655" w:type="dxa"/>
            <w:tcBorders>
              <w:bottom w:val="single" w:sz="4" w:space="0" w:color="auto"/>
            </w:tcBorders>
            <w:vAlign w:val="center"/>
          </w:tcPr>
          <w:p w14:paraId="0613EA80"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Kategorija zgrada</w:t>
            </w:r>
          </w:p>
        </w:tc>
        <w:tc>
          <w:tcPr>
            <w:tcW w:w="394" w:type="dxa"/>
            <w:tcBorders>
              <w:bottom w:val="single" w:sz="4" w:space="0" w:color="auto"/>
            </w:tcBorders>
            <w:vAlign w:val="center"/>
          </w:tcPr>
          <w:p w14:paraId="4517E8F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0</w:t>
            </w:r>
          </w:p>
        </w:tc>
        <w:tc>
          <w:tcPr>
            <w:tcW w:w="394" w:type="dxa"/>
            <w:tcBorders>
              <w:bottom w:val="single" w:sz="4" w:space="0" w:color="auto"/>
            </w:tcBorders>
            <w:vAlign w:val="center"/>
          </w:tcPr>
          <w:p w14:paraId="415256D4"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1</w:t>
            </w:r>
          </w:p>
        </w:tc>
        <w:tc>
          <w:tcPr>
            <w:tcW w:w="394" w:type="dxa"/>
            <w:tcBorders>
              <w:bottom w:val="single" w:sz="4" w:space="0" w:color="auto"/>
            </w:tcBorders>
            <w:vAlign w:val="center"/>
          </w:tcPr>
          <w:p w14:paraId="0ED9D4D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2</w:t>
            </w:r>
          </w:p>
        </w:tc>
        <w:tc>
          <w:tcPr>
            <w:tcW w:w="395" w:type="dxa"/>
            <w:tcBorders>
              <w:bottom w:val="single" w:sz="4" w:space="0" w:color="auto"/>
            </w:tcBorders>
            <w:vAlign w:val="center"/>
          </w:tcPr>
          <w:p w14:paraId="55C6FD1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3</w:t>
            </w:r>
          </w:p>
        </w:tc>
        <w:tc>
          <w:tcPr>
            <w:tcW w:w="394" w:type="dxa"/>
            <w:tcBorders>
              <w:bottom w:val="single" w:sz="4" w:space="0" w:color="auto"/>
            </w:tcBorders>
            <w:vAlign w:val="center"/>
          </w:tcPr>
          <w:p w14:paraId="4DE7618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4</w:t>
            </w:r>
          </w:p>
        </w:tc>
        <w:tc>
          <w:tcPr>
            <w:tcW w:w="394" w:type="dxa"/>
            <w:tcBorders>
              <w:bottom w:val="single" w:sz="4" w:space="0" w:color="auto"/>
            </w:tcBorders>
            <w:vAlign w:val="center"/>
          </w:tcPr>
          <w:p w14:paraId="40951E2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5</w:t>
            </w:r>
          </w:p>
        </w:tc>
        <w:tc>
          <w:tcPr>
            <w:tcW w:w="394" w:type="dxa"/>
            <w:tcBorders>
              <w:bottom w:val="single" w:sz="4" w:space="0" w:color="auto"/>
            </w:tcBorders>
            <w:vAlign w:val="center"/>
          </w:tcPr>
          <w:p w14:paraId="33B3B602"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6</w:t>
            </w:r>
          </w:p>
        </w:tc>
        <w:tc>
          <w:tcPr>
            <w:tcW w:w="395" w:type="dxa"/>
            <w:tcBorders>
              <w:bottom w:val="single" w:sz="4" w:space="0" w:color="auto"/>
            </w:tcBorders>
            <w:vAlign w:val="center"/>
          </w:tcPr>
          <w:p w14:paraId="105A48C4"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7</w:t>
            </w:r>
          </w:p>
        </w:tc>
        <w:tc>
          <w:tcPr>
            <w:tcW w:w="394" w:type="dxa"/>
            <w:tcBorders>
              <w:bottom w:val="single" w:sz="4" w:space="0" w:color="auto"/>
            </w:tcBorders>
            <w:vAlign w:val="center"/>
          </w:tcPr>
          <w:p w14:paraId="72A6391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8</w:t>
            </w:r>
          </w:p>
        </w:tc>
        <w:tc>
          <w:tcPr>
            <w:tcW w:w="394" w:type="dxa"/>
            <w:tcBorders>
              <w:bottom w:val="single" w:sz="4" w:space="0" w:color="auto"/>
            </w:tcBorders>
            <w:vAlign w:val="center"/>
          </w:tcPr>
          <w:p w14:paraId="6DE9999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9</w:t>
            </w:r>
          </w:p>
        </w:tc>
        <w:tc>
          <w:tcPr>
            <w:tcW w:w="394" w:type="dxa"/>
            <w:tcBorders>
              <w:bottom w:val="single" w:sz="4" w:space="0" w:color="auto"/>
            </w:tcBorders>
            <w:vAlign w:val="center"/>
          </w:tcPr>
          <w:p w14:paraId="35B665DD"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10</w:t>
            </w:r>
          </w:p>
        </w:tc>
        <w:tc>
          <w:tcPr>
            <w:tcW w:w="395" w:type="dxa"/>
            <w:tcBorders>
              <w:bottom w:val="single" w:sz="4" w:space="0" w:color="auto"/>
            </w:tcBorders>
            <w:vAlign w:val="center"/>
          </w:tcPr>
          <w:p w14:paraId="316E9CB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11</w:t>
            </w:r>
          </w:p>
        </w:tc>
        <w:tc>
          <w:tcPr>
            <w:tcW w:w="394" w:type="dxa"/>
            <w:tcBorders>
              <w:bottom w:val="single" w:sz="4" w:space="0" w:color="auto"/>
            </w:tcBorders>
            <w:vAlign w:val="center"/>
          </w:tcPr>
          <w:p w14:paraId="7B7DD7C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12</w:t>
            </w:r>
          </w:p>
        </w:tc>
        <w:tc>
          <w:tcPr>
            <w:tcW w:w="394" w:type="dxa"/>
            <w:tcBorders>
              <w:bottom w:val="single" w:sz="4" w:space="0" w:color="auto"/>
            </w:tcBorders>
            <w:vAlign w:val="center"/>
          </w:tcPr>
          <w:p w14:paraId="25CB4D2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13</w:t>
            </w:r>
          </w:p>
        </w:tc>
      </w:tr>
      <w:tr w:rsidR="00634901" w:rsidRPr="009C52C4" w14:paraId="74B90F0C" w14:textId="77777777" w:rsidTr="00A26C32">
        <w:trPr>
          <w:trHeight w:val="268"/>
        </w:trPr>
        <w:tc>
          <w:tcPr>
            <w:tcW w:w="9184" w:type="dxa"/>
            <w:gridSpan w:val="16"/>
            <w:shd w:val="clear" w:color="auto" w:fill="EAF1DD" w:themeFill="accent3" w:themeFillTint="33"/>
            <w:vAlign w:val="center"/>
          </w:tcPr>
          <w:p w14:paraId="696F7A70" w14:textId="77777777" w:rsidR="00634901" w:rsidRPr="009C52C4" w:rsidRDefault="00634901" w:rsidP="00634901">
            <w:pPr>
              <w:rPr>
                <w:rFonts w:ascii="Times New Roman" w:hAnsi="Times New Roman"/>
                <w:sz w:val="24"/>
                <w:szCs w:val="24"/>
              </w:rPr>
            </w:pPr>
            <w:r w:rsidRPr="009C52C4">
              <w:rPr>
                <w:rFonts w:ascii="Times New Roman" w:hAnsi="Times New Roman"/>
                <w:b/>
                <w:sz w:val="24"/>
                <w:szCs w:val="24"/>
              </w:rPr>
              <w:t>Zgrade javne namjene</w:t>
            </w:r>
          </w:p>
        </w:tc>
      </w:tr>
      <w:tr w:rsidR="00565E8D" w:rsidRPr="009C52C4" w14:paraId="1B6F874C" w14:textId="77777777" w:rsidTr="00A26C32">
        <w:trPr>
          <w:gridAfter w:val="1"/>
          <w:wAfter w:w="10" w:type="dxa"/>
          <w:trHeight w:val="536"/>
        </w:trPr>
        <w:tc>
          <w:tcPr>
            <w:tcW w:w="3655" w:type="dxa"/>
            <w:vAlign w:val="center"/>
          </w:tcPr>
          <w:p w14:paraId="7A8342EE" w14:textId="77777777" w:rsidR="00565E8D" w:rsidRPr="009C52C4" w:rsidRDefault="00565E8D" w:rsidP="00634901">
            <w:pPr>
              <w:rPr>
                <w:rFonts w:ascii="Times New Roman" w:hAnsi="Times New Roman"/>
                <w:sz w:val="24"/>
                <w:szCs w:val="24"/>
              </w:rPr>
            </w:pPr>
            <w:r w:rsidRPr="009C52C4">
              <w:rPr>
                <w:rFonts w:ascii="Times New Roman" w:hAnsi="Times New Roman"/>
                <w:sz w:val="24"/>
                <w:szCs w:val="24"/>
              </w:rPr>
              <w:t xml:space="preserve">Obnova zgrade prema minimalnim zahtjevima </w:t>
            </w:r>
            <w:r w:rsidRPr="009C52C4">
              <w:rPr>
                <w:rFonts w:ascii="Times New Roman" w:hAnsi="Times New Roman"/>
                <w:i/>
                <w:sz w:val="24"/>
                <w:szCs w:val="24"/>
              </w:rPr>
              <w:t>Tehničkog propisa</w:t>
            </w:r>
          </w:p>
        </w:tc>
        <w:tc>
          <w:tcPr>
            <w:tcW w:w="394" w:type="dxa"/>
            <w:shd w:val="clear" w:color="auto" w:fill="C2D69B" w:themeFill="accent3" w:themeFillTint="99"/>
            <w:vAlign w:val="center"/>
          </w:tcPr>
          <w:p w14:paraId="18ABA32B"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B9F6218"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C82F268"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469A68C1"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CB1A063"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562BB80" w14:textId="77777777" w:rsidR="00565E8D" w:rsidRPr="009C52C4" w:rsidRDefault="00565E8D"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27BFE68F"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7FCB340"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47553AE"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417DAE2"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234CB12"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E5F4980"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893BD25"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46CC01D8" w14:textId="77777777" w:rsidR="00565E8D" w:rsidRPr="009C52C4" w:rsidRDefault="00565E8D" w:rsidP="00634901">
            <w:pPr>
              <w:jc w:val="center"/>
              <w:rPr>
                <w:rFonts w:ascii="Times New Roman" w:hAnsi="Times New Roman"/>
                <w:sz w:val="24"/>
                <w:szCs w:val="24"/>
              </w:rPr>
            </w:pPr>
          </w:p>
        </w:tc>
      </w:tr>
      <w:tr w:rsidR="00565E8D" w:rsidRPr="009C52C4" w14:paraId="4803129C" w14:textId="77777777" w:rsidTr="00A26C32">
        <w:trPr>
          <w:gridAfter w:val="1"/>
          <w:wAfter w:w="10" w:type="dxa"/>
          <w:trHeight w:val="820"/>
        </w:trPr>
        <w:tc>
          <w:tcPr>
            <w:tcW w:w="3655" w:type="dxa"/>
            <w:vAlign w:val="center"/>
          </w:tcPr>
          <w:p w14:paraId="20A6418F" w14:textId="77777777" w:rsidR="00565E8D" w:rsidRPr="009C52C4" w:rsidRDefault="00565E8D" w:rsidP="00634901">
            <w:pPr>
              <w:rPr>
                <w:rFonts w:ascii="Times New Roman" w:hAnsi="Times New Roman"/>
                <w:sz w:val="24"/>
                <w:szCs w:val="24"/>
              </w:rPr>
            </w:pPr>
            <w:r w:rsidRPr="009C52C4">
              <w:rPr>
                <w:rFonts w:ascii="Times New Roman" w:hAnsi="Times New Roman"/>
                <w:sz w:val="24"/>
                <w:szCs w:val="24"/>
              </w:rPr>
              <w:t xml:space="preserve">Obnova zgrade prema zahtjevima </w:t>
            </w:r>
            <w:r w:rsidRPr="009C52C4">
              <w:rPr>
                <w:rFonts w:ascii="Times New Roman" w:hAnsi="Times New Roman"/>
                <w:i/>
                <w:sz w:val="24"/>
                <w:szCs w:val="24"/>
              </w:rPr>
              <w:t>Tehničkog propisa</w:t>
            </w:r>
            <w:r w:rsidRPr="009C52C4">
              <w:rPr>
                <w:rFonts w:ascii="Times New Roman" w:hAnsi="Times New Roman"/>
                <w:sz w:val="24"/>
                <w:szCs w:val="24"/>
              </w:rPr>
              <w:t xml:space="preserve"> za veliku rekonstrukciju</w:t>
            </w:r>
          </w:p>
        </w:tc>
        <w:tc>
          <w:tcPr>
            <w:tcW w:w="394" w:type="dxa"/>
            <w:shd w:val="clear" w:color="auto" w:fill="C2D69B" w:themeFill="accent3" w:themeFillTint="99"/>
            <w:vAlign w:val="center"/>
          </w:tcPr>
          <w:p w14:paraId="252DC159"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75F4839"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D62AB31"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5D4E53A3"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0EB7014"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03377D45" w14:textId="77777777" w:rsidR="00565E8D" w:rsidRPr="009C52C4" w:rsidRDefault="00565E8D"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02CD76EB"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F57C75A"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5879818"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DE278BB"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43E77A0"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5B7FF8DC"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77AF18D" w14:textId="77777777" w:rsidR="00565E8D" w:rsidRPr="009C52C4" w:rsidRDefault="00565E8D"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2291A210" w14:textId="77777777" w:rsidR="00565E8D" w:rsidRPr="009C52C4" w:rsidRDefault="00565E8D" w:rsidP="00634901">
            <w:pPr>
              <w:jc w:val="center"/>
              <w:rPr>
                <w:rFonts w:ascii="Times New Roman" w:hAnsi="Times New Roman"/>
                <w:sz w:val="24"/>
                <w:szCs w:val="24"/>
              </w:rPr>
            </w:pPr>
          </w:p>
        </w:tc>
      </w:tr>
      <w:tr w:rsidR="00634901" w:rsidRPr="009C52C4" w14:paraId="4FC72C9C" w14:textId="77777777" w:rsidTr="00A26C32">
        <w:trPr>
          <w:gridAfter w:val="1"/>
          <w:wAfter w:w="10" w:type="dxa"/>
          <w:trHeight w:val="536"/>
        </w:trPr>
        <w:tc>
          <w:tcPr>
            <w:tcW w:w="3655" w:type="dxa"/>
            <w:vAlign w:val="center"/>
          </w:tcPr>
          <w:p w14:paraId="38EDB97F"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nZEB standardu gradnje</w:t>
            </w:r>
          </w:p>
        </w:tc>
        <w:tc>
          <w:tcPr>
            <w:tcW w:w="394" w:type="dxa"/>
            <w:shd w:val="clear" w:color="auto" w:fill="C2D69B" w:themeFill="accent3" w:themeFillTint="99"/>
            <w:vAlign w:val="center"/>
          </w:tcPr>
          <w:p w14:paraId="12F21A4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CE6C0CD"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B7F5C5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006C77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F1F8AF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28239C19"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7928278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482161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D96C12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B7DE47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7B29282"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8AB40A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CDBD55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0894CE9E" w14:textId="77777777" w:rsidR="00634901" w:rsidRPr="009C52C4" w:rsidRDefault="00634901" w:rsidP="00634901">
            <w:pPr>
              <w:jc w:val="center"/>
              <w:rPr>
                <w:rFonts w:ascii="Times New Roman" w:hAnsi="Times New Roman"/>
                <w:sz w:val="24"/>
                <w:szCs w:val="24"/>
              </w:rPr>
            </w:pPr>
          </w:p>
        </w:tc>
      </w:tr>
      <w:tr w:rsidR="00634901" w:rsidRPr="009C52C4" w14:paraId="24A3B230" w14:textId="77777777" w:rsidTr="00A26C32">
        <w:trPr>
          <w:gridAfter w:val="1"/>
          <w:wAfter w:w="10" w:type="dxa"/>
          <w:trHeight w:val="551"/>
        </w:trPr>
        <w:tc>
          <w:tcPr>
            <w:tcW w:w="3655" w:type="dxa"/>
            <w:vAlign w:val="center"/>
          </w:tcPr>
          <w:p w14:paraId="270732C4"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pasivne gradnje</w:t>
            </w:r>
          </w:p>
        </w:tc>
        <w:tc>
          <w:tcPr>
            <w:tcW w:w="394" w:type="dxa"/>
            <w:shd w:val="clear" w:color="auto" w:fill="C2D69B" w:themeFill="accent3" w:themeFillTint="99"/>
            <w:vAlign w:val="center"/>
          </w:tcPr>
          <w:p w14:paraId="5A3357B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EB9623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8F8FA0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29C745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7284EB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6060173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168AD3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7CA155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EA05AF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8CF1C8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C85927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B501CD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B6F66D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vAlign w:val="center"/>
          </w:tcPr>
          <w:p w14:paraId="1BC9B7FA" w14:textId="77777777" w:rsidR="00634901" w:rsidRPr="009C52C4" w:rsidRDefault="00634901" w:rsidP="00634901">
            <w:pPr>
              <w:jc w:val="center"/>
              <w:rPr>
                <w:rFonts w:ascii="Times New Roman" w:hAnsi="Times New Roman"/>
                <w:sz w:val="24"/>
                <w:szCs w:val="24"/>
              </w:rPr>
            </w:pPr>
          </w:p>
        </w:tc>
      </w:tr>
      <w:tr w:rsidR="00634901" w:rsidRPr="009C52C4" w14:paraId="09E33EE3" w14:textId="77777777" w:rsidTr="00A26C32">
        <w:trPr>
          <w:gridAfter w:val="1"/>
          <w:wAfter w:w="10" w:type="dxa"/>
          <w:trHeight w:val="536"/>
        </w:trPr>
        <w:tc>
          <w:tcPr>
            <w:tcW w:w="3655" w:type="dxa"/>
            <w:tcBorders>
              <w:bottom w:val="single" w:sz="4" w:space="0" w:color="auto"/>
            </w:tcBorders>
            <w:vAlign w:val="center"/>
          </w:tcPr>
          <w:p w14:paraId="36F7900A"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aktivne gradnje</w:t>
            </w:r>
          </w:p>
        </w:tc>
        <w:tc>
          <w:tcPr>
            <w:tcW w:w="394" w:type="dxa"/>
            <w:tcBorders>
              <w:bottom w:val="single" w:sz="4" w:space="0" w:color="auto"/>
            </w:tcBorders>
            <w:shd w:val="clear" w:color="auto" w:fill="C2D69B" w:themeFill="accent3" w:themeFillTint="99"/>
            <w:vAlign w:val="center"/>
          </w:tcPr>
          <w:p w14:paraId="525D96BD"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B6CB8F5"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500893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409CC05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88BE71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A2DC94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9908EA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59BD63E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1AF4AF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CDBFE0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EAE69D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41FB95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015529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D0D14C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r>
      <w:tr w:rsidR="00634901" w:rsidRPr="009C52C4" w14:paraId="34CA151F" w14:textId="77777777" w:rsidTr="00A26C32">
        <w:trPr>
          <w:trHeight w:val="268"/>
        </w:trPr>
        <w:tc>
          <w:tcPr>
            <w:tcW w:w="9184" w:type="dxa"/>
            <w:gridSpan w:val="16"/>
            <w:shd w:val="clear" w:color="auto" w:fill="EAF1DD" w:themeFill="accent3" w:themeFillTint="33"/>
            <w:vAlign w:val="center"/>
          </w:tcPr>
          <w:p w14:paraId="6DF03FBD" w14:textId="77777777" w:rsidR="00634901" w:rsidRPr="009C52C4" w:rsidRDefault="00634901" w:rsidP="00634901">
            <w:pPr>
              <w:rPr>
                <w:rFonts w:ascii="Times New Roman" w:hAnsi="Times New Roman"/>
                <w:sz w:val="24"/>
                <w:szCs w:val="24"/>
              </w:rPr>
            </w:pPr>
            <w:r w:rsidRPr="009C52C4">
              <w:rPr>
                <w:rFonts w:ascii="Times New Roman" w:hAnsi="Times New Roman"/>
                <w:b/>
                <w:sz w:val="24"/>
                <w:szCs w:val="24"/>
              </w:rPr>
              <w:t>Zgrade komercijalne namjene</w:t>
            </w:r>
          </w:p>
        </w:tc>
      </w:tr>
      <w:tr w:rsidR="00565E8D" w:rsidRPr="009C52C4" w14:paraId="7D802DA2" w14:textId="77777777" w:rsidTr="00A26C32">
        <w:trPr>
          <w:gridAfter w:val="1"/>
          <w:wAfter w:w="10" w:type="dxa"/>
          <w:trHeight w:val="551"/>
        </w:trPr>
        <w:tc>
          <w:tcPr>
            <w:tcW w:w="3655" w:type="dxa"/>
            <w:vAlign w:val="center"/>
          </w:tcPr>
          <w:p w14:paraId="4799099F"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minimalnim zahtjevima </w:t>
            </w:r>
            <w:r w:rsidRPr="009C52C4">
              <w:rPr>
                <w:rFonts w:ascii="Times New Roman" w:hAnsi="Times New Roman"/>
                <w:i/>
                <w:sz w:val="24"/>
                <w:szCs w:val="24"/>
              </w:rPr>
              <w:t>Tehničkog propisa</w:t>
            </w:r>
          </w:p>
        </w:tc>
        <w:tc>
          <w:tcPr>
            <w:tcW w:w="394" w:type="dxa"/>
            <w:shd w:val="clear" w:color="auto" w:fill="C2D69B" w:themeFill="accent3" w:themeFillTint="99"/>
            <w:vAlign w:val="center"/>
          </w:tcPr>
          <w:p w14:paraId="5512FDE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4A3DC1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D3F2F4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6C059739"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D875D2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D0D1C99"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3B0EF05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47276D3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E95732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66F846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F36FFB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4BFDE8D3"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6D9C77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4BC5C76B" w14:textId="77777777" w:rsidR="00565E8D" w:rsidRPr="009C52C4" w:rsidRDefault="00565E8D" w:rsidP="002071B7">
            <w:pPr>
              <w:jc w:val="center"/>
              <w:rPr>
                <w:rFonts w:ascii="Times New Roman" w:hAnsi="Times New Roman"/>
                <w:sz w:val="24"/>
                <w:szCs w:val="24"/>
              </w:rPr>
            </w:pPr>
          </w:p>
        </w:tc>
      </w:tr>
      <w:tr w:rsidR="00565E8D" w:rsidRPr="009C52C4" w14:paraId="7E7A72DD" w14:textId="77777777" w:rsidTr="00A26C32">
        <w:trPr>
          <w:gridAfter w:val="1"/>
          <w:wAfter w:w="10" w:type="dxa"/>
          <w:trHeight w:val="820"/>
        </w:trPr>
        <w:tc>
          <w:tcPr>
            <w:tcW w:w="3655" w:type="dxa"/>
            <w:vAlign w:val="center"/>
          </w:tcPr>
          <w:p w14:paraId="396390EB"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zahtjevima </w:t>
            </w:r>
            <w:r w:rsidRPr="009C52C4">
              <w:rPr>
                <w:rFonts w:ascii="Times New Roman" w:hAnsi="Times New Roman"/>
                <w:i/>
                <w:sz w:val="24"/>
                <w:szCs w:val="24"/>
              </w:rPr>
              <w:t>Tehničkog propisa</w:t>
            </w:r>
            <w:r w:rsidRPr="009C52C4">
              <w:rPr>
                <w:rFonts w:ascii="Times New Roman" w:hAnsi="Times New Roman"/>
                <w:sz w:val="24"/>
                <w:szCs w:val="24"/>
              </w:rPr>
              <w:t xml:space="preserve"> za veliku rekonstrukciju</w:t>
            </w:r>
          </w:p>
        </w:tc>
        <w:tc>
          <w:tcPr>
            <w:tcW w:w="394" w:type="dxa"/>
            <w:shd w:val="clear" w:color="auto" w:fill="C2D69B" w:themeFill="accent3" w:themeFillTint="99"/>
            <w:vAlign w:val="center"/>
          </w:tcPr>
          <w:p w14:paraId="3BBB64F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F1CDFD3"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1C36CC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131FBCB"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595763B"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1E5AD52"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5336EE3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D5E96FD"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0D3594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714CBE4"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3DEAE2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0CC4DE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8D5B684"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79C7BBBE" w14:textId="77777777" w:rsidR="00565E8D" w:rsidRPr="009C52C4" w:rsidRDefault="00565E8D" w:rsidP="002071B7">
            <w:pPr>
              <w:jc w:val="center"/>
              <w:rPr>
                <w:rFonts w:ascii="Times New Roman" w:hAnsi="Times New Roman"/>
                <w:sz w:val="24"/>
                <w:szCs w:val="24"/>
              </w:rPr>
            </w:pPr>
          </w:p>
        </w:tc>
      </w:tr>
      <w:tr w:rsidR="00634901" w:rsidRPr="009C52C4" w14:paraId="2030AFC7" w14:textId="77777777" w:rsidTr="00A26C32">
        <w:trPr>
          <w:gridAfter w:val="1"/>
          <w:wAfter w:w="10" w:type="dxa"/>
          <w:trHeight w:val="536"/>
        </w:trPr>
        <w:tc>
          <w:tcPr>
            <w:tcW w:w="3655" w:type="dxa"/>
            <w:vAlign w:val="center"/>
          </w:tcPr>
          <w:p w14:paraId="3A957874"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nZEB standardu gradnje</w:t>
            </w:r>
          </w:p>
        </w:tc>
        <w:tc>
          <w:tcPr>
            <w:tcW w:w="394" w:type="dxa"/>
            <w:shd w:val="clear" w:color="auto" w:fill="C2D69B" w:themeFill="accent3" w:themeFillTint="99"/>
            <w:vAlign w:val="center"/>
          </w:tcPr>
          <w:p w14:paraId="133AD0D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26A5B4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53CEC8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D4B4EFD"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D22061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4D518E4E"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4CCD2545"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51BA73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0EB29C5"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8AE525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299C365"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FE9FA32"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E30176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5FF5A1C" w14:textId="77777777" w:rsidR="00634901" w:rsidRPr="009C52C4" w:rsidRDefault="00634901" w:rsidP="00634901">
            <w:pPr>
              <w:jc w:val="center"/>
              <w:rPr>
                <w:rFonts w:ascii="Times New Roman" w:hAnsi="Times New Roman"/>
                <w:sz w:val="24"/>
                <w:szCs w:val="24"/>
              </w:rPr>
            </w:pPr>
          </w:p>
        </w:tc>
      </w:tr>
      <w:tr w:rsidR="00634901" w:rsidRPr="009C52C4" w14:paraId="4A82F765" w14:textId="77777777" w:rsidTr="00A26C32">
        <w:trPr>
          <w:gridAfter w:val="1"/>
          <w:wAfter w:w="10" w:type="dxa"/>
          <w:trHeight w:val="551"/>
        </w:trPr>
        <w:tc>
          <w:tcPr>
            <w:tcW w:w="3655" w:type="dxa"/>
            <w:vAlign w:val="center"/>
          </w:tcPr>
          <w:p w14:paraId="06D42356"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pasivne gradnje</w:t>
            </w:r>
          </w:p>
        </w:tc>
        <w:tc>
          <w:tcPr>
            <w:tcW w:w="394" w:type="dxa"/>
            <w:shd w:val="clear" w:color="auto" w:fill="C2D69B" w:themeFill="accent3" w:themeFillTint="99"/>
            <w:vAlign w:val="center"/>
          </w:tcPr>
          <w:p w14:paraId="135C5D02"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968C322"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312CC0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232A698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D20693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4F70594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41D3EB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0FC21D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3AA03E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C64788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56FC08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B3B03A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208892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vAlign w:val="center"/>
          </w:tcPr>
          <w:p w14:paraId="7C830C7C" w14:textId="77777777" w:rsidR="00634901" w:rsidRPr="009C52C4" w:rsidRDefault="00634901" w:rsidP="00634901">
            <w:pPr>
              <w:jc w:val="center"/>
              <w:rPr>
                <w:rFonts w:ascii="Times New Roman" w:hAnsi="Times New Roman"/>
                <w:sz w:val="24"/>
                <w:szCs w:val="24"/>
              </w:rPr>
            </w:pPr>
          </w:p>
        </w:tc>
      </w:tr>
      <w:tr w:rsidR="00634901" w:rsidRPr="009C52C4" w14:paraId="1FF9C31B" w14:textId="77777777" w:rsidTr="00A26C32">
        <w:trPr>
          <w:gridAfter w:val="1"/>
          <w:wAfter w:w="10" w:type="dxa"/>
          <w:trHeight w:val="536"/>
        </w:trPr>
        <w:tc>
          <w:tcPr>
            <w:tcW w:w="3655" w:type="dxa"/>
            <w:tcBorders>
              <w:bottom w:val="single" w:sz="4" w:space="0" w:color="auto"/>
            </w:tcBorders>
            <w:vAlign w:val="center"/>
          </w:tcPr>
          <w:p w14:paraId="1D59AB65"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aktivne gradnje</w:t>
            </w:r>
          </w:p>
        </w:tc>
        <w:tc>
          <w:tcPr>
            <w:tcW w:w="394" w:type="dxa"/>
            <w:tcBorders>
              <w:bottom w:val="single" w:sz="4" w:space="0" w:color="auto"/>
            </w:tcBorders>
            <w:shd w:val="clear" w:color="auto" w:fill="C2D69B" w:themeFill="accent3" w:themeFillTint="99"/>
            <w:vAlign w:val="center"/>
          </w:tcPr>
          <w:p w14:paraId="1411030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BAE0C5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F1D506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2A2931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1F226C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1C7AF7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4A2262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5B9F083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F0B734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55285A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9DEDC5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5B7F31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CF65C9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24B5B4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r>
      <w:tr w:rsidR="00634901" w:rsidRPr="009C52C4" w14:paraId="6E6C5F95" w14:textId="77777777" w:rsidTr="00A26C32">
        <w:trPr>
          <w:trHeight w:val="268"/>
        </w:trPr>
        <w:tc>
          <w:tcPr>
            <w:tcW w:w="9184" w:type="dxa"/>
            <w:gridSpan w:val="16"/>
            <w:shd w:val="clear" w:color="auto" w:fill="EAF1DD" w:themeFill="accent3" w:themeFillTint="33"/>
            <w:vAlign w:val="center"/>
          </w:tcPr>
          <w:p w14:paraId="4BBEB681" w14:textId="77777777" w:rsidR="00634901" w:rsidRPr="009C52C4" w:rsidRDefault="00634901" w:rsidP="00634901">
            <w:pPr>
              <w:rPr>
                <w:rFonts w:ascii="Times New Roman" w:hAnsi="Times New Roman"/>
                <w:sz w:val="24"/>
                <w:szCs w:val="24"/>
              </w:rPr>
            </w:pPr>
            <w:r w:rsidRPr="009C52C4">
              <w:rPr>
                <w:rFonts w:ascii="Times New Roman" w:hAnsi="Times New Roman"/>
                <w:b/>
                <w:sz w:val="24"/>
                <w:szCs w:val="24"/>
              </w:rPr>
              <w:t>Višestambene zgrade</w:t>
            </w:r>
          </w:p>
        </w:tc>
      </w:tr>
      <w:tr w:rsidR="00565E8D" w:rsidRPr="009C52C4" w14:paraId="27B9DD7F" w14:textId="77777777" w:rsidTr="00A26C32">
        <w:trPr>
          <w:gridAfter w:val="1"/>
          <w:wAfter w:w="10" w:type="dxa"/>
          <w:trHeight w:val="551"/>
        </w:trPr>
        <w:tc>
          <w:tcPr>
            <w:tcW w:w="3655" w:type="dxa"/>
            <w:vAlign w:val="center"/>
          </w:tcPr>
          <w:p w14:paraId="4E9BC679"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minimalnim zahtjevima </w:t>
            </w:r>
            <w:r w:rsidRPr="009C52C4">
              <w:rPr>
                <w:rFonts w:ascii="Times New Roman" w:hAnsi="Times New Roman"/>
                <w:i/>
                <w:sz w:val="24"/>
                <w:szCs w:val="24"/>
              </w:rPr>
              <w:t>Tehničkog propisa</w:t>
            </w:r>
          </w:p>
        </w:tc>
        <w:tc>
          <w:tcPr>
            <w:tcW w:w="394" w:type="dxa"/>
            <w:shd w:val="clear" w:color="auto" w:fill="C2D69B" w:themeFill="accent3" w:themeFillTint="99"/>
            <w:vAlign w:val="center"/>
          </w:tcPr>
          <w:p w14:paraId="4919E6CC"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1B80DF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CFC2E6C"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418DA47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1EBB27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7A2ADEE3"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59B5B24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2A8666A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011DDCDC"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71AE8783"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4F91912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auto"/>
            <w:vAlign w:val="center"/>
          </w:tcPr>
          <w:p w14:paraId="1E7A14A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4C7821B0"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7B14BE8" w14:textId="77777777" w:rsidR="00565E8D" w:rsidRPr="009C52C4" w:rsidRDefault="00565E8D" w:rsidP="002071B7">
            <w:pPr>
              <w:jc w:val="center"/>
              <w:rPr>
                <w:rFonts w:ascii="Times New Roman" w:hAnsi="Times New Roman"/>
                <w:sz w:val="24"/>
                <w:szCs w:val="24"/>
              </w:rPr>
            </w:pPr>
          </w:p>
        </w:tc>
      </w:tr>
      <w:tr w:rsidR="00565E8D" w:rsidRPr="009C52C4" w14:paraId="64AE3C72" w14:textId="77777777" w:rsidTr="00A26C32">
        <w:trPr>
          <w:gridAfter w:val="1"/>
          <w:wAfter w:w="10" w:type="dxa"/>
          <w:trHeight w:val="805"/>
        </w:trPr>
        <w:tc>
          <w:tcPr>
            <w:tcW w:w="3655" w:type="dxa"/>
            <w:vAlign w:val="center"/>
          </w:tcPr>
          <w:p w14:paraId="20731F4A"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zahtjevima </w:t>
            </w:r>
            <w:r w:rsidRPr="009C52C4">
              <w:rPr>
                <w:rFonts w:ascii="Times New Roman" w:hAnsi="Times New Roman"/>
                <w:i/>
                <w:sz w:val="24"/>
                <w:szCs w:val="24"/>
              </w:rPr>
              <w:t>Tehničkog propisa</w:t>
            </w:r>
            <w:r w:rsidRPr="009C52C4">
              <w:rPr>
                <w:rFonts w:ascii="Times New Roman" w:hAnsi="Times New Roman"/>
                <w:sz w:val="24"/>
                <w:szCs w:val="24"/>
              </w:rPr>
              <w:t xml:space="preserve"> za veliku rekonstrukciju</w:t>
            </w:r>
          </w:p>
        </w:tc>
        <w:tc>
          <w:tcPr>
            <w:tcW w:w="394" w:type="dxa"/>
            <w:shd w:val="clear" w:color="auto" w:fill="C2D69B" w:themeFill="accent3" w:themeFillTint="99"/>
            <w:vAlign w:val="center"/>
          </w:tcPr>
          <w:p w14:paraId="7B841EA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6995639"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38D82E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6E49D1C"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B6BFAE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788692C4"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5DB9516D"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2975B5E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23D09A64"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14BFB3A4"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195B4EBB"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auto"/>
            <w:vAlign w:val="center"/>
          </w:tcPr>
          <w:p w14:paraId="5EE81F9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auto"/>
            <w:vAlign w:val="center"/>
          </w:tcPr>
          <w:p w14:paraId="0A10E4E3"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452983B3" w14:textId="77777777" w:rsidR="00565E8D" w:rsidRPr="009C52C4" w:rsidRDefault="00565E8D" w:rsidP="002071B7">
            <w:pPr>
              <w:jc w:val="center"/>
              <w:rPr>
                <w:rFonts w:ascii="Times New Roman" w:hAnsi="Times New Roman"/>
                <w:sz w:val="24"/>
                <w:szCs w:val="24"/>
              </w:rPr>
            </w:pPr>
          </w:p>
        </w:tc>
      </w:tr>
      <w:tr w:rsidR="00634901" w:rsidRPr="009C52C4" w14:paraId="0AE64552" w14:textId="77777777" w:rsidTr="00A26C32">
        <w:trPr>
          <w:gridAfter w:val="1"/>
          <w:wAfter w:w="10" w:type="dxa"/>
          <w:trHeight w:val="551"/>
        </w:trPr>
        <w:tc>
          <w:tcPr>
            <w:tcW w:w="3655" w:type="dxa"/>
            <w:vAlign w:val="center"/>
          </w:tcPr>
          <w:p w14:paraId="0B51DA21"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nZEB standardu gradnje</w:t>
            </w:r>
          </w:p>
        </w:tc>
        <w:tc>
          <w:tcPr>
            <w:tcW w:w="394" w:type="dxa"/>
            <w:shd w:val="clear" w:color="auto" w:fill="C2D69B" w:themeFill="accent3" w:themeFillTint="99"/>
            <w:vAlign w:val="center"/>
          </w:tcPr>
          <w:p w14:paraId="5E29C90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410FAD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A74BF6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0BDFF1C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94BB9A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591D613A"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5727E50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08B350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vAlign w:val="center"/>
          </w:tcPr>
          <w:p w14:paraId="677D6F48"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auto"/>
            <w:vAlign w:val="center"/>
          </w:tcPr>
          <w:p w14:paraId="52230A07"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auto"/>
            <w:vAlign w:val="center"/>
          </w:tcPr>
          <w:p w14:paraId="25448576" w14:textId="77777777" w:rsidR="00634901" w:rsidRPr="009C52C4" w:rsidRDefault="00634901" w:rsidP="00634901">
            <w:pPr>
              <w:jc w:val="center"/>
              <w:rPr>
                <w:rFonts w:ascii="Times New Roman" w:hAnsi="Times New Roman"/>
                <w:sz w:val="24"/>
                <w:szCs w:val="24"/>
              </w:rPr>
            </w:pPr>
          </w:p>
        </w:tc>
        <w:tc>
          <w:tcPr>
            <w:tcW w:w="395" w:type="dxa"/>
            <w:tcBorders>
              <w:bottom w:val="single" w:sz="4" w:space="0" w:color="auto"/>
            </w:tcBorders>
            <w:shd w:val="clear" w:color="auto" w:fill="auto"/>
            <w:vAlign w:val="center"/>
          </w:tcPr>
          <w:p w14:paraId="50C0CE51" w14:textId="77777777" w:rsidR="00634901" w:rsidRPr="009C52C4" w:rsidRDefault="00634901" w:rsidP="00634901">
            <w:pPr>
              <w:jc w:val="center"/>
              <w:rPr>
                <w:rFonts w:ascii="Times New Roman" w:hAnsi="Times New Roman"/>
                <w:sz w:val="24"/>
                <w:szCs w:val="24"/>
              </w:rPr>
            </w:pPr>
          </w:p>
        </w:tc>
        <w:tc>
          <w:tcPr>
            <w:tcW w:w="394" w:type="dxa"/>
            <w:vAlign w:val="center"/>
          </w:tcPr>
          <w:p w14:paraId="0FB7DA16" w14:textId="77777777" w:rsidR="00634901" w:rsidRPr="009C52C4" w:rsidRDefault="00634901" w:rsidP="00634901">
            <w:pPr>
              <w:jc w:val="center"/>
              <w:rPr>
                <w:rFonts w:ascii="Times New Roman" w:hAnsi="Times New Roman"/>
                <w:sz w:val="24"/>
                <w:szCs w:val="24"/>
              </w:rPr>
            </w:pPr>
          </w:p>
        </w:tc>
        <w:tc>
          <w:tcPr>
            <w:tcW w:w="394" w:type="dxa"/>
            <w:vAlign w:val="center"/>
          </w:tcPr>
          <w:p w14:paraId="1B363D9C" w14:textId="77777777" w:rsidR="00634901" w:rsidRPr="009C52C4" w:rsidRDefault="00634901" w:rsidP="00634901">
            <w:pPr>
              <w:jc w:val="center"/>
              <w:rPr>
                <w:rFonts w:ascii="Times New Roman" w:hAnsi="Times New Roman"/>
                <w:sz w:val="24"/>
                <w:szCs w:val="24"/>
              </w:rPr>
            </w:pPr>
          </w:p>
        </w:tc>
      </w:tr>
      <w:tr w:rsidR="00634901" w:rsidRPr="009C52C4" w14:paraId="30B48836" w14:textId="77777777" w:rsidTr="00A26C32">
        <w:trPr>
          <w:gridAfter w:val="1"/>
          <w:wAfter w:w="10" w:type="dxa"/>
          <w:trHeight w:val="536"/>
        </w:trPr>
        <w:tc>
          <w:tcPr>
            <w:tcW w:w="3655" w:type="dxa"/>
            <w:vAlign w:val="center"/>
          </w:tcPr>
          <w:p w14:paraId="3EFDFE61"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pasivne gradnje</w:t>
            </w:r>
          </w:p>
        </w:tc>
        <w:tc>
          <w:tcPr>
            <w:tcW w:w="394" w:type="dxa"/>
            <w:shd w:val="clear" w:color="auto" w:fill="C2D69B" w:themeFill="accent3" w:themeFillTint="99"/>
            <w:vAlign w:val="center"/>
          </w:tcPr>
          <w:p w14:paraId="3114B3C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242437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32237F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2C8F5F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291C8C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6DD1047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6A41DB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6114FE5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vAlign w:val="center"/>
          </w:tcPr>
          <w:p w14:paraId="7D6F7D3E"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vAlign w:val="center"/>
          </w:tcPr>
          <w:p w14:paraId="3924A198"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vAlign w:val="center"/>
          </w:tcPr>
          <w:p w14:paraId="4D58179D" w14:textId="77777777" w:rsidR="00634901" w:rsidRPr="009C52C4" w:rsidRDefault="00634901" w:rsidP="00634901">
            <w:pPr>
              <w:jc w:val="center"/>
              <w:rPr>
                <w:rFonts w:ascii="Times New Roman" w:hAnsi="Times New Roman"/>
                <w:sz w:val="24"/>
                <w:szCs w:val="24"/>
              </w:rPr>
            </w:pPr>
          </w:p>
        </w:tc>
        <w:tc>
          <w:tcPr>
            <w:tcW w:w="395" w:type="dxa"/>
            <w:tcBorders>
              <w:bottom w:val="single" w:sz="4" w:space="0" w:color="auto"/>
            </w:tcBorders>
            <w:vAlign w:val="center"/>
          </w:tcPr>
          <w:p w14:paraId="478EC23E" w14:textId="77777777" w:rsidR="00634901" w:rsidRPr="009C52C4" w:rsidRDefault="00634901" w:rsidP="00634901">
            <w:pPr>
              <w:jc w:val="center"/>
              <w:rPr>
                <w:rFonts w:ascii="Times New Roman" w:hAnsi="Times New Roman"/>
                <w:sz w:val="24"/>
                <w:szCs w:val="24"/>
              </w:rPr>
            </w:pPr>
          </w:p>
        </w:tc>
        <w:tc>
          <w:tcPr>
            <w:tcW w:w="394" w:type="dxa"/>
            <w:vAlign w:val="center"/>
          </w:tcPr>
          <w:p w14:paraId="4ABEA70E" w14:textId="77777777" w:rsidR="00634901" w:rsidRPr="009C52C4" w:rsidRDefault="00634901" w:rsidP="00634901">
            <w:pPr>
              <w:jc w:val="center"/>
              <w:rPr>
                <w:rFonts w:ascii="Times New Roman" w:hAnsi="Times New Roman"/>
                <w:sz w:val="24"/>
                <w:szCs w:val="24"/>
              </w:rPr>
            </w:pPr>
          </w:p>
        </w:tc>
        <w:tc>
          <w:tcPr>
            <w:tcW w:w="394" w:type="dxa"/>
            <w:vAlign w:val="center"/>
          </w:tcPr>
          <w:p w14:paraId="0F1B9875" w14:textId="77777777" w:rsidR="00634901" w:rsidRPr="009C52C4" w:rsidRDefault="00634901" w:rsidP="00634901">
            <w:pPr>
              <w:jc w:val="center"/>
              <w:rPr>
                <w:rFonts w:ascii="Times New Roman" w:hAnsi="Times New Roman"/>
                <w:sz w:val="24"/>
                <w:szCs w:val="24"/>
              </w:rPr>
            </w:pPr>
          </w:p>
        </w:tc>
      </w:tr>
      <w:tr w:rsidR="00634901" w:rsidRPr="009C52C4" w14:paraId="0AAC9A6E" w14:textId="77777777" w:rsidTr="00A26C32">
        <w:trPr>
          <w:trHeight w:val="268"/>
        </w:trPr>
        <w:tc>
          <w:tcPr>
            <w:tcW w:w="9184" w:type="dxa"/>
            <w:gridSpan w:val="16"/>
            <w:shd w:val="clear" w:color="auto" w:fill="EAF1DD" w:themeFill="accent3" w:themeFillTint="33"/>
            <w:vAlign w:val="center"/>
          </w:tcPr>
          <w:p w14:paraId="18DA52F1" w14:textId="77777777" w:rsidR="00634901" w:rsidRPr="009C52C4" w:rsidRDefault="00634901" w:rsidP="00634901">
            <w:pPr>
              <w:rPr>
                <w:rFonts w:ascii="Times New Roman" w:hAnsi="Times New Roman"/>
                <w:sz w:val="24"/>
                <w:szCs w:val="24"/>
              </w:rPr>
            </w:pPr>
            <w:r w:rsidRPr="009C52C4">
              <w:rPr>
                <w:rFonts w:ascii="Times New Roman" w:hAnsi="Times New Roman"/>
                <w:b/>
                <w:sz w:val="24"/>
                <w:szCs w:val="24"/>
              </w:rPr>
              <w:t>Obiteljske kuće</w:t>
            </w:r>
          </w:p>
        </w:tc>
      </w:tr>
      <w:tr w:rsidR="00565E8D" w:rsidRPr="009C52C4" w14:paraId="7AB1F7A8" w14:textId="77777777" w:rsidTr="00A26C32">
        <w:trPr>
          <w:gridAfter w:val="1"/>
          <w:wAfter w:w="10" w:type="dxa"/>
          <w:trHeight w:val="551"/>
        </w:trPr>
        <w:tc>
          <w:tcPr>
            <w:tcW w:w="3655" w:type="dxa"/>
            <w:vAlign w:val="center"/>
          </w:tcPr>
          <w:p w14:paraId="1AAD2E41"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minimalnim zahtjevima </w:t>
            </w:r>
            <w:r w:rsidRPr="009C52C4">
              <w:rPr>
                <w:rFonts w:ascii="Times New Roman" w:hAnsi="Times New Roman"/>
                <w:i/>
                <w:sz w:val="24"/>
                <w:szCs w:val="24"/>
              </w:rPr>
              <w:t>Tehničkog propisa</w:t>
            </w:r>
          </w:p>
        </w:tc>
        <w:tc>
          <w:tcPr>
            <w:tcW w:w="394" w:type="dxa"/>
            <w:shd w:val="clear" w:color="auto" w:fill="C2D69B" w:themeFill="accent3" w:themeFillTint="99"/>
            <w:vAlign w:val="center"/>
          </w:tcPr>
          <w:p w14:paraId="00D42140"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50C391D"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0F7F57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639092B2"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C58A6E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3007EFDE"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3B89EC7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54182B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D41BA5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D969D75"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623630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FFFFFF" w:themeFill="background1"/>
            <w:vAlign w:val="center"/>
          </w:tcPr>
          <w:p w14:paraId="369ACEF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FFFFFF" w:themeFill="background1"/>
            <w:vAlign w:val="center"/>
          </w:tcPr>
          <w:p w14:paraId="6C03E31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6C2C4DCF" w14:textId="77777777" w:rsidR="00565E8D" w:rsidRPr="009C52C4" w:rsidRDefault="00565E8D" w:rsidP="002071B7">
            <w:pPr>
              <w:jc w:val="center"/>
              <w:rPr>
                <w:rFonts w:ascii="Times New Roman" w:hAnsi="Times New Roman"/>
                <w:sz w:val="24"/>
                <w:szCs w:val="24"/>
              </w:rPr>
            </w:pPr>
          </w:p>
        </w:tc>
      </w:tr>
      <w:tr w:rsidR="00565E8D" w:rsidRPr="009C52C4" w14:paraId="0CDA1689" w14:textId="77777777" w:rsidTr="00A26C32">
        <w:trPr>
          <w:gridAfter w:val="1"/>
          <w:wAfter w:w="10" w:type="dxa"/>
          <w:trHeight w:val="820"/>
        </w:trPr>
        <w:tc>
          <w:tcPr>
            <w:tcW w:w="3655" w:type="dxa"/>
            <w:vAlign w:val="center"/>
          </w:tcPr>
          <w:p w14:paraId="1876D2CF" w14:textId="77777777" w:rsidR="00565E8D" w:rsidRPr="009C52C4" w:rsidRDefault="00565E8D" w:rsidP="002071B7">
            <w:pPr>
              <w:rPr>
                <w:rFonts w:ascii="Times New Roman" w:hAnsi="Times New Roman"/>
                <w:sz w:val="24"/>
                <w:szCs w:val="24"/>
              </w:rPr>
            </w:pPr>
            <w:r w:rsidRPr="009C52C4">
              <w:rPr>
                <w:rFonts w:ascii="Times New Roman" w:hAnsi="Times New Roman"/>
                <w:sz w:val="24"/>
                <w:szCs w:val="24"/>
              </w:rPr>
              <w:t xml:space="preserve">Obnova zgrade prema zahtjevima </w:t>
            </w:r>
            <w:r w:rsidRPr="009C52C4">
              <w:rPr>
                <w:rFonts w:ascii="Times New Roman" w:hAnsi="Times New Roman"/>
                <w:i/>
                <w:sz w:val="24"/>
                <w:szCs w:val="24"/>
              </w:rPr>
              <w:t>Tehničkog propisa</w:t>
            </w:r>
            <w:r w:rsidRPr="009C52C4">
              <w:rPr>
                <w:rFonts w:ascii="Times New Roman" w:hAnsi="Times New Roman"/>
                <w:sz w:val="24"/>
                <w:szCs w:val="24"/>
              </w:rPr>
              <w:t xml:space="preserve"> za veliku rekonstrukciju</w:t>
            </w:r>
          </w:p>
        </w:tc>
        <w:tc>
          <w:tcPr>
            <w:tcW w:w="394" w:type="dxa"/>
            <w:shd w:val="clear" w:color="auto" w:fill="C2D69B" w:themeFill="accent3" w:themeFillTint="99"/>
            <w:vAlign w:val="center"/>
          </w:tcPr>
          <w:p w14:paraId="2181FC88"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2C1C321"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E6774AC"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51F3C05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F271CAF"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6A840CD6" w14:textId="77777777" w:rsidR="00565E8D" w:rsidRPr="009C52C4" w:rsidRDefault="00565E8D" w:rsidP="002071B7">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66ED4E79"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38E864E7"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673CFCE"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3F7DC2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36C6184A"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FFFFFF" w:themeFill="background1"/>
            <w:vAlign w:val="center"/>
          </w:tcPr>
          <w:p w14:paraId="689EB156"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FFFFFF" w:themeFill="background1"/>
            <w:vAlign w:val="center"/>
          </w:tcPr>
          <w:p w14:paraId="2B062402" w14:textId="77777777" w:rsidR="00565E8D" w:rsidRPr="009C52C4" w:rsidRDefault="00565E8D" w:rsidP="002071B7">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25A02C8E" w14:textId="77777777" w:rsidR="00565E8D" w:rsidRPr="009C52C4" w:rsidRDefault="00565E8D" w:rsidP="002071B7">
            <w:pPr>
              <w:jc w:val="center"/>
              <w:rPr>
                <w:rFonts w:ascii="Times New Roman" w:hAnsi="Times New Roman"/>
                <w:sz w:val="24"/>
                <w:szCs w:val="24"/>
              </w:rPr>
            </w:pPr>
          </w:p>
        </w:tc>
      </w:tr>
      <w:tr w:rsidR="00634901" w:rsidRPr="009C52C4" w14:paraId="10481E9F" w14:textId="77777777" w:rsidTr="00A26C32">
        <w:trPr>
          <w:gridAfter w:val="1"/>
          <w:wAfter w:w="10" w:type="dxa"/>
          <w:trHeight w:val="536"/>
        </w:trPr>
        <w:tc>
          <w:tcPr>
            <w:tcW w:w="3655" w:type="dxa"/>
            <w:vAlign w:val="center"/>
          </w:tcPr>
          <w:p w14:paraId="259F3C2B"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nZEB standardu gradnje</w:t>
            </w:r>
          </w:p>
        </w:tc>
        <w:tc>
          <w:tcPr>
            <w:tcW w:w="394" w:type="dxa"/>
            <w:shd w:val="clear" w:color="auto" w:fill="C2D69B" w:themeFill="accent3" w:themeFillTint="99"/>
            <w:vAlign w:val="center"/>
          </w:tcPr>
          <w:p w14:paraId="68D4128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2AD7241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1A8FC9B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193B3386"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F3469A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vAlign w:val="center"/>
          </w:tcPr>
          <w:p w14:paraId="68C7156B"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C2D69B" w:themeFill="accent3" w:themeFillTint="99"/>
            <w:vAlign w:val="center"/>
          </w:tcPr>
          <w:p w14:paraId="388DA893"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2D88EF2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794BD6F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D8321E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AB8F9D4"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auto"/>
            <w:vAlign w:val="center"/>
          </w:tcPr>
          <w:p w14:paraId="0555228B"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auto"/>
            <w:vAlign w:val="center"/>
          </w:tcPr>
          <w:p w14:paraId="2E1AF0E2"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vAlign w:val="center"/>
          </w:tcPr>
          <w:p w14:paraId="5A97E564" w14:textId="77777777" w:rsidR="00634901" w:rsidRPr="009C52C4" w:rsidRDefault="00634901" w:rsidP="00634901">
            <w:pPr>
              <w:jc w:val="center"/>
              <w:rPr>
                <w:rFonts w:ascii="Times New Roman" w:hAnsi="Times New Roman"/>
                <w:sz w:val="24"/>
                <w:szCs w:val="24"/>
              </w:rPr>
            </w:pPr>
          </w:p>
        </w:tc>
      </w:tr>
      <w:tr w:rsidR="00634901" w:rsidRPr="009C52C4" w14:paraId="4F5C7A0F" w14:textId="77777777" w:rsidTr="00A26C32">
        <w:trPr>
          <w:gridAfter w:val="1"/>
          <w:wAfter w:w="10" w:type="dxa"/>
          <w:trHeight w:val="536"/>
        </w:trPr>
        <w:tc>
          <w:tcPr>
            <w:tcW w:w="3655" w:type="dxa"/>
            <w:vAlign w:val="center"/>
          </w:tcPr>
          <w:p w14:paraId="39CB85D1"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Obnova zgrade prema standardu pasivne gradnje</w:t>
            </w:r>
          </w:p>
        </w:tc>
        <w:tc>
          <w:tcPr>
            <w:tcW w:w="394" w:type="dxa"/>
            <w:shd w:val="clear" w:color="auto" w:fill="C2D69B" w:themeFill="accent3" w:themeFillTint="99"/>
            <w:vAlign w:val="center"/>
          </w:tcPr>
          <w:p w14:paraId="4FD9646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1EE06E7"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038BC84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248FF98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42649BCA"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28B975D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DEB852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C2D69B" w:themeFill="accent3" w:themeFillTint="99"/>
            <w:vAlign w:val="center"/>
          </w:tcPr>
          <w:p w14:paraId="7F615D79"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54BDF78"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5AC8E9D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tcBorders>
              <w:bottom w:val="single" w:sz="4" w:space="0" w:color="auto"/>
            </w:tcBorders>
            <w:shd w:val="clear" w:color="auto" w:fill="C2D69B" w:themeFill="accent3" w:themeFillTint="99"/>
            <w:vAlign w:val="center"/>
          </w:tcPr>
          <w:p w14:paraId="68BECDFE"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tcBorders>
              <w:bottom w:val="single" w:sz="4" w:space="0" w:color="auto"/>
            </w:tcBorders>
            <w:shd w:val="clear" w:color="auto" w:fill="auto"/>
            <w:vAlign w:val="center"/>
          </w:tcPr>
          <w:p w14:paraId="7AF165A8" w14:textId="77777777" w:rsidR="00634901" w:rsidRPr="009C52C4" w:rsidRDefault="00634901" w:rsidP="00634901">
            <w:pPr>
              <w:jc w:val="center"/>
              <w:rPr>
                <w:rFonts w:ascii="Times New Roman" w:hAnsi="Times New Roman"/>
                <w:sz w:val="24"/>
                <w:szCs w:val="24"/>
              </w:rPr>
            </w:pPr>
          </w:p>
        </w:tc>
        <w:tc>
          <w:tcPr>
            <w:tcW w:w="394" w:type="dxa"/>
            <w:tcBorders>
              <w:bottom w:val="single" w:sz="4" w:space="0" w:color="auto"/>
            </w:tcBorders>
            <w:shd w:val="clear" w:color="auto" w:fill="auto"/>
            <w:vAlign w:val="center"/>
          </w:tcPr>
          <w:p w14:paraId="19D5DCD0" w14:textId="77777777" w:rsidR="00634901" w:rsidRPr="009C52C4" w:rsidRDefault="00634901" w:rsidP="00634901">
            <w:pPr>
              <w:jc w:val="center"/>
              <w:rPr>
                <w:rFonts w:ascii="Times New Roman" w:hAnsi="Times New Roman"/>
                <w:sz w:val="24"/>
                <w:szCs w:val="24"/>
              </w:rPr>
            </w:pPr>
          </w:p>
        </w:tc>
        <w:tc>
          <w:tcPr>
            <w:tcW w:w="394" w:type="dxa"/>
            <w:vAlign w:val="center"/>
          </w:tcPr>
          <w:p w14:paraId="3C84D7ED" w14:textId="77777777" w:rsidR="00634901" w:rsidRPr="009C52C4" w:rsidRDefault="00634901" w:rsidP="00634901">
            <w:pPr>
              <w:jc w:val="center"/>
              <w:rPr>
                <w:rFonts w:ascii="Times New Roman" w:hAnsi="Times New Roman"/>
                <w:sz w:val="24"/>
                <w:szCs w:val="24"/>
              </w:rPr>
            </w:pPr>
          </w:p>
        </w:tc>
      </w:tr>
      <w:tr w:rsidR="00634901" w:rsidRPr="009C52C4" w14:paraId="2BF7D8D8" w14:textId="77777777" w:rsidTr="00A26C32">
        <w:trPr>
          <w:gridAfter w:val="1"/>
          <w:wAfter w:w="10" w:type="dxa"/>
          <w:trHeight w:val="536"/>
        </w:trPr>
        <w:tc>
          <w:tcPr>
            <w:tcW w:w="3655" w:type="dxa"/>
            <w:vAlign w:val="center"/>
          </w:tcPr>
          <w:p w14:paraId="29C37EEC"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lastRenderedPageBreak/>
              <w:t>Obnova zgrade prema standardu aktivne gradnje</w:t>
            </w:r>
          </w:p>
        </w:tc>
        <w:tc>
          <w:tcPr>
            <w:tcW w:w="394" w:type="dxa"/>
            <w:shd w:val="clear" w:color="auto" w:fill="C2D69B" w:themeFill="accent3" w:themeFillTint="99"/>
            <w:vAlign w:val="center"/>
          </w:tcPr>
          <w:p w14:paraId="4BE8E5A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40BFCB54"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18E8392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shd w:val="clear" w:color="auto" w:fill="C2D69B" w:themeFill="accent3" w:themeFillTint="99"/>
            <w:vAlign w:val="center"/>
          </w:tcPr>
          <w:p w14:paraId="1FE616C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59051A00"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33C34AF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661ECA54"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shd w:val="clear" w:color="auto" w:fill="C2D69B" w:themeFill="accent3" w:themeFillTint="99"/>
            <w:vAlign w:val="center"/>
          </w:tcPr>
          <w:p w14:paraId="4644DCFF"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5ADEEC5D"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351EA1CC"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4" w:type="dxa"/>
            <w:shd w:val="clear" w:color="auto" w:fill="C2D69B" w:themeFill="accent3" w:themeFillTint="99"/>
            <w:vAlign w:val="center"/>
          </w:tcPr>
          <w:p w14:paraId="7331EC2B"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c>
          <w:tcPr>
            <w:tcW w:w="395" w:type="dxa"/>
            <w:shd w:val="clear" w:color="auto" w:fill="auto"/>
            <w:vAlign w:val="center"/>
          </w:tcPr>
          <w:p w14:paraId="5D3E1E63" w14:textId="77777777" w:rsidR="00634901" w:rsidRPr="009C52C4" w:rsidRDefault="00634901" w:rsidP="00634901">
            <w:pPr>
              <w:jc w:val="center"/>
              <w:rPr>
                <w:rFonts w:ascii="Times New Roman" w:hAnsi="Times New Roman"/>
                <w:sz w:val="24"/>
                <w:szCs w:val="24"/>
              </w:rPr>
            </w:pPr>
          </w:p>
        </w:tc>
        <w:tc>
          <w:tcPr>
            <w:tcW w:w="394" w:type="dxa"/>
            <w:shd w:val="clear" w:color="auto" w:fill="auto"/>
            <w:vAlign w:val="center"/>
          </w:tcPr>
          <w:p w14:paraId="3320A40B" w14:textId="77777777" w:rsidR="00634901" w:rsidRPr="009C52C4" w:rsidRDefault="00634901" w:rsidP="00634901">
            <w:pPr>
              <w:jc w:val="center"/>
              <w:rPr>
                <w:rFonts w:ascii="Times New Roman" w:hAnsi="Times New Roman"/>
                <w:sz w:val="24"/>
                <w:szCs w:val="24"/>
              </w:rPr>
            </w:pPr>
          </w:p>
        </w:tc>
        <w:tc>
          <w:tcPr>
            <w:tcW w:w="394" w:type="dxa"/>
            <w:shd w:val="clear" w:color="auto" w:fill="C2D69B" w:themeFill="accent3" w:themeFillTint="99"/>
            <w:vAlign w:val="center"/>
          </w:tcPr>
          <w:p w14:paraId="0641F8F1" w14:textId="77777777" w:rsidR="00634901" w:rsidRPr="009C52C4" w:rsidRDefault="00634901" w:rsidP="00634901">
            <w:pPr>
              <w:jc w:val="center"/>
              <w:rPr>
                <w:rFonts w:ascii="Times New Roman" w:hAnsi="Times New Roman"/>
                <w:sz w:val="24"/>
                <w:szCs w:val="24"/>
              </w:rPr>
            </w:pPr>
            <w:r w:rsidRPr="009C52C4">
              <w:rPr>
                <w:rFonts w:ascii="Times New Roman" w:hAnsi="Times New Roman"/>
                <w:sz w:val="24"/>
                <w:szCs w:val="24"/>
              </w:rPr>
              <w:t>x</w:t>
            </w:r>
          </w:p>
        </w:tc>
      </w:tr>
      <w:tr w:rsidR="00634901" w:rsidRPr="009C52C4" w14:paraId="565455FC" w14:textId="77777777" w:rsidTr="00A26C32">
        <w:trPr>
          <w:trHeight w:val="283"/>
        </w:trPr>
        <w:tc>
          <w:tcPr>
            <w:tcW w:w="9184" w:type="dxa"/>
            <w:gridSpan w:val="16"/>
            <w:vAlign w:val="center"/>
          </w:tcPr>
          <w:p w14:paraId="5E469F26"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0: Energetski pregled zgrade i uspostava sustavnog gospodarenja energijom</w:t>
            </w:r>
          </w:p>
        </w:tc>
      </w:tr>
      <w:tr w:rsidR="00634901" w:rsidRPr="009C52C4" w14:paraId="7925A6B5" w14:textId="77777777" w:rsidTr="00A26C32">
        <w:trPr>
          <w:trHeight w:val="268"/>
        </w:trPr>
        <w:tc>
          <w:tcPr>
            <w:tcW w:w="9184" w:type="dxa"/>
            <w:gridSpan w:val="16"/>
            <w:vAlign w:val="center"/>
          </w:tcPr>
          <w:p w14:paraId="7C7394F0"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1: Zamjena vanjske stolarije</w:t>
            </w:r>
          </w:p>
        </w:tc>
      </w:tr>
      <w:tr w:rsidR="00634901" w:rsidRPr="009C52C4" w14:paraId="2F823883" w14:textId="77777777" w:rsidTr="00A26C32">
        <w:trPr>
          <w:trHeight w:val="268"/>
        </w:trPr>
        <w:tc>
          <w:tcPr>
            <w:tcW w:w="9184" w:type="dxa"/>
            <w:gridSpan w:val="16"/>
            <w:vAlign w:val="center"/>
          </w:tcPr>
          <w:p w14:paraId="347960C5"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2: Ugradnja toplinske izolacije vanjskih zidova</w:t>
            </w:r>
          </w:p>
        </w:tc>
      </w:tr>
      <w:tr w:rsidR="00634901" w:rsidRPr="009C52C4" w14:paraId="01320F98" w14:textId="77777777" w:rsidTr="00A26C32">
        <w:trPr>
          <w:trHeight w:val="268"/>
        </w:trPr>
        <w:tc>
          <w:tcPr>
            <w:tcW w:w="9184" w:type="dxa"/>
            <w:gridSpan w:val="16"/>
            <w:vAlign w:val="center"/>
          </w:tcPr>
          <w:p w14:paraId="31BED65A"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3: Ugradnja toplinske izolacije krova/stropa prema negrijanom potkrovlju</w:t>
            </w:r>
          </w:p>
        </w:tc>
      </w:tr>
      <w:tr w:rsidR="00634901" w:rsidRPr="009C52C4" w14:paraId="505F84A8" w14:textId="77777777" w:rsidTr="00A26C32">
        <w:trPr>
          <w:trHeight w:val="268"/>
        </w:trPr>
        <w:tc>
          <w:tcPr>
            <w:tcW w:w="9184" w:type="dxa"/>
            <w:gridSpan w:val="16"/>
            <w:vAlign w:val="center"/>
          </w:tcPr>
          <w:p w14:paraId="788CE5F9"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4: Ugradnja toplinske izolacije stropa prema negrijanom podrumu (ukoliko postoji)</w:t>
            </w:r>
          </w:p>
        </w:tc>
      </w:tr>
      <w:tr w:rsidR="00634901" w:rsidRPr="009C52C4" w14:paraId="3A603726" w14:textId="77777777" w:rsidTr="00A26C32">
        <w:trPr>
          <w:trHeight w:val="268"/>
        </w:trPr>
        <w:tc>
          <w:tcPr>
            <w:tcW w:w="9184" w:type="dxa"/>
            <w:gridSpan w:val="16"/>
            <w:vAlign w:val="center"/>
          </w:tcPr>
          <w:p w14:paraId="7B710881"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5: Ugradnja toplinske izolacije poda na tlu</w:t>
            </w:r>
          </w:p>
        </w:tc>
      </w:tr>
      <w:tr w:rsidR="00634901" w:rsidRPr="009C52C4" w14:paraId="156E5EDD" w14:textId="77777777" w:rsidTr="00A26C32">
        <w:trPr>
          <w:trHeight w:val="268"/>
        </w:trPr>
        <w:tc>
          <w:tcPr>
            <w:tcW w:w="9184" w:type="dxa"/>
            <w:gridSpan w:val="16"/>
            <w:vAlign w:val="center"/>
          </w:tcPr>
          <w:p w14:paraId="18307111"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6: Centralizacija i modernizacija sustava grijanja uz, ukoliko je moguće, primjenu OIE</w:t>
            </w:r>
          </w:p>
        </w:tc>
      </w:tr>
      <w:tr w:rsidR="00634901" w:rsidRPr="009C52C4" w14:paraId="38758A6D" w14:textId="77777777" w:rsidTr="00A26C32">
        <w:trPr>
          <w:trHeight w:val="268"/>
        </w:trPr>
        <w:tc>
          <w:tcPr>
            <w:tcW w:w="9184" w:type="dxa"/>
            <w:gridSpan w:val="16"/>
            <w:vAlign w:val="center"/>
          </w:tcPr>
          <w:p w14:paraId="4639F4EA" w14:textId="77777777" w:rsidR="00634901" w:rsidRPr="009C52C4" w:rsidRDefault="00634901" w:rsidP="00634901">
            <w:pPr>
              <w:rPr>
                <w:rFonts w:ascii="Times New Roman" w:hAnsi="Times New Roman"/>
                <w:sz w:val="24"/>
                <w:szCs w:val="24"/>
              </w:rPr>
            </w:pPr>
            <w:r w:rsidRPr="009C52C4">
              <w:rPr>
                <w:rFonts w:ascii="Times New Roman" w:hAnsi="Times New Roman"/>
                <w:sz w:val="24"/>
                <w:szCs w:val="24"/>
              </w:rPr>
              <w:t>Mjera 7: Centralizacija i modernizacija sustava hlađenja i ventilacije uz primjenu OIE</w:t>
            </w:r>
          </w:p>
        </w:tc>
      </w:tr>
      <w:tr w:rsidR="00634901" w:rsidRPr="009C52C4" w14:paraId="5B4482B4" w14:textId="77777777" w:rsidTr="00A26C32">
        <w:trPr>
          <w:trHeight w:val="268"/>
        </w:trPr>
        <w:tc>
          <w:tcPr>
            <w:tcW w:w="9184" w:type="dxa"/>
            <w:gridSpan w:val="16"/>
            <w:vAlign w:val="center"/>
          </w:tcPr>
          <w:p w14:paraId="104C5423" w14:textId="77777777" w:rsidR="00634901" w:rsidRPr="009C52C4" w:rsidRDefault="00634901" w:rsidP="00634901">
            <w:pPr>
              <w:rPr>
                <w:rFonts w:ascii="Times New Roman" w:hAnsi="Times New Roman"/>
                <w:sz w:val="24"/>
                <w:szCs w:val="24"/>
              </w:rPr>
            </w:pPr>
            <w:r w:rsidRPr="009C52C4">
              <w:rPr>
                <w:rFonts w:ascii="Times New Roman" w:hAnsi="Times New Roman"/>
                <w:bCs/>
                <w:sz w:val="24"/>
                <w:szCs w:val="24"/>
              </w:rPr>
              <w:t>Mjera 8: Centralizacija i modernizacija sustava pripreme potrošne tople vode uz primjenu OIE</w:t>
            </w:r>
          </w:p>
        </w:tc>
      </w:tr>
      <w:tr w:rsidR="00634901" w:rsidRPr="009C52C4" w14:paraId="1D559A17" w14:textId="77777777" w:rsidTr="00A26C32">
        <w:trPr>
          <w:trHeight w:val="268"/>
        </w:trPr>
        <w:tc>
          <w:tcPr>
            <w:tcW w:w="9184" w:type="dxa"/>
            <w:gridSpan w:val="16"/>
            <w:vAlign w:val="center"/>
          </w:tcPr>
          <w:p w14:paraId="6E5711DF" w14:textId="77777777" w:rsidR="00634901" w:rsidRPr="009C52C4" w:rsidRDefault="00634901" w:rsidP="00634901">
            <w:pPr>
              <w:rPr>
                <w:rFonts w:ascii="Times New Roman" w:hAnsi="Times New Roman"/>
                <w:bCs/>
                <w:sz w:val="24"/>
                <w:szCs w:val="24"/>
              </w:rPr>
            </w:pPr>
            <w:r w:rsidRPr="009C52C4">
              <w:rPr>
                <w:rFonts w:ascii="Times New Roman" w:hAnsi="Times New Roman"/>
                <w:bCs/>
                <w:sz w:val="24"/>
                <w:szCs w:val="24"/>
              </w:rPr>
              <w:t>Mjera 9: Modernizacija sustava rasvjete</w:t>
            </w:r>
          </w:p>
        </w:tc>
      </w:tr>
      <w:tr w:rsidR="00634901" w:rsidRPr="009C52C4" w14:paraId="78530252" w14:textId="77777777" w:rsidTr="00A26C32">
        <w:trPr>
          <w:trHeight w:val="268"/>
        </w:trPr>
        <w:tc>
          <w:tcPr>
            <w:tcW w:w="9184" w:type="dxa"/>
            <w:gridSpan w:val="16"/>
            <w:vAlign w:val="center"/>
          </w:tcPr>
          <w:p w14:paraId="7805246B" w14:textId="77777777" w:rsidR="00634901" w:rsidRPr="009C52C4" w:rsidRDefault="00634901" w:rsidP="00634901">
            <w:pPr>
              <w:rPr>
                <w:rFonts w:ascii="Times New Roman" w:hAnsi="Times New Roman"/>
                <w:bCs/>
                <w:sz w:val="24"/>
                <w:szCs w:val="24"/>
              </w:rPr>
            </w:pPr>
            <w:r w:rsidRPr="009C52C4">
              <w:rPr>
                <w:rFonts w:ascii="Times New Roman" w:hAnsi="Times New Roman"/>
                <w:bCs/>
                <w:sz w:val="24"/>
                <w:szCs w:val="24"/>
              </w:rPr>
              <w:t>Mjera 10: Smanjenje potrošnje vode</w:t>
            </w:r>
          </w:p>
        </w:tc>
      </w:tr>
      <w:tr w:rsidR="00634901" w:rsidRPr="009C52C4" w14:paraId="738E7CA3" w14:textId="77777777" w:rsidTr="00A26C32">
        <w:trPr>
          <w:trHeight w:val="268"/>
        </w:trPr>
        <w:tc>
          <w:tcPr>
            <w:tcW w:w="9184" w:type="dxa"/>
            <w:gridSpan w:val="16"/>
            <w:vAlign w:val="center"/>
          </w:tcPr>
          <w:p w14:paraId="238D01E5" w14:textId="77777777" w:rsidR="00634901" w:rsidRPr="009C52C4" w:rsidRDefault="00634901" w:rsidP="00634901">
            <w:pPr>
              <w:rPr>
                <w:rFonts w:ascii="Times New Roman" w:hAnsi="Times New Roman"/>
                <w:bCs/>
                <w:sz w:val="24"/>
                <w:szCs w:val="24"/>
              </w:rPr>
            </w:pPr>
            <w:r w:rsidRPr="009C52C4">
              <w:rPr>
                <w:rFonts w:ascii="Times New Roman" w:hAnsi="Times New Roman"/>
                <w:bCs/>
                <w:sz w:val="24"/>
                <w:szCs w:val="24"/>
              </w:rPr>
              <w:t>Mjera 11: Ugradnja centralnog nadzornog i upravljačkog sustava</w:t>
            </w:r>
          </w:p>
        </w:tc>
      </w:tr>
      <w:tr w:rsidR="00634901" w:rsidRPr="009C52C4" w14:paraId="775463EC" w14:textId="77777777" w:rsidTr="00A26C32">
        <w:trPr>
          <w:trHeight w:val="268"/>
        </w:trPr>
        <w:tc>
          <w:tcPr>
            <w:tcW w:w="9184" w:type="dxa"/>
            <w:gridSpan w:val="16"/>
            <w:vAlign w:val="center"/>
          </w:tcPr>
          <w:p w14:paraId="3C50803C" w14:textId="77777777" w:rsidR="00634901" w:rsidRPr="009C52C4" w:rsidRDefault="00634901" w:rsidP="00634901">
            <w:pPr>
              <w:rPr>
                <w:rFonts w:ascii="Times New Roman" w:hAnsi="Times New Roman"/>
                <w:bCs/>
                <w:sz w:val="24"/>
                <w:szCs w:val="24"/>
              </w:rPr>
            </w:pPr>
            <w:r w:rsidRPr="009C52C4">
              <w:rPr>
                <w:rFonts w:ascii="Times New Roman" w:hAnsi="Times New Roman"/>
                <w:bCs/>
                <w:sz w:val="24"/>
                <w:szCs w:val="24"/>
              </w:rPr>
              <w:t>Mjera 12: Ugradnja uređaja za kompenzaciju jalove energije</w:t>
            </w:r>
          </w:p>
        </w:tc>
      </w:tr>
      <w:tr w:rsidR="00634901" w:rsidRPr="009C52C4" w14:paraId="02798914" w14:textId="77777777" w:rsidTr="00A26C32">
        <w:trPr>
          <w:trHeight w:val="268"/>
        </w:trPr>
        <w:tc>
          <w:tcPr>
            <w:tcW w:w="9184" w:type="dxa"/>
            <w:gridSpan w:val="16"/>
            <w:vAlign w:val="center"/>
          </w:tcPr>
          <w:p w14:paraId="7B8A44AD" w14:textId="77777777" w:rsidR="00634901" w:rsidRPr="009C52C4" w:rsidRDefault="00634901" w:rsidP="00634901">
            <w:pPr>
              <w:rPr>
                <w:rFonts w:ascii="Times New Roman" w:hAnsi="Times New Roman"/>
                <w:bCs/>
                <w:sz w:val="24"/>
                <w:szCs w:val="24"/>
              </w:rPr>
            </w:pPr>
            <w:r w:rsidRPr="009C52C4">
              <w:rPr>
                <w:rFonts w:ascii="Times New Roman" w:hAnsi="Times New Roman"/>
                <w:bCs/>
                <w:sz w:val="24"/>
                <w:szCs w:val="24"/>
              </w:rPr>
              <w:t>Mjera 13: Ugradnja fotonaponskih modula za proizvodnju električne energije iz OIE</w:t>
            </w:r>
          </w:p>
        </w:tc>
      </w:tr>
    </w:tbl>
    <w:p w14:paraId="0B8C6ADB"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24EC1BF2" w14:textId="77777777" w:rsidR="00B122B4" w:rsidRPr="009C52C4" w:rsidRDefault="00B122B4">
      <w:pPr>
        <w:rPr>
          <w:rFonts w:ascii="Times New Roman" w:hAnsi="Times New Roman" w:cs="Times New Roman"/>
          <w:sz w:val="24"/>
          <w:szCs w:val="24"/>
        </w:rPr>
      </w:pPr>
    </w:p>
    <w:p w14:paraId="10F8C8DB"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br w:type="page"/>
      </w:r>
    </w:p>
    <w:p w14:paraId="333E3BC2" w14:textId="77777777" w:rsidR="00B122B4" w:rsidRPr="009C52C4" w:rsidRDefault="00F54CC3" w:rsidP="004F09F1">
      <w:pPr>
        <w:pStyle w:val="Heading2"/>
        <w:numPr>
          <w:ilvl w:val="1"/>
          <w:numId w:val="20"/>
        </w:numPr>
        <w:ind w:hanging="719"/>
        <w:rPr>
          <w:rFonts w:ascii="Times New Roman" w:hAnsi="Times New Roman" w:cs="Times New Roman"/>
          <w:sz w:val="24"/>
          <w:szCs w:val="24"/>
        </w:rPr>
      </w:pPr>
      <w:bookmarkStart w:id="131" w:name="h.1egqt2p" w:colFirst="0" w:colLast="0"/>
      <w:bookmarkStart w:id="132" w:name="_Toc3277916"/>
      <w:bookmarkEnd w:id="131"/>
      <w:r w:rsidRPr="009C52C4">
        <w:rPr>
          <w:rFonts w:ascii="Times New Roman" w:hAnsi="Times New Roman" w:cs="Times New Roman"/>
          <w:sz w:val="24"/>
          <w:szCs w:val="24"/>
        </w:rPr>
        <w:lastRenderedPageBreak/>
        <w:t>Utvrđivanje troškovno učinkovitog pristupa obnovi ovisno o kategoriji zgrade i klimatskoj zoni</w:t>
      </w:r>
      <w:bookmarkEnd w:id="132"/>
      <w:r w:rsidRPr="009C52C4">
        <w:rPr>
          <w:rFonts w:ascii="Times New Roman" w:hAnsi="Times New Roman" w:cs="Times New Roman"/>
          <w:sz w:val="24"/>
          <w:szCs w:val="24"/>
        </w:rPr>
        <w:t xml:space="preserve"> </w:t>
      </w:r>
    </w:p>
    <w:p w14:paraId="75875A87" w14:textId="77777777" w:rsidR="00B122B4" w:rsidRPr="009C52C4" w:rsidRDefault="00B122B4">
      <w:pPr>
        <w:rPr>
          <w:rFonts w:ascii="Times New Roman" w:hAnsi="Times New Roman" w:cs="Times New Roman"/>
          <w:sz w:val="24"/>
          <w:szCs w:val="24"/>
        </w:rPr>
      </w:pPr>
    </w:p>
    <w:p w14:paraId="64A8D574" w14:textId="5BB51533" w:rsidR="00634901" w:rsidRPr="009C52C4" w:rsidRDefault="00634901" w:rsidP="00076941">
      <w:pPr>
        <w:rPr>
          <w:rFonts w:ascii="Times New Roman" w:hAnsi="Times New Roman" w:cs="Times New Roman"/>
          <w:sz w:val="24"/>
          <w:szCs w:val="24"/>
        </w:rPr>
      </w:pPr>
      <w:bookmarkStart w:id="133" w:name="h.3ygebqi" w:colFirst="0" w:colLast="0"/>
      <w:bookmarkEnd w:id="133"/>
      <w:r w:rsidRPr="009C52C4">
        <w:rPr>
          <w:rFonts w:ascii="Times New Roman" w:hAnsi="Times New Roman" w:cs="Times New Roman"/>
          <w:sz w:val="24"/>
          <w:szCs w:val="24"/>
        </w:rPr>
        <w:t>Kao ciljna skupina zgrada s obzirom na ukupnu površinu, stanje ovojnice grijanog prostora i energetske potrebe odabrana je skupina zgrada izgrađenih do 1987. godine. U razdoblju obnove do 2020. godine primjenjuj</w:t>
      </w:r>
      <w:r w:rsidR="00D22FAB" w:rsidRPr="009C52C4">
        <w:rPr>
          <w:rFonts w:ascii="Times New Roman" w:hAnsi="Times New Roman" w:cs="Times New Roman"/>
          <w:sz w:val="24"/>
          <w:szCs w:val="24"/>
        </w:rPr>
        <w:t>u</w:t>
      </w:r>
      <w:r w:rsidRPr="009C52C4">
        <w:rPr>
          <w:rFonts w:ascii="Times New Roman" w:hAnsi="Times New Roman" w:cs="Times New Roman"/>
          <w:sz w:val="24"/>
          <w:szCs w:val="24"/>
        </w:rPr>
        <w:t xml:space="preserve"> se mjere obnove sukladno postojećim Programima obnove za javne, komercijalne i višestambene zgrade te obiteljske kuće, dok </w:t>
      </w:r>
      <w:r w:rsidR="00D22FAB" w:rsidRPr="009C52C4">
        <w:rPr>
          <w:rFonts w:ascii="Times New Roman" w:hAnsi="Times New Roman" w:cs="Times New Roman"/>
          <w:sz w:val="24"/>
          <w:szCs w:val="24"/>
        </w:rPr>
        <w:t>s</w:t>
      </w:r>
      <w:r w:rsidRPr="009C52C4">
        <w:rPr>
          <w:rFonts w:ascii="Times New Roman" w:hAnsi="Times New Roman" w:cs="Times New Roman"/>
          <w:sz w:val="24"/>
          <w:szCs w:val="24"/>
        </w:rPr>
        <w:t>e nakon 20</w:t>
      </w:r>
      <w:r w:rsidR="00D22FAB" w:rsidRPr="009C52C4">
        <w:rPr>
          <w:rFonts w:ascii="Times New Roman" w:hAnsi="Times New Roman" w:cs="Times New Roman"/>
          <w:sz w:val="24"/>
          <w:szCs w:val="24"/>
        </w:rPr>
        <w:t>20</w:t>
      </w:r>
      <w:r w:rsidRPr="009C52C4">
        <w:rPr>
          <w:rFonts w:ascii="Times New Roman" w:hAnsi="Times New Roman" w:cs="Times New Roman"/>
          <w:sz w:val="24"/>
          <w:szCs w:val="24"/>
        </w:rPr>
        <w:t xml:space="preserve">. </w:t>
      </w:r>
      <w:r w:rsidR="00D22FAB" w:rsidRPr="009C52C4">
        <w:rPr>
          <w:rFonts w:ascii="Times New Roman" w:hAnsi="Times New Roman" w:cs="Times New Roman"/>
          <w:sz w:val="24"/>
          <w:szCs w:val="24"/>
        </w:rPr>
        <w:t xml:space="preserve">godine pretpostavlja </w:t>
      </w:r>
      <w:r w:rsidRPr="009C52C4">
        <w:rPr>
          <w:rFonts w:ascii="Times New Roman" w:hAnsi="Times New Roman" w:cs="Times New Roman"/>
          <w:sz w:val="24"/>
          <w:szCs w:val="24"/>
        </w:rPr>
        <w:t>primjen</w:t>
      </w:r>
      <w:r w:rsidR="00D22FAB" w:rsidRPr="009C52C4">
        <w:rPr>
          <w:rFonts w:ascii="Times New Roman" w:hAnsi="Times New Roman" w:cs="Times New Roman"/>
          <w:sz w:val="24"/>
          <w:szCs w:val="24"/>
        </w:rPr>
        <w:t>a</w:t>
      </w:r>
      <w:r w:rsidRPr="009C52C4">
        <w:rPr>
          <w:rFonts w:ascii="Times New Roman" w:hAnsi="Times New Roman" w:cs="Times New Roman"/>
          <w:sz w:val="24"/>
          <w:szCs w:val="24"/>
        </w:rPr>
        <w:t xml:space="preserve"> cjelovite energetske obnove sukladno </w:t>
      </w:r>
      <w:r w:rsidR="00D22FAB" w:rsidRPr="009C52C4">
        <w:rPr>
          <w:rFonts w:ascii="Times New Roman" w:hAnsi="Times New Roman" w:cs="Times New Roman"/>
          <w:sz w:val="24"/>
          <w:szCs w:val="24"/>
        </w:rPr>
        <w:t xml:space="preserve">zahtjevima </w:t>
      </w:r>
      <w:r w:rsidR="00D22FAB" w:rsidRPr="009C52C4">
        <w:rPr>
          <w:rFonts w:ascii="Times New Roman" w:hAnsi="Times New Roman" w:cs="Times New Roman"/>
          <w:i/>
          <w:sz w:val="24"/>
          <w:szCs w:val="24"/>
        </w:rPr>
        <w:t>Tehničkog propisa</w:t>
      </w:r>
      <w:r w:rsidR="00D22FAB" w:rsidRPr="009C52C4">
        <w:rPr>
          <w:rFonts w:ascii="Times New Roman" w:hAnsi="Times New Roman" w:cs="Times New Roman"/>
          <w:sz w:val="24"/>
          <w:szCs w:val="24"/>
        </w:rPr>
        <w:t xml:space="preserve"> za veliku rekonstrukciju</w:t>
      </w:r>
      <w:r w:rsidR="00D420CF" w:rsidRPr="009C52C4">
        <w:rPr>
          <w:rFonts w:ascii="Times New Roman" w:hAnsi="Times New Roman" w:cs="Times New Roman"/>
          <w:sz w:val="24"/>
          <w:szCs w:val="24"/>
        </w:rPr>
        <w:t xml:space="preserve"> sukladno Direktivi 2010/31/EU</w:t>
      </w:r>
      <w:r w:rsidR="009207FB" w:rsidRPr="009C52C4">
        <w:rPr>
          <w:rFonts w:ascii="Times New Roman" w:hAnsi="Times New Roman" w:cs="Times New Roman"/>
          <w:sz w:val="24"/>
          <w:szCs w:val="24"/>
        </w:rPr>
        <w:t xml:space="preserve"> Europskog parlamenta i Vijeća od 19. svibnja 2010. o energetskoj učinkovitosti zgrada (preinaka)</w:t>
      </w:r>
      <w:r w:rsidR="00E76A78" w:rsidRPr="009C52C4">
        <w:rPr>
          <w:rFonts w:ascii="Times New Roman" w:hAnsi="Times New Roman" w:cs="Times New Roman"/>
          <w:sz w:val="24"/>
          <w:szCs w:val="24"/>
        </w:rPr>
        <w:t xml:space="preserve"> </w:t>
      </w:r>
      <w:r w:rsidR="00D420CF" w:rsidRPr="009C52C4">
        <w:rPr>
          <w:rFonts w:ascii="Times New Roman" w:hAnsi="Times New Roman" w:cs="Times New Roman"/>
          <w:sz w:val="24"/>
          <w:szCs w:val="24"/>
        </w:rPr>
        <w:t>koja propisuje poticanje razmatranja ugradnje visokoučinkovitih alternativnih sustava u mjeri u kojoj je to tehnički, funkcionalno i gospodarski izved</w:t>
      </w:r>
      <w:r w:rsidR="009E33E4" w:rsidRPr="009C52C4">
        <w:rPr>
          <w:rFonts w:ascii="Times New Roman" w:hAnsi="Times New Roman" w:cs="Times New Roman"/>
          <w:sz w:val="24"/>
          <w:szCs w:val="24"/>
        </w:rPr>
        <w:t>ivo</w:t>
      </w:r>
      <w:r w:rsidR="00D420CF" w:rsidRPr="009C52C4">
        <w:rPr>
          <w:rFonts w:ascii="Times New Roman" w:hAnsi="Times New Roman" w:cs="Times New Roman"/>
          <w:sz w:val="24"/>
          <w:szCs w:val="24"/>
        </w:rPr>
        <w:t xml:space="preserve"> te </w:t>
      </w:r>
      <w:r w:rsidR="00327450" w:rsidRPr="009C52C4">
        <w:rPr>
          <w:rFonts w:ascii="Times New Roman" w:hAnsi="Times New Roman" w:cs="Times New Roman"/>
          <w:sz w:val="24"/>
          <w:szCs w:val="24"/>
        </w:rPr>
        <w:t>Direktivi 2009/28/EU</w:t>
      </w:r>
      <w:r w:rsidR="00D420CF" w:rsidRPr="009C52C4">
        <w:rPr>
          <w:rFonts w:ascii="Times New Roman" w:hAnsi="Times New Roman" w:cs="Times New Roman"/>
          <w:sz w:val="24"/>
          <w:szCs w:val="24"/>
        </w:rPr>
        <w:t xml:space="preserve"> koja propisuje obvezu uvođenja mjera za povećanje udjela energije iz obnovljivih izvora energije.</w:t>
      </w:r>
      <w:r w:rsidRPr="009C52C4">
        <w:rPr>
          <w:rFonts w:ascii="Times New Roman" w:hAnsi="Times New Roman" w:cs="Times New Roman"/>
          <w:sz w:val="24"/>
          <w:szCs w:val="24"/>
        </w:rPr>
        <w:t xml:space="preserve"> </w:t>
      </w:r>
      <w:r w:rsidR="00D22FAB" w:rsidRPr="009C52C4">
        <w:rPr>
          <w:rFonts w:ascii="Times New Roman" w:hAnsi="Times New Roman" w:cs="Times New Roman"/>
          <w:sz w:val="24"/>
          <w:szCs w:val="24"/>
        </w:rPr>
        <w:t>S o</w:t>
      </w:r>
      <w:r w:rsidRPr="009C52C4">
        <w:rPr>
          <w:rFonts w:ascii="Times New Roman" w:hAnsi="Times New Roman" w:cs="Times New Roman"/>
          <w:sz w:val="24"/>
          <w:szCs w:val="24"/>
        </w:rPr>
        <w:t xml:space="preserve">bzirom na obveze iz </w:t>
      </w:r>
      <w:r w:rsidR="002F4C8D" w:rsidRPr="009C52C4">
        <w:rPr>
          <w:rFonts w:ascii="Times New Roman" w:hAnsi="Times New Roman" w:cs="Times New Roman"/>
          <w:sz w:val="24"/>
          <w:szCs w:val="24"/>
        </w:rPr>
        <w:t>Prijedloga Direktive Europskog parlamenta i Vijeća o izmjeni Direktive 2010/31/EU o energetskim svojstvima zgrada (Tekst značajan za EGP)</w:t>
      </w:r>
      <w:r w:rsidRPr="009C52C4">
        <w:rPr>
          <w:rFonts w:ascii="Times New Roman" w:hAnsi="Times New Roman" w:cs="Times New Roman"/>
          <w:sz w:val="24"/>
          <w:szCs w:val="24"/>
        </w:rPr>
        <w:t xml:space="preserve">, mjere odnosno paketi mjera za zadovoljenje cilja energetskih ušteda iz </w:t>
      </w:r>
      <w:r w:rsidR="00C209AC" w:rsidRPr="009C52C4">
        <w:rPr>
          <w:rFonts w:ascii="Times New Roman" w:hAnsi="Times New Roman" w:cs="Times New Roman"/>
          <w:sz w:val="24"/>
          <w:szCs w:val="24"/>
        </w:rPr>
        <w:t>Četvrtog</w:t>
      </w:r>
      <w:r w:rsidRPr="009C52C4">
        <w:rPr>
          <w:rFonts w:ascii="Times New Roman" w:hAnsi="Times New Roman" w:cs="Times New Roman"/>
          <w:sz w:val="24"/>
          <w:szCs w:val="24"/>
        </w:rPr>
        <w:t xml:space="preserve"> </w:t>
      </w:r>
      <w:r w:rsidR="00C209AC" w:rsidRPr="009C52C4">
        <w:rPr>
          <w:rFonts w:ascii="Times New Roman" w:hAnsi="Times New Roman" w:cs="Times New Roman"/>
          <w:sz w:val="24"/>
          <w:szCs w:val="24"/>
        </w:rPr>
        <w:t>Nacionalnog akcijskog plana za energetsku učinkovitost za razdoblje do kraja 2019.</w:t>
      </w:r>
      <w:r w:rsidRPr="009C52C4">
        <w:rPr>
          <w:rFonts w:ascii="Times New Roman" w:hAnsi="Times New Roman" w:cs="Times New Roman"/>
          <w:sz w:val="24"/>
          <w:szCs w:val="24"/>
        </w:rPr>
        <w:t xml:space="preserve"> nave</w:t>
      </w:r>
      <w:r w:rsidR="00076941" w:rsidRPr="009C52C4">
        <w:rPr>
          <w:rFonts w:ascii="Times New Roman" w:hAnsi="Times New Roman" w:cs="Times New Roman"/>
          <w:sz w:val="24"/>
          <w:szCs w:val="24"/>
        </w:rPr>
        <w:t>dene su za dva razdoblja obnove: r</w:t>
      </w:r>
      <w:r w:rsidRPr="009C52C4">
        <w:rPr>
          <w:rFonts w:ascii="Times New Roman" w:hAnsi="Times New Roman" w:cs="Times New Roman"/>
          <w:sz w:val="24"/>
          <w:szCs w:val="24"/>
        </w:rPr>
        <w:t>azdoblje obnove do 2020. godine</w:t>
      </w:r>
      <w:r w:rsidR="00076941" w:rsidRPr="009C52C4">
        <w:rPr>
          <w:rFonts w:ascii="Times New Roman" w:hAnsi="Times New Roman" w:cs="Times New Roman"/>
          <w:sz w:val="24"/>
          <w:szCs w:val="24"/>
        </w:rPr>
        <w:t xml:space="preserve"> i r</w:t>
      </w:r>
      <w:r w:rsidRPr="009C52C4">
        <w:rPr>
          <w:rFonts w:ascii="Times New Roman" w:hAnsi="Times New Roman" w:cs="Times New Roman"/>
          <w:sz w:val="24"/>
          <w:szCs w:val="24"/>
        </w:rPr>
        <w:t>azdoblje obnove nakon 2020 godine.</w:t>
      </w:r>
    </w:p>
    <w:p w14:paraId="3C11B4A8" w14:textId="1B873F66" w:rsidR="00634901" w:rsidRPr="009C52C4" w:rsidRDefault="00634901" w:rsidP="00634901">
      <w:pPr>
        <w:rPr>
          <w:rFonts w:ascii="Times New Roman" w:hAnsi="Times New Roman" w:cs="Times New Roman"/>
          <w:color w:val="auto"/>
          <w:sz w:val="24"/>
          <w:szCs w:val="24"/>
        </w:rPr>
      </w:pPr>
      <w:r w:rsidRPr="009C52C4">
        <w:rPr>
          <w:rFonts w:ascii="Times New Roman" w:hAnsi="Times New Roman" w:cs="Times New Roman"/>
          <w:sz w:val="24"/>
          <w:szCs w:val="24"/>
        </w:rPr>
        <w:t>Razlog što obuhvat mjera za sve kategorije zgrada nije jednak leži u razlici isplativosti mjera kod pojedine kategorije zgrada u ovisnosti o procijenjenom utrošku energenata i režimu korištenja pojedinih tehničkih sustava. Ulazni parametri za utvrđivanje troškovno učinkovitog pristupa obnovi za svaku kategoriju zgrade su specifični iznosi energetskih i troškovnih ušteda po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površine zgrade, a prikazani su tablicama u nastavku posebno za zgrade kontinentalne i zgrade primorske Hrvatske </w:t>
      </w:r>
      <w:r w:rsidRPr="009C52C4">
        <w:rPr>
          <w:rFonts w:ascii="Times New Roman" w:hAnsi="Times New Roman" w:cs="Times New Roman"/>
          <w:color w:val="auto"/>
          <w:sz w:val="24"/>
          <w:szCs w:val="24"/>
        </w:rPr>
        <w:t>(</w:t>
      </w:r>
      <w:r w:rsidR="00076941" w:rsidRPr="009C52C4">
        <w:rPr>
          <w:rFonts w:ascii="Times New Roman" w:hAnsi="Times New Roman" w:cs="Times New Roman"/>
          <w:color w:val="auto"/>
          <w:sz w:val="24"/>
          <w:szCs w:val="24"/>
        </w:rPr>
        <w:fldChar w:fldCharType="begin"/>
      </w:r>
      <w:r w:rsidR="00076941" w:rsidRPr="009C52C4">
        <w:rPr>
          <w:rFonts w:ascii="Times New Roman" w:hAnsi="Times New Roman" w:cs="Times New Roman"/>
          <w:color w:val="auto"/>
          <w:sz w:val="24"/>
          <w:szCs w:val="24"/>
        </w:rPr>
        <w:instrText xml:space="preserve"> REF _Ref485046705 \h </w:instrText>
      </w:r>
      <w:r w:rsidR="00873572" w:rsidRPr="009C52C4">
        <w:rPr>
          <w:rFonts w:ascii="Times New Roman" w:hAnsi="Times New Roman" w:cs="Times New Roman"/>
          <w:color w:val="auto"/>
          <w:sz w:val="24"/>
          <w:szCs w:val="24"/>
        </w:rPr>
        <w:instrText xml:space="preserve"> \* MERGEFORMAT </w:instrText>
      </w:r>
      <w:r w:rsidR="00076941" w:rsidRPr="009C52C4">
        <w:rPr>
          <w:rFonts w:ascii="Times New Roman" w:hAnsi="Times New Roman" w:cs="Times New Roman"/>
          <w:color w:val="auto"/>
          <w:sz w:val="24"/>
          <w:szCs w:val="24"/>
        </w:rPr>
      </w:r>
      <w:r w:rsidR="00076941" w:rsidRPr="009C52C4">
        <w:rPr>
          <w:rFonts w:ascii="Times New Roman" w:hAnsi="Times New Roman" w:cs="Times New Roman"/>
          <w:color w:val="auto"/>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4</w:t>
      </w:r>
      <w:r w:rsidR="00076941" w:rsidRPr="009C52C4">
        <w:rPr>
          <w:rFonts w:ascii="Times New Roman" w:hAnsi="Times New Roman" w:cs="Times New Roman"/>
          <w:color w:val="auto"/>
          <w:sz w:val="24"/>
          <w:szCs w:val="24"/>
        </w:rPr>
        <w:fldChar w:fldCharType="end"/>
      </w:r>
      <w:r w:rsidR="00462D0B" w:rsidRPr="009C52C4">
        <w:rPr>
          <w:rFonts w:ascii="Times New Roman" w:hAnsi="Times New Roman" w:cs="Times New Roman"/>
          <w:color w:val="auto"/>
          <w:sz w:val="24"/>
          <w:szCs w:val="24"/>
        </w:rPr>
        <w:t xml:space="preserve"> </w:t>
      </w:r>
      <w:r w:rsidRPr="009C52C4">
        <w:rPr>
          <w:rFonts w:ascii="Times New Roman" w:hAnsi="Times New Roman" w:cs="Times New Roman"/>
          <w:color w:val="auto"/>
          <w:sz w:val="24"/>
          <w:szCs w:val="24"/>
        </w:rPr>
        <w:t xml:space="preserve">i </w:t>
      </w:r>
      <w:r w:rsidR="00462D0B" w:rsidRPr="009C52C4">
        <w:rPr>
          <w:rFonts w:ascii="Times New Roman" w:hAnsi="Times New Roman" w:cs="Times New Roman"/>
          <w:color w:val="auto"/>
          <w:sz w:val="24"/>
          <w:szCs w:val="24"/>
        </w:rPr>
        <w:fldChar w:fldCharType="begin"/>
      </w:r>
      <w:r w:rsidR="00462D0B" w:rsidRPr="009C52C4">
        <w:rPr>
          <w:rFonts w:ascii="Times New Roman" w:hAnsi="Times New Roman" w:cs="Times New Roman"/>
          <w:color w:val="auto"/>
          <w:sz w:val="24"/>
          <w:szCs w:val="24"/>
        </w:rPr>
        <w:instrText xml:space="preserve"> REF _Ref483404258 \h </w:instrText>
      </w:r>
      <w:r w:rsidR="00873572" w:rsidRPr="009C52C4">
        <w:rPr>
          <w:rFonts w:ascii="Times New Roman" w:hAnsi="Times New Roman" w:cs="Times New Roman"/>
          <w:color w:val="auto"/>
          <w:sz w:val="24"/>
          <w:szCs w:val="24"/>
        </w:rPr>
        <w:instrText xml:space="preserve"> \* MERGEFORMAT </w:instrText>
      </w:r>
      <w:r w:rsidR="00462D0B" w:rsidRPr="009C52C4">
        <w:rPr>
          <w:rFonts w:ascii="Times New Roman" w:hAnsi="Times New Roman" w:cs="Times New Roman"/>
          <w:color w:val="auto"/>
          <w:sz w:val="24"/>
          <w:szCs w:val="24"/>
        </w:rPr>
      </w:r>
      <w:r w:rsidR="00462D0B" w:rsidRPr="009C52C4">
        <w:rPr>
          <w:rFonts w:ascii="Times New Roman" w:hAnsi="Times New Roman" w:cs="Times New Roman"/>
          <w:color w:val="auto"/>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5</w:t>
      </w:r>
      <w:r w:rsidR="00462D0B" w:rsidRPr="009C52C4">
        <w:rPr>
          <w:rFonts w:ascii="Times New Roman" w:hAnsi="Times New Roman" w:cs="Times New Roman"/>
          <w:color w:val="auto"/>
          <w:sz w:val="24"/>
          <w:szCs w:val="24"/>
        </w:rPr>
        <w:fldChar w:fldCharType="end"/>
      </w:r>
      <w:r w:rsidRPr="009C52C4">
        <w:rPr>
          <w:rFonts w:ascii="Times New Roman" w:hAnsi="Times New Roman" w:cs="Times New Roman"/>
          <w:color w:val="auto"/>
          <w:sz w:val="24"/>
          <w:szCs w:val="24"/>
        </w:rPr>
        <w:t>). Navedeni ulazni parametri izračunati su s obzirom na polazne pretpostavke dane u poglavlju 2. S obzirom na navedene ulazne parametre u vidu potencijala energetskih ušteda, može se zaključiti da je unutar fonda zgrada izgrađenih do 1987. godine najveći prioritet pri integralnoj obnovi potrebno dati obiteljskim kućama (potencijal specifične energetske uštede po korisnoj površini zgrade do 29</w:t>
      </w:r>
      <w:r w:rsidR="00716530" w:rsidRPr="009C52C4">
        <w:rPr>
          <w:rFonts w:ascii="Times New Roman" w:hAnsi="Times New Roman" w:cs="Times New Roman"/>
          <w:color w:val="auto"/>
          <w:sz w:val="24"/>
          <w:szCs w:val="24"/>
        </w:rPr>
        <w:t>3</w:t>
      </w:r>
      <w:r w:rsidRPr="009C52C4">
        <w:rPr>
          <w:rFonts w:ascii="Times New Roman" w:hAnsi="Times New Roman" w:cs="Times New Roman"/>
          <w:color w:val="auto"/>
          <w:sz w:val="24"/>
          <w:szCs w:val="24"/>
        </w:rPr>
        <w:t>,</w:t>
      </w:r>
      <w:r w:rsidR="00716530" w:rsidRPr="009C52C4">
        <w:rPr>
          <w:rFonts w:ascii="Times New Roman" w:hAnsi="Times New Roman" w:cs="Times New Roman"/>
          <w:color w:val="auto"/>
          <w:sz w:val="24"/>
          <w:szCs w:val="24"/>
        </w:rPr>
        <w:t>48</w:t>
      </w:r>
      <w:r w:rsidRPr="009C52C4">
        <w:rPr>
          <w:rFonts w:ascii="Times New Roman" w:hAnsi="Times New Roman" w:cs="Times New Roman"/>
          <w:color w:val="auto"/>
          <w:sz w:val="24"/>
          <w:szCs w:val="24"/>
        </w:rPr>
        <w:t xml:space="preserve"> kWh/m</w:t>
      </w:r>
      <w:r w:rsidRPr="009C52C4">
        <w:rPr>
          <w:rFonts w:ascii="Times New Roman" w:hAnsi="Times New Roman" w:cs="Times New Roman"/>
          <w:color w:val="auto"/>
          <w:sz w:val="24"/>
          <w:szCs w:val="24"/>
          <w:vertAlign w:val="superscript"/>
        </w:rPr>
        <w:t>2</w:t>
      </w:r>
      <w:r w:rsidRPr="009C52C4">
        <w:rPr>
          <w:rFonts w:ascii="Times New Roman" w:hAnsi="Times New Roman" w:cs="Times New Roman"/>
          <w:color w:val="auto"/>
          <w:sz w:val="24"/>
          <w:szCs w:val="24"/>
        </w:rPr>
        <w:t xml:space="preserve"> god) i zgradama komercijalne namjene (potencijal specifične energetske uštede po korisnoj površini zgrade do 2</w:t>
      </w:r>
      <w:r w:rsidR="00716530" w:rsidRPr="009C52C4">
        <w:rPr>
          <w:rFonts w:ascii="Times New Roman" w:hAnsi="Times New Roman" w:cs="Times New Roman"/>
          <w:color w:val="auto"/>
          <w:sz w:val="24"/>
          <w:szCs w:val="24"/>
        </w:rPr>
        <w:t>7</w:t>
      </w:r>
      <w:r w:rsidRPr="009C52C4">
        <w:rPr>
          <w:rFonts w:ascii="Times New Roman" w:hAnsi="Times New Roman" w:cs="Times New Roman"/>
          <w:color w:val="auto"/>
          <w:sz w:val="24"/>
          <w:szCs w:val="24"/>
        </w:rPr>
        <w:t>4,</w:t>
      </w:r>
      <w:r w:rsidR="00716530" w:rsidRPr="009C52C4">
        <w:rPr>
          <w:rFonts w:ascii="Times New Roman" w:hAnsi="Times New Roman" w:cs="Times New Roman"/>
          <w:color w:val="auto"/>
          <w:sz w:val="24"/>
          <w:szCs w:val="24"/>
        </w:rPr>
        <w:t>78</w:t>
      </w:r>
      <w:r w:rsidRPr="009C52C4">
        <w:rPr>
          <w:rFonts w:ascii="Times New Roman" w:hAnsi="Times New Roman" w:cs="Times New Roman"/>
          <w:color w:val="auto"/>
          <w:sz w:val="24"/>
          <w:szCs w:val="24"/>
        </w:rPr>
        <w:t xml:space="preserve"> kWh/m</w:t>
      </w:r>
      <w:r w:rsidRPr="009C52C4">
        <w:rPr>
          <w:rFonts w:ascii="Times New Roman" w:hAnsi="Times New Roman" w:cs="Times New Roman"/>
          <w:color w:val="auto"/>
          <w:sz w:val="24"/>
          <w:szCs w:val="24"/>
          <w:vertAlign w:val="superscript"/>
        </w:rPr>
        <w:t>2</w:t>
      </w:r>
      <w:r w:rsidRPr="009C52C4">
        <w:rPr>
          <w:rFonts w:ascii="Times New Roman" w:hAnsi="Times New Roman" w:cs="Times New Roman"/>
          <w:color w:val="auto"/>
          <w:sz w:val="24"/>
          <w:szCs w:val="24"/>
        </w:rPr>
        <w:t xml:space="preserve"> god)</w:t>
      </w:r>
      <w:r w:rsidR="00716530" w:rsidRPr="009C52C4">
        <w:rPr>
          <w:rFonts w:ascii="Times New Roman" w:hAnsi="Times New Roman" w:cs="Times New Roman"/>
          <w:color w:val="auto"/>
          <w:sz w:val="24"/>
          <w:szCs w:val="24"/>
        </w:rPr>
        <w:t xml:space="preserve"> (</w:t>
      </w:r>
      <w:r w:rsidR="00076941" w:rsidRPr="009C52C4">
        <w:rPr>
          <w:rFonts w:ascii="Times New Roman" w:hAnsi="Times New Roman" w:cs="Times New Roman"/>
          <w:color w:val="auto"/>
          <w:sz w:val="24"/>
          <w:szCs w:val="24"/>
        </w:rPr>
        <w:fldChar w:fldCharType="begin"/>
      </w:r>
      <w:r w:rsidR="00076941" w:rsidRPr="009C52C4">
        <w:rPr>
          <w:rFonts w:ascii="Times New Roman" w:hAnsi="Times New Roman" w:cs="Times New Roman"/>
          <w:color w:val="auto"/>
          <w:sz w:val="24"/>
          <w:szCs w:val="24"/>
        </w:rPr>
        <w:instrText xml:space="preserve"> REF _Ref485046705 \h </w:instrText>
      </w:r>
      <w:r w:rsidR="00873572" w:rsidRPr="009C52C4">
        <w:rPr>
          <w:rFonts w:ascii="Times New Roman" w:hAnsi="Times New Roman" w:cs="Times New Roman"/>
          <w:color w:val="auto"/>
          <w:sz w:val="24"/>
          <w:szCs w:val="24"/>
        </w:rPr>
        <w:instrText xml:space="preserve"> \* MERGEFORMAT </w:instrText>
      </w:r>
      <w:r w:rsidR="00076941" w:rsidRPr="009C52C4">
        <w:rPr>
          <w:rFonts w:ascii="Times New Roman" w:hAnsi="Times New Roman" w:cs="Times New Roman"/>
          <w:color w:val="auto"/>
          <w:sz w:val="24"/>
          <w:szCs w:val="24"/>
        </w:rPr>
      </w:r>
      <w:r w:rsidR="00076941" w:rsidRPr="009C52C4">
        <w:rPr>
          <w:rFonts w:ascii="Times New Roman" w:hAnsi="Times New Roman" w:cs="Times New Roman"/>
          <w:color w:val="auto"/>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4</w:t>
      </w:r>
      <w:r w:rsidR="00076941" w:rsidRPr="009C52C4">
        <w:rPr>
          <w:rFonts w:ascii="Times New Roman" w:hAnsi="Times New Roman" w:cs="Times New Roman"/>
          <w:color w:val="auto"/>
          <w:sz w:val="24"/>
          <w:szCs w:val="24"/>
        </w:rPr>
        <w:fldChar w:fldCharType="end"/>
      </w:r>
      <w:r w:rsidR="00716530" w:rsidRPr="009C52C4">
        <w:rPr>
          <w:rFonts w:ascii="Times New Roman" w:hAnsi="Times New Roman" w:cs="Times New Roman"/>
          <w:color w:val="auto"/>
          <w:sz w:val="24"/>
          <w:szCs w:val="24"/>
        </w:rPr>
        <w:t>)</w:t>
      </w:r>
      <w:r w:rsidRPr="009C52C4">
        <w:rPr>
          <w:rFonts w:ascii="Times New Roman" w:hAnsi="Times New Roman" w:cs="Times New Roman"/>
          <w:color w:val="auto"/>
          <w:sz w:val="24"/>
          <w:szCs w:val="24"/>
        </w:rPr>
        <w:t xml:space="preserve">. Osim velikog potencijala energetskih ušteda, obiteljske kuće također su prioritetna kategorija zgrada za obnovu u cilju suzbijanja energetskog siromaštva, što je među mjerama Četvrtog nacionalnog akcijskog plana energetske učinkovitosti za razdoblje </w:t>
      </w:r>
      <w:r w:rsidR="00124387" w:rsidRPr="009C52C4">
        <w:rPr>
          <w:rFonts w:ascii="Times New Roman" w:hAnsi="Times New Roman" w:cs="Times New Roman"/>
          <w:color w:val="auto"/>
          <w:sz w:val="24"/>
          <w:szCs w:val="24"/>
        </w:rPr>
        <w:t xml:space="preserve">do kraja </w:t>
      </w:r>
      <w:r w:rsidRPr="009C52C4">
        <w:rPr>
          <w:rFonts w:ascii="Times New Roman" w:hAnsi="Times New Roman" w:cs="Times New Roman"/>
          <w:color w:val="auto"/>
          <w:sz w:val="24"/>
          <w:szCs w:val="24"/>
        </w:rPr>
        <w:t xml:space="preserve">2019. Planom je predviđeno osmišljavanje i pokretanje sustavnog Programa borbe protiv energetskog siromaštva kroz provođenje mjera energetske učinkovitosti te će se kroz Program utvrditi lista raspoloživih mjera i stope sufinanciranja pojedinih mjera. Preduvjet za sudjelovanje u programu sufinanciranja je stjecanje statusa ugroženog kupca energijom sukladno zakonskoj regulativi koja je na snazi u trenutku provođenja pojedine mjere. Specifični cilj mjere je uspostava sustava kojim bi se ugroženim kupcima energije omogućilo poboljšanje energetske učinkovitosti na razini kućanstva uz istovremeno poboljšanje uvjeta stanovanja. </w:t>
      </w:r>
    </w:p>
    <w:p w14:paraId="58E64FF9" w14:textId="1696E730" w:rsidR="00A26C32" w:rsidRPr="009C52C4" w:rsidRDefault="00A26C32" w:rsidP="00634901">
      <w:pPr>
        <w:rPr>
          <w:rFonts w:ascii="Times New Roman" w:hAnsi="Times New Roman" w:cs="Times New Roman"/>
          <w:color w:val="auto"/>
          <w:sz w:val="24"/>
          <w:szCs w:val="24"/>
        </w:rPr>
      </w:pPr>
    </w:p>
    <w:p w14:paraId="362FED36" w14:textId="1EF79A74" w:rsidR="00A26C32" w:rsidRPr="009C52C4" w:rsidRDefault="00A26C32" w:rsidP="00634901">
      <w:pPr>
        <w:rPr>
          <w:rFonts w:ascii="Times New Roman" w:hAnsi="Times New Roman" w:cs="Times New Roman"/>
          <w:color w:val="auto"/>
          <w:sz w:val="24"/>
          <w:szCs w:val="24"/>
        </w:rPr>
      </w:pPr>
    </w:p>
    <w:p w14:paraId="1BED2404" w14:textId="20F68E89" w:rsidR="00A26C32" w:rsidRPr="009C52C4" w:rsidRDefault="00A26C32" w:rsidP="00634901">
      <w:pPr>
        <w:rPr>
          <w:rFonts w:ascii="Times New Roman" w:hAnsi="Times New Roman" w:cs="Times New Roman"/>
          <w:color w:val="auto"/>
          <w:sz w:val="24"/>
          <w:szCs w:val="24"/>
        </w:rPr>
      </w:pPr>
    </w:p>
    <w:p w14:paraId="2DC6F18A" w14:textId="06F0913A" w:rsidR="00A26C32" w:rsidRPr="009C52C4" w:rsidRDefault="00A26C32" w:rsidP="00634901">
      <w:pPr>
        <w:rPr>
          <w:rFonts w:ascii="Times New Roman" w:hAnsi="Times New Roman" w:cs="Times New Roman"/>
          <w:color w:val="auto"/>
          <w:sz w:val="24"/>
          <w:szCs w:val="24"/>
        </w:rPr>
      </w:pPr>
    </w:p>
    <w:p w14:paraId="5600142B" w14:textId="0BB5EA6F" w:rsidR="00A26C32" w:rsidRPr="009C52C4" w:rsidRDefault="00A26C32" w:rsidP="00634901">
      <w:pPr>
        <w:rPr>
          <w:rFonts w:ascii="Times New Roman" w:hAnsi="Times New Roman" w:cs="Times New Roman"/>
          <w:color w:val="auto"/>
          <w:sz w:val="24"/>
          <w:szCs w:val="24"/>
        </w:rPr>
      </w:pPr>
    </w:p>
    <w:p w14:paraId="5CEF67E8" w14:textId="62807632" w:rsidR="00A26C32" w:rsidRPr="009C52C4" w:rsidRDefault="00A26C32" w:rsidP="00634901">
      <w:pPr>
        <w:rPr>
          <w:rFonts w:ascii="Times New Roman" w:hAnsi="Times New Roman" w:cs="Times New Roman"/>
          <w:color w:val="auto"/>
          <w:sz w:val="24"/>
          <w:szCs w:val="24"/>
        </w:rPr>
      </w:pPr>
    </w:p>
    <w:p w14:paraId="75435864" w14:textId="1B57BE90" w:rsidR="00A26C32" w:rsidRPr="009C52C4" w:rsidRDefault="00A26C32" w:rsidP="00634901">
      <w:pPr>
        <w:rPr>
          <w:rFonts w:ascii="Times New Roman" w:hAnsi="Times New Roman" w:cs="Times New Roman"/>
          <w:color w:val="auto"/>
          <w:sz w:val="24"/>
          <w:szCs w:val="24"/>
        </w:rPr>
      </w:pPr>
    </w:p>
    <w:p w14:paraId="10365CC7" w14:textId="3D1F3919" w:rsidR="00A26C32" w:rsidRPr="009C52C4" w:rsidRDefault="00A26C32" w:rsidP="00634901">
      <w:pPr>
        <w:rPr>
          <w:rFonts w:ascii="Times New Roman" w:hAnsi="Times New Roman" w:cs="Times New Roman"/>
          <w:color w:val="auto"/>
          <w:sz w:val="24"/>
          <w:szCs w:val="24"/>
        </w:rPr>
      </w:pPr>
    </w:p>
    <w:p w14:paraId="71DE5869" w14:textId="77777777" w:rsidR="00A26C32" w:rsidRPr="009C52C4" w:rsidRDefault="00A26C32" w:rsidP="00634901">
      <w:pPr>
        <w:rPr>
          <w:rFonts w:ascii="Times New Roman" w:hAnsi="Times New Roman" w:cs="Times New Roman"/>
          <w:color w:val="auto"/>
          <w:sz w:val="24"/>
          <w:szCs w:val="24"/>
        </w:rPr>
      </w:pPr>
    </w:p>
    <w:p w14:paraId="0E4C71FE" w14:textId="534BD198" w:rsidR="00076941" w:rsidRPr="009C52C4" w:rsidRDefault="00076941" w:rsidP="00076941">
      <w:pPr>
        <w:pStyle w:val="Caption"/>
        <w:rPr>
          <w:rFonts w:ascii="Times New Roman" w:hAnsi="Times New Roman" w:cs="Times New Roman"/>
          <w:sz w:val="24"/>
          <w:szCs w:val="24"/>
        </w:rPr>
      </w:pPr>
      <w:bookmarkStart w:id="134" w:name="_Ref485046705"/>
      <w:bookmarkStart w:id="135" w:name="_Toc2681319"/>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bookmarkEnd w:id="134"/>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Prikaz parametara mjera EnU i OIE mogućih modela obnove zgrada kontinentalne Hrvatske u ovisnosti o kategoriji zgrade</w:t>
      </w:r>
      <w:bookmarkEnd w:id="135"/>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61"/>
        <w:gridCol w:w="1984"/>
        <w:gridCol w:w="1560"/>
        <w:gridCol w:w="1417"/>
      </w:tblGrid>
      <w:tr w:rsidR="00076941" w:rsidRPr="009C52C4" w14:paraId="591E5D6F" w14:textId="77777777" w:rsidTr="00867D28">
        <w:trPr>
          <w:trHeight w:val="20"/>
        </w:trPr>
        <w:tc>
          <w:tcPr>
            <w:tcW w:w="4361" w:type="dxa"/>
            <w:tcMar>
              <w:left w:w="108" w:type="dxa"/>
              <w:right w:w="108" w:type="dxa"/>
            </w:tcMar>
            <w:vAlign w:val="center"/>
          </w:tcPr>
          <w:p w14:paraId="25BDD266" w14:textId="77777777" w:rsidR="00076941" w:rsidRPr="009C52C4" w:rsidRDefault="00076941" w:rsidP="00867D28">
            <w:pPr>
              <w:rPr>
                <w:rFonts w:ascii="Times New Roman" w:hAnsi="Times New Roman" w:cs="Times New Roman"/>
                <w:sz w:val="24"/>
                <w:szCs w:val="24"/>
              </w:rPr>
            </w:pPr>
            <w:bookmarkStart w:id="136" w:name="h.sqyw64" w:colFirst="0" w:colLast="0"/>
            <w:bookmarkEnd w:id="136"/>
            <w:r w:rsidRPr="009C52C4">
              <w:rPr>
                <w:rFonts w:ascii="Times New Roman" w:hAnsi="Times New Roman" w:cs="Times New Roman"/>
                <w:b/>
                <w:sz w:val="24"/>
                <w:szCs w:val="24"/>
              </w:rPr>
              <w:t>Kategorija zgrade na području kontinentalne Hrvatske</w:t>
            </w:r>
          </w:p>
        </w:tc>
        <w:tc>
          <w:tcPr>
            <w:tcW w:w="1984" w:type="dxa"/>
            <w:tcMar>
              <w:left w:w="108" w:type="dxa"/>
              <w:right w:w="108" w:type="dxa"/>
            </w:tcMar>
            <w:vAlign w:val="center"/>
          </w:tcPr>
          <w:p w14:paraId="7E3D6493" w14:textId="77777777" w:rsidR="00076941" w:rsidRPr="009C52C4" w:rsidRDefault="00076941" w:rsidP="00867D28">
            <w:pPr>
              <w:jc w:val="center"/>
              <w:rPr>
                <w:rFonts w:ascii="Times New Roman" w:hAnsi="Times New Roman" w:cs="Times New Roman"/>
                <w:b/>
                <w:sz w:val="24"/>
                <w:szCs w:val="24"/>
              </w:rPr>
            </w:pPr>
            <w:r w:rsidRPr="009C52C4">
              <w:rPr>
                <w:rFonts w:ascii="Times New Roman" w:hAnsi="Times New Roman" w:cs="Times New Roman"/>
                <w:b/>
                <w:sz w:val="24"/>
                <w:szCs w:val="24"/>
              </w:rPr>
              <w:t>Paketi mjera</w:t>
            </w:r>
          </w:p>
        </w:tc>
        <w:tc>
          <w:tcPr>
            <w:tcW w:w="1560" w:type="dxa"/>
            <w:tcMar>
              <w:left w:w="108" w:type="dxa"/>
              <w:right w:w="108" w:type="dxa"/>
            </w:tcMar>
            <w:vAlign w:val="center"/>
          </w:tcPr>
          <w:p w14:paraId="14484D39" w14:textId="77777777" w:rsidR="00076941" w:rsidRPr="009C52C4" w:rsidRDefault="00076941" w:rsidP="00867D28">
            <w:pPr>
              <w:jc w:val="center"/>
              <w:rPr>
                <w:rFonts w:ascii="Times New Roman" w:hAnsi="Times New Roman" w:cs="Times New Roman"/>
                <w:b/>
                <w:color w:val="auto"/>
                <w:sz w:val="24"/>
                <w:szCs w:val="24"/>
              </w:rPr>
            </w:pPr>
            <w:r w:rsidRPr="009C52C4">
              <w:rPr>
                <w:rFonts w:ascii="Times New Roman" w:hAnsi="Times New Roman" w:cs="Times New Roman"/>
                <w:b/>
                <w:color w:val="auto"/>
                <w:sz w:val="24"/>
                <w:szCs w:val="24"/>
              </w:rPr>
              <w:t>Specifične energetske uštede isporučene energije po korisnoj površini zgrade [kWh/m</w:t>
            </w:r>
            <w:r w:rsidRPr="009C52C4">
              <w:rPr>
                <w:rFonts w:ascii="Times New Roman" w:hAnsi="Times New Roman" w:cs="Times New Roman"/>
                <w:b/>
                <w:color w:val="auto"/>
                <w:sz w:val="24"/>
                <w:szCs w:val="24"/>
                <w:vertAlign w:val="superscript"/>
              </w:rPr>
              <w:t>2</w:t>
            </w:r>
            <w:r w:rsidRPr="009C52C4">
              <w:rPr>
                <w:rFonts w:ascii="Times New Roman" w:hAnsi="Times New Roman" w:cs="Times New Roman"/>
                <w:b/>
                <w:color w:val="auto"/>
                <w:sz w:val="24"/>
                <w:szCs w:val="24"/>
              </w:rPr>
              <w:t xml:space="preserve"> god]</w:t>
            </w:r>
          </w:p>
        </w:tc>
        <w:tc>
          <w:tcPr>
            <w:tcW w:w="1417" w:type="dxa"/>
            <w:tcMar>
              <w:left w:w="108" w:type="dxa"/>
              <w:right w:w="108" w:type="dxa"/>
            </w:tcMar>
            <w:vAlign w:val="center"/>
          </w:tcPr>
          <w:p w14:paraId="34C733E3" w14:textId="77777777" w:rsidR="00076941" w:rsidRPr="009C52C4" w:rsidRDefault="00076941" w:rsidP="00867D28">
            <w:pPr>
              <w:jc w:val="center"/>
              <w:rPr>
                <w:rFonts w:ascii="Times New Roman" w:hAnsi="Times New Roman" w:cs="Times New Roman"/>
                <w:b/>
                <w:color w:val="auto"/>
                <w:sz w:val="24"/>
                <w:szCs w:val="24"/>
              </w:rPr>
            </w:pPr>
            <w:r w:rsidRPr="009C52C4">
              <w:rPr>
                <w:rFonts w:ascii="Times New Roman" w:hAnsi="Times New Roman" w:cs="Times New Roman"/>
                <w:b/>
                <w:color w:val="auto"/>
                <w:sz w:val="24"/>
                <w:szCs w:val="24"/>
              </w:rPr>
              <w:t>Specifične troškovne uštede po korisnoj površini zgrade [HRK/m</w:t>
            </w:r>
            <w:r w:rsidRPr="009C52C4">
              <w:rPr>
                <w:rFonts w:ascii="Times New Roman" w:hAnsi="Times New Roman" w:cs="Times New Roman"/>
                <w:b/>
                <w:color w:val="auto"/>
                <w:sz w:val="24"/>
                <w:szCs w:val="24"/>
                <w:vertAlign w:val="superscript"/>
              </w:rPr>
              <w:t>2</w:t>
            </w:r>
            <w:r w:rsidRPr="009C52C4">
              <w:rPr>
                <w:rFonts w:ascii="Times New Roman" w:hAnsi="Times New Roman" w:cs="Times New Roman"/>
                <w:b/>
                <w:color w:val="auto"/>
                <w:sz w:val="24"/>
                <w:szCs w:val="24"/>
              </w:rPr>
              <w:t xml:space="preserve"> god]</w:t>
            </w:r>
          </w:p>
        </w:tc>
      </w:tr>
      <w:tr w:rsidR="00076941" w:rsidRPr="009C52C4" w14:paraId="1FCD3E99" w14:textId="77777777" w:rsidTr="00867D28">
        <w:trPr>
          <w:trHeight w:val="20"/>
        </w:trPr>
        <w:tc>
          <w:tcPr>
            <w:tcW w:w="9322" w:type="dxa"/>
            <w:gridSpan w:val="4"/>
            <w:shd w:val="clear" w:color="auto" w:fill="D9D9D9"/>
            <w:tcMar>
              <w:left w:w="108" w:type="dxa"/>
              <w:right w:w="108" w:type="dxa"/>
            </w:tcMar>
            <w:vAlign w:val="center"/>
          </w:tcPr>
          <w:p w14:paraId="7CF36095"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Zgrade javne namjene</w:t>
            </w:r>
          </w:p>
        </w:tc>
      </w:tr>
      <w:tr w:rsidR="00076941" w:rsidRPr="009C52C4" w14:paraId="6643A1E0" w14:textId="77777777" w:rsidTr="00867D28">
        <w:trPr>
          <w:trHeight w:val="20"/>
        </w:trPr>
        <w:tc>
          <w:tcPr>
            <w:tcW w:w="4361" w:type="dxa"/>
            <w:shd w:val="clear" w:color="auto" w:fill="FFFFFF" w:themeFill="background1"/>
            <w:tcMar>
              <w:left w:w="108" w:type="dxa"/>
              <w:right w:w="108" w:type="dxa"/>
            </w:tcMar>
          </w:tcPr>
          <w:p w14:paraId="1FE740D6"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05AF0FA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27F7950B"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189,41</w:t>
            </w:r>
          </w:p>
        </w:tc>
        <w:tc>
          <w:tcPr>
            <w:tcW w:w="1417" w:type="dxa"/>
            <w:shd w:val="clear" w:color="auto" w:fill="FFFFFF" w:themeFill="background1"/>
            <w:tcMar>
              <w:left w:w="108" w:type="dxa"/>
              <w:right w:w="108" w:type="dxa"/>
            </w:tcMar>
            <w:vAlign w:val="center"/>
          </w:tcPr>
          <w:p w14:paraId="601D7CA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89,23</w:t>
            </w:r>
          </w:p>
        </w:tc>
      </w:tr>
      <w:tr w:rsidR="00076941" w:rsidRPr="009C52C4" w14:paraId="006D128C" w14:textId="77777777" w:rsidTr="00867D28">
        <w:trPr>
          <w:trHeight w:val="20"/>
        </w:trPr>
        <w:tc>
          <w:tcPr>
            <w:tcW w:w="4361" w:type="dxa"/>
            <w:tcBorders>
              <w:bottom w:val="single" w:sz="4" w:space="0" w:color="000000"/>
            </w:tcBorders>
            <w:shd w:val="clear" w:color="auto" w:fill="D6E3BC"/>
            <w:tcMar>
              <w:left w:w="108" w:type="dxa"/>
              <w:right w:w="108" w:type="dxa"/>
            </w:tcMar>
          </w:tcPr>
          <w:p w14:paraId="4BA609B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3BCF3DD8"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1884603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218,12</w:t>
            </w:r>
          </w:p>
        </w:tc>
        <w:tc>
          <w:tcPr>
            <w:tcW w:w="1417" w:type="dxa"/>
            <w:tcBorders>
              <w:bottom w:val="single" w:sz="4" w:space="0" w:color="000000"/>
            </w:tcBorders>
            <w:shd w:val="clear" w:color="auto" w:fill="D6E3BC"/>
            <w:tcMar>
              <w:left w:w="108" w:type="dxa"/>
              <w:right w:w="108" w:type="dxa"/>
            </w:tcMar>
            <w:vAlign w:val="center"/>
          </w:tcPr>
          <w:p w14:paraId="296AC75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100,37</w:t>
            </w:r>
          </w:p>
        </w:tc>
      </w:tr>
      <w:tr w:rsidR="00076941" w:rsidRPr="009C52C4" w14:paraId="75C41B33" w14:textId="77777777" w:rsidTr="00867D28">
        <w:trPr>
          <w:trHeight w:val="20"/>
        </w:trPr>
        <w:tc>
          <w:tcPr>
            <w:tcW w:w="4361" w:type="dxa"/>
            <w:shd w:val="clear" w:color="auto" w:fill="FFFFFF" w:themeFill="background1"/>
            <w:tcMar>
              <w:left w:w="108" w:type="dxa"/>
              <w:right w:w="108" w:type="dxa"/>
            </w:tcMar>
            <w:vAlign w:val="center"/>
          </w:tcPr>
          <w:p w14:paraId="736D2719"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3D81EAA9"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3C142F1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222,94</w:t>
            </w:r>
          </w:p>
        </w:tc>
        <w:tc>
          <w:tcPr>
            <w:tcW w:w="1417" w:type="dxa"/>
            <w:shd w:val="clear" w:color="auto" w:fill="FFFFFF" w:themeFill="background1"/>
            <w:tcMar>
              <w:left w:w="108" w:type="dxa"/>
              <w:right w:w="108" w:type="dxa"/>
            </w:tcMar>
            <w:vAlign w:val="center"/>
          </w:tcPr>
          <w:p w14:paraId="6D5F22BA"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102,24</w:t>
            </w:r>
          </w:p>
        </w:tc>
      </w:tr>
      <w:tr w:rsidR="00076941" w:rsidRPr="009C52C4" w14:paraId="1E3FC8F3" w14:textId="77777777" w:rsidTr="00867D28">
        <w:trPr>
          <w:trHeight w:val="20"/>
        </w:trPr>
        <w:tc>
          <w:tcPr>
            <w:tcW w:w="4361" w:type="dxa"/>
            <w:shd w:val="clear" w:color="auto" w:fill="FFFFFF"/>
            <w:tcMar>
              <w:left w:w="108" w:type="dxa"/>
              <w:right w:w="108" w:type="dxa"/>
            </w:tcMar>
            <w:vAlign w:val="center"/>
          </w:tcPr>
          <w:p w14:paraId="7F546770"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641133E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i 12</w:t>
            </w:r>
          </w:p>
        </w:tc>
        <w:tc>
          <w:tcPr>
            <w:tcW w:w="1560" w:type="dxa"/>
            <w:shd w:val="clear" w:color="auto" w:fill="FFFFFF"/>
            <w:tcMar>
              <w:left w:w="108" w:type="dxa"/>
              <w:right w:w="108" w:type="dxa"/>
            </w:tcMar>
            <w:vAlign w:val="center"/>
          </w:tcPr>
          <w:p w14:paraId="0300839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237,46</w:t>
            </w:r>
          </w:p>
        </w:tc>
        <w:tc>
          <w:tcPr>
            <w:tcW w:w="1417" w:type="dxa"/>
            <w:shd w:val="clear" w:color="auto" w:fill="FFFFFF"/>
            <w:tcMar>
              <w:left w:w="108" w:type="dxa"/>
              <w:right w:w="108" w:type="dxa"/>
            </w:tcMar>
            <w:vAlign w:val="center"/>
          </w:tcPr>
          <w:p w14:paraId="45C47EC3"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109,26</w:t>
            </w:r>
          </w:p>
        </w:tc>
      </w:tr>
      <w:tr w:rsidR="00076941" w:rsidRPr="009C52C4" w14:paraId="44DABA05" w14:textId="77777777" w:rsidTr="00867D28">
        <w:trPr>
          <w:trHeight w:val="20"/>
        </w:trPr>
        <w:tc>
          <w:tcPr>
            <w:tcW w:w="4361" w:type="dxa"/>
            <w:tcMar>
              <w:left w:w="108" w:type="dxa"/>
              <w:right w:w="108" w:type="dxa"/>
            </w:tcMar>
            <w:vAlign w:val="center"/>
          </w:tcPr>
          <w:p w14:paraId="100CCF0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566FBEB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12 i 13</w:t>
            </w:r>
          </w:p>
        </w:tc>
        <w:tc>
          <w:tcPr>
            <w:tcW w:w="1560" w:type="dxa"/>
            <w:tcMar>
              <w:left w:w="108" w:type="dxa"/>
              <w:right w:w="108" w:type="dxa"/>
            </w:tcMar>
            <w:vAlign w:val="center"/>
          </w:tcPr>
          <w:p w14:paraId="17F598DB"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308,42</w:t>
            </w:r>
          </w:p>
        </w:tc>
        <w:tc>
          <w:tcPr>
            <w:tcW w:w="1417" w:type="dxa"/>
            <w:shd w:val="clear" w:color="auto" w:fill="FFFFFF"/>
            <w:tcMar>
              <w:left w:w="108" w:type="dxa"/>
              <w:right w:w="108" w:type="dxa"/>
            </w:tcMar>
            <w:vAlign w:val="center"/>
          </w:tcPr>
          <w:p w14:paraId="43F5B983"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163,38</w:t>
            </w:r>
          </w:p>
        </w:tc>
      </w:tr>
      <w:tr w:rsidR="00076941" w:rsidRPr="009C52C4" w14:paraId="45113B3F" w14:textId="77777777" w:rsidTr="00867D28">
        <w:trPr>
          <w:trHeight w:val="20"/>
        </w:trPr>
        <w:tc>
          <w:tcPr>
            <w:tcW w:w="9322" w:type="dxa"/>
            <w:gridSpan w:val="4"/>
            <w:shd w:val="clear" w:color="auto" w:fill="D9D9D9"/>
            <w:tcMar>
              <w:left w:w="108" w:type="dxa"/>
              <w:right w:w="108" w:type="dxa"/>
            </w:tcMar>
            <w:vAlign w:val="center"/>
          </w:tcPr>
          <w:p w14:paraId="161F2D15"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Zgrade komercijalne namjene</w:t>
            </w:r>
          </w:p>
        </w:tc>
      </w:tr>
      <w:tr w:rsidR="00076941" w:rsidRPr="009C52C4" w14:paraId="59290E96" w14:textId="77777777" w:rsidTr="00867D28">
        <w:trPr>
          <w:trHeight w:val="20"/>
        </w:trPr>
        <w:tc>
          <w:tcPr>
            <w:tcW w:w="4361" w:type="dxa"/>
            <w:shd w:val="clear" w:color="auto" w:fill="FFFFFF" w:themeFill="background1"/>
            <w:tcMar>
              <w:left w:w="108" w:type="dxa"/>
              <w:right w:w="108" w:type="dxa"/>
            </w:tcMar>
          </w:tcPr>
          <w:p w14:paraId="411AB7B4"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390649B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414786DD"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261,13</w:t>
            </w:r>
          </w:p>
        </w:tc>
        <w:tc>
          <w:tcPr>
            <w:tcW w:w="1417" w:type="dxa"/>
            <w:shd w:val="clear" w:color="auto" w:fill="FFFFFF" w:themeFill="background1"/>
            <w:tcMar>
              <w:left w:w="108" w:type="dxa"/>
              <w:right w:w="108" w:type="dxa"/>
            </w:tcMar>
            <w:vAlign w:val="center"/>
          </w:tcPr>
          <w:p w14:paraId="700DB6C1"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122,66</w:t>
            </w:r>
          </w:p>
        </w:tc>
      </w:tr>
      <w:tr w:rsidR="00076941" w:rsidRPr="009C52C4" w14:paraId="3EC3C388" w14:textId="77777777" w:rsidTr="00867D28">
        <w:trPr>
          <w:trHeight w:val="20"/>
        </w:trPr>
        <w:tc>
          <w:tcPr>
            <w:tcW w:w="4361" w:type="dxa"/>
            <w:tcBorders>
              <w:bottom w:val="single" w:sz="4" w:space="0" w:color="000000"/>
            </w:tcBorders>
            <w:shd w:val="clear" w:color="auto" w:fill="D6E3BC"/>
            <w:tcMar>
              <w:left w:w="108" w:type="dxa"/>
              <w:right w:w="108" w:type="dxa"/>
            </w:tcMar>
          </w:tcPr>
          <w:p w14:paraId="17216FBB"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78C8073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2CCA92B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274,78</w:t>
            </w:r>
          </w:p>
        </w:tc>
        <w:tc>
          <w:tcPr>
            <w:tcW w:w="1417" w:type="dxa"/>
            <w:tcBorders>
              <w:bottom w:val="single" w:sz="4" w:space="0" w:color="000000"/>
            </w:tcBorders>
            <w:shd w:val="clear" w:color="auto" w:fill="D6E3BC"/>
            <w:tcMar>
              <w:left w:w="108" w:type="dxa"/>
              <w:right w:w="108" w:type="dxa"/>
            </w:tcMar>
            <w:vAlign w:val="center"/>
          </w:tcPr>
          <w:p w14:paraId="726C45EF"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127,95</w:t>
            </w:r>
          </w:p>
        </w:tc>
      </w:tr>
      <w:tr w:rsidR="00076941" w:rsidRPr="009C52C4" w14:paraId="7C6BCE7E" w14:textId="77777777" w:rsidTr="00867D28">
        <w:trPr>
          <w:trHeight w:val="20"/>
        </w:trPr>
        <w:tc>
          <w:tcPr>
            <w:tcW w:w="4361" w:type="dxa"/>
            <w:shd w:val="clear" w:color="auto" w:fill="FFFFFF" w:themeFill="background1"/>
            <w:tcMar>
              <w:left w:w="108" w:type="dxa"/>
              <w:right w:w="108" w:type="dxa"/>
            </w:tcMar>
            <w:vAlign w:val="center"/>
          </w:tcPr>
          <w:p w14:paraId="77310CD9"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2FC6D5D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7A079B5C"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284,61</w:t>
            </w:r>
          </w:p>
        </w:tc>
        <w:tc>
          <w:tcPr>
            <w:tcW w:w="1417" w:type="dxa"/>
            <w:shd w:val="clear" w:color="auto" w:fill="FFFFFF" w:themeFill="background1"/>
            <w:tcMar>
              <w:left w:w="108" w:type="dxa"/>
              <w:right w:w="108" w:type="dxa"/>
            </w:tcMar>
            <w:vAlign w:val="center"/>
          </w:tcPr>
          <w:p w14:paraId="10DFFFFA"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131,77</w:t>
            </w:r>
          </w:p>
        </w:tc>
      </w:tr>
      <w:tr w:rsidR="00076941" w:rsidRPr="009C52C4" w14:paraId="1A91A35A" w14:textId="77777777" w:rsidTr="00867D28">
        <w:trPr>
          <w:trHeight w:val="20"/>
        </w:trPr>
        <w:tc>
          <w:tcPr>
            <w:tcW w:w="4361" w:type="dxa"/>
            <w:shd w:val="clear" w:color="auto" w:fill="FFFFFF"/>
            <w:tcMar>
              <w:left w:w="108" w:type="dxa"/>
              <w:right w:w="108" w:type="dxa"/>
            </w:tcMar>
            <w:vAlign w:val="center"/>
          </w:tcPr>
          <w:p w14:paraId="4EDDAC36"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292477F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i 12</w:t>
            </w:r>
          </w:p>
        </w:tc>
        <w:tc>
          <w:tcPr>
            <w:tcW w:w="1560" w:type="dxa"/>
            <w:shd w:val="clear" w:color="auto" w:fill="FFFFFF"/>
            <w:tcMar>
              <w:left w:w="108" w:type="dxa"/>
              <w:right w:w="108" w:type="dxa"/>
            </w:tcMar>
            <w:vAlign w:val="center"/>
          </w:tcPr>
          <w:p w14:paraId="771A6111"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319,50</w:t>
            </w:r>
          </w:p>
        </w:tc>
        <w:tc>
          <w:tcPr>
            <w:tcW w:w="1417" w:type="dxa"/>
            <w:shd w:val="clear" w:color="auto" w:fill="FFFFFF"/>
            <w:tcMar>
              <w:left w:w="108" w:type="dxa"/>
              <w:right w:w="108" w:type="dxa"/>
            </w:tcMar>
            <w:vAlign w:val="center"/>
          </w:tcPr>
          <w:p w14:paraId="4A0AC76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147,17</w:t>
            </w:r>
          </w:p>
        </w:tc>
      </w:tr>
      <w:tr w:rsidR="00076941" w:rsidRPr="009C52C4" w14:paraId="5E2F419B" w14:textId="77777777" w:rsidTr="00867D28">
        <w:trPr>
          <w:trHeight w:val="20"/>
        </w:trPr>
        <w:tc>
          <w:tcPr>
            <w:tcW w:w="4361" w:type="dxa"/>
            <w:tcMar>
              <w:left w:w="108" w:type="dxa"/>
              <w:right w:w="108" w:type="dxa"/>
            </w:tcMar>
            <w:vAlign w:val="center"/>
          </w:tcPr>
          <w:p w14:paraId="603465B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5530371D"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12 i 13</w:t>
            </w:r>
          </w:p>
        </w:tc>
        <w:tc>
          <w:tcPr>
            <w:tcW w:w="1560" w:type="dxa"/>
            <w:tcMar>
              <w:left w:w="108" w:type="dxa"/>
              <w:right w:w="108" w:type="dxa"/>
            </w:tcMar>
            <w:vAlign w:val="center"/>
          </w:tcPr>
          <w:p w14:paraId="35BF2E8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415,61</w:t>
            </w:r>
          </w:p>
        </w:tc>
        <w:tc>
          <w:tcPr>
            <w:tcW w:w="1417" w:type="dxa"/>
            <w:shd w:val="clear" w:color="auto" w:fill="FFFFFF"/>
            <w:tcMar>
              <w:left w:w="108" w:type="dxa"/>
              <w:right w:w="108" w:type="dxa"/>
            </w:tcMar>
            <w:vAlign w:val="center"/>
          </w:tcPr>
          <w:p w14:paraId="0267AB9C"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220,66</w:t>
            </w:r>
          </w:p>
        </w:tc>
      </w:tr>
      <w:tr w:rsidR="00076941" w:rsidRPr="009C52C4" w14:paraId="2C16AF9D" w14:textId="77777777" w:rsidTr="00867D28">
        <w:trPr>
          <w:trHeight w:val="20"/>
        </w:trPr>
        <w:tc>
          <w:tcPr>
            <w:tcW w:w="9322" w:type="dxa"/>
            <w:gridSpan w:val="4"/>
            <w:shd w:val="clear" w:color="auto" w:fill="D9D9D9"/>
            <w:tcMar>
              <w:left w:w="108" w:type="dxa"/>
              <w:right w:w="108" w:type="dxa"/>
            </w:tcMar>
            <w:vAlign w:val="center"/>
          </w:tcPr>
          <w:p w14:paraId="55F4D185"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Višestambene zgrade</w:t>
            </w:r>
          </w:p>
        </w:tc>
      </w:tr>
      <w:tr w:rsidR="00076941" w:rsidRPr="009C52C4" w14:paraId="25521DDA" w14:textId="77777777" w:rsidTr="00867D28">
        <w:trPr>
          <w:trHeight w:val="20"/>
        </w:trPr>
        <w:tc>
          <w:tcPr>
            <w:tcW w:w="4361" w:type="dxa"/>
            <w:shd w:val="clear" w:color="auto" w:fill="FFFFFF" w:themeFill="background1"/>
            <w:tcMar>
              <w:left w:w="108" w:type="dxa"/>
              <w:right w:w="108" w:type="dxa"/>
            </w:tcMar>
          </w:tcPr>
          <w:p w14:paraId="7D5BDAC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47E4B55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2C0ED67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161,29</w:t>
            </w:r>
          </w:p>
        </w:tc>
        <w:tc>
          <w:tcPr>
            <w:tcW w:w="1417" w:type="dxa"/>
            <w:shd w:val="clear" w:color="auto" w:fill="FFFFFF" w:themeFill="background1"/>
            <w:tcMar>
              <w:left w:w="108" w:type="dxa"/>
              <w:right w:w="108" w:type="dxa"/>
            </w:tcMar>
            <w:vAlign w:val="center"/>
          </w:tcPr>
          <w:p w14:paraId="5045EAEB"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47,51</w:t>
            </w:r>
          </w:p>
        </w:tc>
      </w:tr>
      <w:tr w:rsidR="00076941" w:rsidRPr="009C52C4" w14:paraId="1DE082B7" w14:textId="77777777" w:rsidTr="00867D28">
        <w:trPr>
          <w:trHeight w:val="20"/>
        </w:trPr>
        <w:tc>
          <w:tcPr>
            <w:tcW w:w="4361" w:type="dxa"/>
            <w:tcBorders>
              <w:bottom w:val="single" w:sz="4" w:space="0" w:color="000000"/>
            </w:tcBorders>
            <w:shd w:val="clear" w:color="auto" w:fill="D6E3BC"/>
            <w:tcMar>
              <w:left w:w="108" w:type="dxa"/>
              <w:right w:w="108" w:type="dxa"/>
            </w:tcMar>
          </w:tcPr>
          <w:p w14:paraId="5A4FFDE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lastRenderedPageBreak/>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49CD3CB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lastRenderedPageBreak/>
              <w:t xml:space="preserve">Mjere 0, 1, 2, 3, </w:t>
            </w:r>
            <w:r w:rsidRPr="009C52C4">
              <w:rPr>
                <w:rFonts w:ascii="Times New Roman" w:hAnsi="Times New Roman" w:cs="Times New Roman"/>
                <w:sz w:val="24"/>
                <w:szCs w:val="24"/>
              </w:rPr>
              <w:lastRenderedPageBreak/>
              <w:t>4, 6, 7, 8, 9, 10, 11 i 12</w:t>
            </w:r>
          </w:p>
        </w:tc>
        <w:tc>
          <w:tcPr>
            <w:tcW w:w="1560" w:type="dxa"/>
            <w:tcBorders>
              <w:bottom w:val="single" w:sz="4" w:space="0" w:color="000000"/>
            </w:tcBorders>
            <w:shd w:val="clear" w:color="auto" w:fill="D6E3BC"/>
            <w:tcMar>
              <w:left w:w="108" w:type="dxa"/>
              <w:right w:w="108" w:type="dxa"/>
            </w:tcMar>
            <w:vAlign w:val="center"/>
          </w:tcPr>
          <w:p w14:paraId="61A04872"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167,07</w:t>
            </w:r>
          </w:p>
        </w:tc>
        <w:tc>
          <w:tcPr>
            <w:tcW w:w="1417" w:type="dxa"/>
            <w:tcBorders>
              <w:bottom w:val="single" w:sz="4" w:space="0" w:color="000000"/>
            </w:tcBorders>
            <w:shd w:val="clear" w:color="auto" w:fill="D6E3BC"/>
            <w:tcMar>
              <w:left w:w="108" w:type="dxa"/>
              <w:right w:w="108" w:type="dxa"/>
            </w:tcMar>
            <w:vAlign w:val="center"/>
          </w:tcPr>
          <w:p w14:paraId="5D082E2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49,07</w:t>
            </w:r>
          </w:p>
        </w:tc>
      </w:tr>
      <w:tr w:rsidR="00076941" w:rsidRPr="009C52C4" w14:paraId="5414CCDB" w14:textId="77777777" w:rsidTr="00867D28">
        <w:trPr>
          <w:trHeight w:val="20"/>
        </w:trPr>
        <w:tc>
          <w:tcPr>
            <w:tcW w:w="4361" w:type="dxa"/>
            <w:shd w:val="clear" w:color="auto" w:fill="FFFFFF" w:themeFill="background1"/>
            <w:tcMar>
              <w:left w:w="108" w:type="dxa"/>
              <w:right w:w="108" w:type="dxa"/>
            </w:tcMar>
            <w:vAlign w:val="center"/>
          </w:tcPr>
          <w:p w14:paraId="49035E74"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214B55EB"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i 7</w:t>
            </w:r>
          </w:p>
        </w:tc>
        <w:tc>
          <w:tcPr>
            <w:tcW w:w="1560" w:type="dxa"/>
            <w:shd w:val="clear" w:color="auto" w:fill="FFFFFF" w:themeFill="background1"/>
            <w:tcMar>
              <w:left w:w="108" w:type="dxa"/>
              <w:right w:w="108" w:type="dxa"/>
            </w:tcMar>
            <w:vAlign w:val="center"/>
          </w:tcPr>
          <w:p w14:paraId="622BE0AD"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176,41</w:t>
            </w:r>
          </w:p>
        </w:tc>
        <w:tc>
          <w:tcPr>
            <w:tcW w:w="1417" w:type="dxa"/>
            <w:shd w:val="clear" w:color="auto" w:fill="FFFFFF" w:themeFill="background1"/>
            <w:tcMar>
              <w:left w:w="108" w:type="dxa"/>
              <w:right w:w="108" w:type="dxa"/>
            </w:tcMar>
            <w:vAlign w:val="center"/>
          </w:tcPr>
          <w:p w14:paraId="4857318D"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51,61</w:t>
            </w:r>
          </w:p>
        </w:tc>
      </w:tr>
      <w:tr w:rsidR="00076941" w:rsidRPr="009C52C4" w14:paraId="1BF5A5D5" w14:textId="77777777" w:rsidTr="00867D28">
        <w:trPr>
          <w:trHeight w:val="20"/>
        </w:trPr>
        <w:tc>
          <w:tcPr>
            <w:tcW w:w="4361" w:type="dxa"/>
            <w:shd w:val="clear" w:color="auto" w:fill="FFFFFF"/>
            <w:tcMar>
              <w:left w:w="108" w:type="dxa"/>
              <w:right w:w="108" w:type="dxa"/>
            </w:tcMar>
            <w:vAlign w:val="center"/>
          </w:tcPr>
          <w:p w14:paraId="3D03D73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5763EA70"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i 7</w:t>
            </w:r>
          </w:p>
        </w:tc>
        <w:tc>
          <w:tcPr>
            <w:tcW w:w="1560" w:type="dxa"/>
            <w:shd w:val="clear" w:color="auto" w:fill="FFFFFF"/>
            <w:tcMar>
              <w:left w:w="108" w:type="dxa"/>
              <w:right w:w="108" w:type="dxa"/>
            </w:tcMar>
            <w:vAlign w:val="center"/>
          </w:tcPr>
          <w:p w14:paraId="2F25B0E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208,24</w:t>
            </w:r>
          </w:p>
        </w:tc>
        <w:tc>
          <w:tcPr>
            <w:tcW w:w="1417" w:type="dxa"/>
            <w:shd w:val="clear" w:color="auto" w:fill="FFFFFF"/>
            <w:tcMar>
              <w:left w:w="108" w:type="dxa"/>
              <w:right w:w="108" w:type="dxa"/>
            </w:tcMar>
            <w:vAlign w:val="center"/>
          </w:tcPr>
          <w:p w14:paraId="53FFEB6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61,56</w:t>
            </w:r>
          </w:p>
        </w:tc>
      </w:tr>
      <w:tr w:rsidR="00076941" w:rsidRPr="009C52C4" w14:paraId="054CC1CD" w14:textId="77777777" w:rsidTr="00867D28">
        <w:trPr>
          <w:trHeight w:val="20"/>
        </w:trPr>
        <w:tc>
          <w:tcPr>
            <w:tcW w:w="9322" w:type="dxa"/>
            <w:gridSpan w:val="4"/>
            <w:shd w:val="clear" w:color="auto" w:fill="D9D9D9"/>
            <w:tcMar>
              <w:left w:w="108" w:type="dxa"/>
              <w:right w:w="108" w:type="dxa"/>
            </w:tcMar>
            <w:vAlign w:val="center"/>
          </w:tcPr>
          <w:p w14:paraId="39E79BB2"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Obiteljske kuće</w:t>
            </w:r>
          </w:p>
        </w:tc>
      </w:tr>
      <w:tr w:rsidR="00076941" w:rsidRPr="009C52C4" w14:paraId="0C7470D2" w14:textId="77777777" w:rsidTr="00867D28">
        <w:trPr>
          <w:trHeight w:val="20"/>
        </w:trPr>
        <w:tc>
          <w:tcPr>
            <w:tcW w:w="4361" w:type="dxa"/>
            <w:shd w:val="clear" w:color="auto" w:fill="FFFFFF" w:themeFill="background1"/>
            <w:tcMar>
              <w:left w:w="108" w:type="dxa"/>
              <w:right w:w="108" w:type="dxa"/>
            </w:tcMar>
          </w:tcPr>
          <w:p w14:paraId="6CB3898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3EB0A2EA"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1966C9F2"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278,52</w:t>
            </w:r>
          </w:p>
        </w:tc>
        <w:tc>
          <w:tcPr>
            <w:tcW w:w="1417" w:type="dxa"/>
            <w:shd w:val="clear" w:color="auto" w:fill="FFFFFF" w:themeFill="background1"/>
            <w:tcMar>
              <w:left w:w="108" w:type="dxa"/>
              <w:right w:w="108" w:type="dxa"/>
            </w:tcMar>
            <w:vAlign w:val="center"/>
          </w:tcPr>
          <w:p w14:paraId="175E01B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88,78</w:t>
            </w:r>
          </w:p>
        </w:tc>
      </w:tr>
      <w:tr w:rsidR="00076941" w:rsidRPr="009C52C4" w14:paraId="43C7390D" w14:textId="77777777" w:rsidTr="00867D28">
        <w:trPr>
          <w:trHeight w:val="20"/>
        </w:trPr>
        <w:tc>
          <w:tcPr>
            <w:tcW w:w="4361" w:type="dxa"/>
            <w:tcBorders>
              <w:bottom w:val="single" w:sz="4" w:space="0" w:color="000000"/>
            </w:tcBorders>
            <w:shd w:val="clear" w:color="auto" w:fill="D6E3BC"/>
            <w:tcMar>
              <w:left w:w="108" w:type="dxa"/>
              <w:right w:w="108" w:type="dxa"/>
            </w:tcMar>
          </w:tcPr>
          <w:p w14:paraId="6A18E9A0"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58C787F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79B75389"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293,48</w:t>
            </w:r>
          </w:p>
        </w:tc>
        <w:tc>
          <w:tcPr>
            <w:tcW w:w="1417" w:type="dxa"/>
            <w:tcBorders>
              <w:bottom w:val="single" w:sz="4" w:space="0" w:color="000000"/>
            </w:tcBorders>
            <w:shd w:val="clear" w:color="auto" w:fill="D6E3BC"/>
            <w:tcMar>
              <w:left w:w="108" w:type="dxa"/>
              <w:right w:w="108" w:type="dxa"/>
            </w:tcMar>
            <w:vAlign w:val="center"/>
          </w:tcPr>
          <w:p w14:paraId="090C9BF2"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92,64</w:t>
            </w:r>
          </w:p>
        </w:tc>
      </w:tr>
      <w:tr w:rsidR="00076941" w:rsidRPr="009C52C4" w14:paraId="596CC9FA" w14:textId="77777777" w:rsidTr="00867D28">
        <w:trPr>
          <w:trHeight w:val="20"/>
        </w:trPr>
        <w:tc>
          <w:tcPr>
            <w:tcW w:w="4361" w:type="dxa"/>
            <w:shd w:val="clear" w:color="auto" w:fill="FFFFFF" w:themeFill="background1"/>
            <w:tcMar>
              <w:left w:w="108" w:type="dxa"/>
              <w:right w:w="108" w:type="dxa"/>
            </w:tcMar>
            <w:vAlign w:val="center"/>
          </w:tcPr>
          <w:p w14:paraId="4CE4930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77E904D9"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6, 7, 8, 9 i 10</w:t>
            </w:r>
          </w:p>
        </w:tc>
        <w:tc>
          <w:tcPr>
            <w:tcW w:w="1560" w:type="dxa"/>
            <w:shd w:val="clear" w:color="auto" w:fill="FFFFFF" w:themeFill="background1"/>
            <w:tcMar>
              <w:left w:w="108" w:type="dxa"/>
              <w:right w:w="108" w:type="dxa"/>
            </w:tcMar>
            <w:vAlign w:val="center"/>
          </w:tcPr>
          <w:p w14:paraId="416BF77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302,68</w:t>
            </w:r>
          </w:p>
        </w:tc>
        <w:tc>
          <w:tcPr>
            <w:tcW w:w="1417" w:type="dxa"/>
            <w:shd w:val="clear" w:color="auto" w:fill="FFFFFF" w:themeFill="background1"/>
            <w:tcMar>
              <w:left w:w="108" w:type="dxa"/>
              <w:right w:w="108" w:type="dxa"/>
            </w:tcMar>
            <w:vAlign w:val="center"/>
          </w:tcPr>
          <w:p w14:paraId="660142C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95,01</w:t>
            </w:r>
          </w:p>
        </w:tc>
      </w:tr>
      <w:tr w:rsidR="00076941" w:rsidRPr="009C52C4" w14:paraId="4D0892F0" w14:textId="77777777" w:rsidTr="00867D28">
        <w:trPr>
          <w:trHeight w:val="20"/>
        </w:trPr>
        <w:tc>
          <w:tcPr>
            <w:tcW w:w="4361" w:type="dxa"/>
            <w:shd w:val="clear" w:color="auto" w:fill="FFFFFF"/>
            <w:tcMar>
              <w:left w:w="108" w:type="dxa"/>
              <w:right w:w="108" w:type="dxa"/>
            </w:tcMar>
            <w:vAlign w:val="center"/>
          </w:tcPr>
          <w:p w14:paraId="3D8D604D"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73B433B3"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5, 6, 7, 8, 9 i 10</w:t>
            </w:r>
          </w:p>
        </w:tc>
        <w:tc>
          <w:tcPr>
            <w:tcW w:w="1560" w:type="dxa"/>
            <w:shd w:val="clear" w:color="auto" w:fill="FFFFFF"/>
            <w:tcMar>
              <w:left w:w="108" w:type="dxa"/>
              <w:right w:w="108" w:type="dxa"/>
            </w:tcMar>
            <w:vAlign w:val="center"/>
          </w:tcPr>
          <w:p w14:paraId="6330500A"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335,31</w:t>
            </w:r>
          </w:p>
        </w:tc>
        <w:tc>
          <w:tcPr>
            <w:tcW w:w="1417" w:type="dxa"/>
            <w:shd w:val="clear" w:color="auto" w:fill="FFFFFF"/>
            <w:tcMar>
              <w:left w:w="108" w:type="dxa"/>
              <w:right w:w="108" w:type="dxa"/>
            </w:tcMar>
            <w:vAlign w:val="center"/>
          </w:tcPr>
          <w:p w14:paraId="4F7B6CC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105,52</w:t>
            </w:r>
          </w:p>
        </w:tc>
      </w:tr>
      <w:tr w:rsidR="00076941" w:rsidRPr="009C52C4" w14:paraId="14038BBB" w14:textId="77777777" w:rsidTr="00867D28">
        <w:trPr>
          <w:trHeight w:val="20"/>
        </w:trPr>
        <w:tc>
          <w:tcPr>
            <w:tcW w:w="4361" w:type="dxa"/>
            <w:tcMar>
              <w:left w:w="108" w:type="dxa"/>
              <w:right w:w="108" w:type="dxa"/>
            </w:tcMar>
            <w:vAlign w:val="center"/>
          </w:tcPr>
          <w:p w14:paraId="5CF9E511"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79D59BE2"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5, 6, 7, 8, 9, 10 i 13</w:t>
            </w:r>
          </w:p>
        </w:tc>
        <w:tc>
          <w:tcPr>
            <w:tcW w:w="1560" w:type="dxa"/>
            <w:tcMar>
              <w:left w:w="108" w:type="dxa"/>
              <w:right w:w="108" w:type="dxa"/>
            </w:tcMar>
            <w:vAlign w:val="center"/>
          </w:tcPr>
          <w:p w14:paraId="12CA1DB9"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431,83</w:t>
            </w:r>
          </w:p>
        </w:tc>
        <w:tc>
          <w:tcPr>
            <w:tcW w:w="1417" w:type="dxa"/>
            <w:shd w:val="clear" w:color="auto" w:fill="FFFFFF"/>
            <w:tcMar>
              <w:left w:w="108" w:type="dxa"/>
              <w:right w:w="108" w:type="dxa"/>
            </w:tcMar>
            <w:vAlign w:val="center"/>
          </w:tcPr>
          <w:p w14:paraId="6EE2F5FB"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179,09</w:t>
            </w:r>
          </w:p>
        </w:tc>
      </w:tr>
      <w:tr w:rsidR="00076941" w:rsidRPr="009C52C4" w14:paraId="1100C093" w14:textId="77777777" w:rsidTr="00867D28">
        <w:trPr>
          <w:trHeight w:val="20"/>
        </w:trPr>
        <w:tc>
          <w:tcPr>
            <w:tcW w:w="9322" w:type="dxa"/>
            <w:gridSpan w:val="4"/>
            <w:tcMar>
              <w:left w:w="108" w:type="dxa"/>
              <w:right w:w="108" w:type="dxa"/>
            </w:tcMar>
            <w:vAlign w:val="center"/>
          </w:tcPr>
          <w:p w14:paraId="67144DFD"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0: Energetski pregled zgrade i uspostava sustavnog gospodarenja energijom</w:t>
            </w:r>
          </w:p>
        </w:tc>
      </w:tr>
      <w:tr w:rsidR="00076941" w:rsidRPr="009C52C4" w14:paraId="4609980C" w14:textId="77777777" w:rsidTr="00867D28">
        <w:trPr>
          <w:trHeight w:val="20"/>
        </w:trPr>
        <w:tc>
          <w:tcPr>
            <w:tcW w:w="9322" w:type="dxa"/>
            <w:gridSpan w:val="4"/>
            <w:tcMar>
              <w:left w:w="108" w:type="dxa"/>
              <w:right w:w="108" w:type="dxa"/>
            </w:tcMar>
            <w:vAlign w:val="center"/>
          </w:tcPr>
          <w:p w14:paraId="64E87CD3"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 Zamjena vanjske stolarije</w:t>
            </w:r>
          </w:p>
        </w:tc>
      </w:tr>
      <w:tr w:rsidR="00076941" w:rsidRPr="009C52C4" w14:paraId="17EA8F45" w14:textId="77777777" w:rsidTr="00867D28">
        <w:trPr>
          <w:trHeight w:val="20"/>
        </w:trPr>
        <w:tc>
          <w:tcPr>
            <w:tcW w:w="9322" w:type="dxa"/>
            <w:gridSpan w:val="4"/>
            <w:tcMar>
              <w:left w:w="108" w:type="dxa"/>
              <w:right w:w="108" w:type="dxa"/>
            </w:tcMar>
            <w:vAlign w:val="center"/>
          </w:tcPr>
          <w:p w14:paraId="791AE5B0"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2: Ugradnja toplinske izolacije vanjskih zidova</w:t>
            </w:r>
          </w:p>
        </w:tc>
      </w:tr>
      <w:tr w:rsidR="00076941" w:rsidRPr="009C52C4" w14:paraId="03297E9E" w14:textId="77777777" w:rsidTr="00867D28">
        <w:trPr>
          <w:trHeight w:val="20"/>
        </w:trPr>
        <w:tc>
          <w:tcPr>
            <w:tcW w:w="9322" w:type="dxa"/>
            <w:gridSpan w:val="4"/>
            <w:tcMar>
              <w:left w:w="108" w:type="dxa"/>
              <w:right w:w="108" w:type="dxa"/>
            </w:tcMar>
            <w:vAlign w:val="center"/>
          </w:tcPr>
          <w:p w14:paraId="1C870723"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3: Ugradnja toplinske izolacije krova/stropa prema negrijanom potkrovlju</w:t>
            </w:r>
          </w:p>
        </w:tc>
      </w:tr>
      <w:tr w:rsidR="00076941" w:rsidRPr="009C52C4" w14:paraId="7E9DE145" w14:textId="77777777" w:rsidTr="00867D28">
        <w:trPr>
          <w:trHeight w:val="20"/>
        </w:trPr>
        <w:tc>
          <w:tcPr>
            <w:tcW w:w="9322" w:type="dxa"/>
            <w:gridSpan w:val="4"/>
            <w:tcMar>
              <w:left w:w="108" w:type="dxa"/>
              <w:right w:w="108" w:type="dxa"/>
            </w:tcMar>
            <w:vAlign w:val="center"/>
          </w:tcPr>
          <w:p w14:paraId="69EB3003"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4: Ugradnja toplinske izolacije stropa prema negrijanom podrumu (ukoliko postoji)</w:t>
            </w:r>
          </w:p>
        </w:tc>
      </w:tr>
      <w:tr w:rsidR="00076941" w:rsidRPr="009C52C4" w14:paraId="3E94AF29" w14:textId="77777777" w:rsidTr="00867D28">
        <w:trPr>
          <w:trHeight w:val="20"/>
        </w:trPr>
        <w:tc>
          <w:tcPr>
            <w:tcW w:w="9322" w:type="dxa"/>
            <w:gridSpan w:val="4"/>
            <w:tcMar>
              <w:left w:w="108" w:type="dxa"/>
              <w:right w:w="108" w:type="dxa"/>
            </w:tcMar>
            <w:vAlign w:val="center"/>
          </w:tcPr>
          <w:p w14:paraId="09D8006B"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5: Ugradnja toplinske izolacije poda na tlu</w:t>
            </w:r>
          </w:p>
        </w:tc>
      </w:tr>
      <w:tr w:rsidR="00076941" w:rsidRPr="009C52C4" w14:paraId="3AA856FF" w14:textId="77777777" w:rsidTr="00867D28">
        <w:trPr>
          <w:trHeight w:val="20"/>
        </w:trPr>
        <w:tc>
          <w:tcPr>
            <w:tcW w:w="9322" w:type="dxa"/>
            <w:gridSpan w:val="4"/>
            <w:tcMar>
              <w:left w:w="108" w:type="dxa"/>
              <w:right w:w="108" w:type="dxa"/>
            </w:tcMar>
            <w:vAlign w:val="center"/>
          </w:tcPr>
          <w:p w14:paraId="69108AC3"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6: Centralizacija i modernizacija sustava grijanja uz, ukoliko je moguće, primjenu OIE</w:t>
            </w:r>
          </w:p>
        </w:tc>
      </w:tr>
      <w:tr w:rsidR="00076941" w:rsidRPr="009C52C4" w14:paraId="1095D16B" w14:textId="77777777" w:rsidTr="00867D28">
        <w:trPr>
          <w:trHeight w:val="20"/>
        </w:trPr>
        <w:tc>
          <w:tcPr>
            <w:tcW w:w="9322" w:type="dxa"/>
            <w:gridSpan w:val="4"/>
            <w:tcMar>
              <w:left w:w="108" w:type="dxa"/>
              <w:right w:w="108" w:type="dxa"/>
            </w:tcMar>
            <w:vAlign w:val="center"/>
          </w:tcPr>
          <w:p w14:paraId="671E4DA6"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7: Centralizacija i modernizacija sustava hlađenja i ventilacije uz primjenu OIE</w:t>
            </w:r>
          </w:p>
        </w:tc>
      </w:tr>
      <w:tr w:rsidR="00076941" w:rsidRPr="009C52C4" w14:paraId="495AA1C1" w14:textId="77777777" w:rsidTr="00867D28">
        <w:trPr>
          <w:trHeight w:val="20"/>
        </w:trPr>
        <w:tc>
          <w:tcPr>
            <w:tcW w:w="9322" w:type="dxa"/>
            <w:gridSpan w:val="4"/>
            <w:tcMar>
              <w:left w:w="108" w:type="dxa"/>
              <w:right w:w="108" w:type="dxa"/>
            </w:tcMar>
            <w:vAlign w:val="center"/>
          </w:tcPr>
          <w:p w14:paraId="5E8FAFDD"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8: Centralizacija i modernizacija sustava pripreme potrošne tople vode uz primjenu OIE</w:t>
            </w:r>
          </w:p>
        </w:tc>
      </w:tr>
      <w:tr w:rsidR="00076941" w:rsidRPr="009C52C4" w14:paraId="4A9353FB" w14:textId="77777777" w:rsidTr="00867D28">
        <w:trPr>
          <w:trHeight w:val="20"/>
        </w:trPr>
        <w:tc>
          <w:tcPr>
            <w:tcW w:w="9322" w:type="dxa"/>
            <w:gridSpan w:val="4"/>
            <w:tcMar>
              <w:left w:w="108" w:type="dxa"/>
              <w:right w:w="108" w:type="dxa"/>
            </w:tcMar>
            <w:vAlign w:val="center"/>
          </w:tcPr>
          <w:p w14:paraId="34FC353E"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9: Modernizacija sustava rasvjete</w:t>
            </w:r>
          </w:p>
        </w:tc>
      </w:tr>
      <w:tr w:rsidR="00076941" w:rsidRPr="009C52C4" w14:paraId="36F7D543" w14:textId="77777777" w:rsidTr="00867D28">
        <w:trPr>
          <w:trHeight w:val="20"/>
        </w:trPr>
        <w:tc>
          <w:tcPr>
            <w:tcW w:w="9322" w:type="dxa"/>
            <w:gridSpan w:val="4"/>
            <w:tcMar>
              <w:left w:w="108" w:type="dxa"/>
              <w:right w:w="108" w:type="dxa"/>
            </w:tcMar>
            <w:vAlign w:val="center"/>
          </w:tcPr>
          <w:p w14:paraId="11099077"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10: Smanjenje potrošnje vode</w:t>
            </w:r>
          </w:p>
        </w:tc>
      </w:tr>
      <w:tr w:rsidR="00076941" w:rsidRPr="009C52C4" w14:paraId="60CF4D04" w14:textId="77777777" w:rsidTr="00867D28">
        <w:trPr>
          <w:trHeight w:val="20"/>
        </w:trPr>
        <w:tc>
          <w:tcPr>
            <w:tcW w:w="9322" w:type="dxa"/>
            <w:gridSpan w:val="4"/>
            <w:tcMar>
              <w:left w:w="108" w:type="dxa"/>
              <w:right w:w="108" w:type="dxa"/>
            </w:tcMar>
            <w:vAlign w:val="center"/>
          </w:tcPr>
          <w:p w14:paraId="5CBD2F60"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11: Ugradnja centralnog nadzornog i upravljačkog sustava</w:t>
            </w:r>
          </w:p>
        </w:tc>
      </w:tr>
      <w:tr w:rsidR="00076941" w:rsidRPr="009C52C4" w14:paraId="71165A7E" w14:textId="77777777" w:rsidTr="00867D28">
        <w:trPr>
          <w:trHeight w:val="20"/>
        </w:trPr>
        <w:tc>
          <w:tcPr>
            <w:tcW w:w="9322" w:type="dxa"/>
            <w:gridSpan w:val="4"/>
            <w:tcMar>
              <w:left w:w="108" w:type="dxa"/>
              <w:right w:w="108" w:type="dxa"/>
            </w:tcMar>
            <w:vAlign w:val="center"/>
          </w:tcPr>
          <w:p w14:paraId="0BCA75D0"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12: Ugradnja uređaja za kompenzaciju jalove energije</w:t>
            </w:r>
          </w:p>
        </w:tc>
      </w:tr>
      <w:tr w:rsidR="00076941" w:rsidRPr="009C52C4" w14:paraId="1E68BAD2" w14:textId="77777777" w:rsidTr="00867D28">
        <w:trPr>
          <w:trHeight w:val="20"/>
        </w:trPr>
        <w:tc>
          <w:tcPr>
            <w:tcW w:w="9322" w:type="dxa"/>
            <w:gridSpan w:val="4"/>
            <w:tcMar>
              <w:left w:w="108" w:type="dxa"/>
              <w:right w:w="108" w:type="dxa"/>
            </w:tcMar>
            <w:vAlign w:val="center"/>
          </w:tcPr>
          <w:p w14:paraId="019A7AE1"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13: Ugradnja fotonaponskih modula za proizvodnju električne energije iz OIE</w:t>
            </w:r>
          </w:p>
        </w:tc>
      </w:tr>
    </w:tbl>
    <w:p w14:paraId="32D3BCCB" w14:textId="77777777" w:rsidR="00076941" w:rsidRPr="009C52C4" w:rsidRDefault="00076941" w:rsidP="00076941">
      <w:pPr>
        <w:rPr>
          <w:rFonts w:ascii="Times New Roman" w:hAnsi="Times New Roman" w:cs="Times New Roman"/>
          <w:sz w:val="24"/>
          <w:szCs w:val="24"/>
        </w:rPr>
      </w:pPr>
      <w:bookmarkStart w:id="137" w:name="h.2dlolyb" w:colFirst="0" w:colLast="0"/>
      <w:bookmarkEnd w:id="137"/>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7FFE870E" w14:textId="77777777" w:rsidR="00076941" w:rsidRPr="009C52C4" w:rsidRDefault="00076941" w:rsidP="00076941">
      <w:pPr>
        <w:rPr>
          <w:rFonts w:ascii="Times New Roman" w:hAnsi="Times New Roman" w:cs="Times New Roman"/>
          <w:sz w:val="24"/>
          <w:szCs w:val="24"/>
        </w:rPr>
      </w:pPr>
      <w:r w:rsidRPr="009C52C4">
        <w:rPr>
          <w:rFonts w:ascii="Times New Roman" w:hAnsi="Times New Roman" w:cs="Times New Roman"/>
          <w:sz w:val="24"/>
          <w:szCs w:val="24"/>
        </w:rPr>
        <w:br w:type="page"/>
      </w:r>
    </w:p>
    <w:p w14:paraId="62901B55" w14:textId="563BB422" w:rsidR="00076941" w:rsidRPr="009C52C4" w:rsidRDefault="00076941" w:rsidP="00076941">
      <w:pPr>
        <w:pStyle w:val="Caption"/>
        <w:rPr>
          <w:rFonts w:ascii="Times New Roman" w:hAnsi="Times New Roman" w:cs="Times New Roman"/>
          <w:sz w:val="24"/>
          <w:szCs w:val="24"/>
        </w:rPr>
      </w:pPr>
      <w:bookmarkStart w:id="138" w:name="_Ref483404258"/>
      <w:bookmarkStart w:id="139" w:name="_Toc2681320"/>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bookmarkEnd w:id="138"/>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Prikaz parametara mjera EnU i OIE mogućih modela obnove zgrada primorske Hrvatske u ovisnosti o kategoriji zgrade</w:t>
      </w:r>
      <w:bookmarkEnd w:id="139"/>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61"/>
        <w:gridCol w:w="1984"/>
        <w:gridCol w:w="1560"/>
        <w:gridCol w:w="1417"/>
      </w:tblGrid>
      <w:tr w:rsidR="00076941" w:rsidRPr="009C52C4" w14:paraId="235415E1" w14:textId="77777777" w:rsidTr="00867D28">
        <w:trPr>
          <w:trHeight w:val="20"/>
        </w:trPr>
        <w:tc>
          <w:tcPr>
            <w:tcW w:w="4361" w:type="dxa"/>
            <w:tcMar>
              <w:left w:w="108" w:type="dxa"/>
              <w:right w:w="108" w:type="dxa"/>
            </w:tcMar>
            <w:vAlign w:val="center"/>
          </w:tcPr>
          <w:p w14:paraId="4D757C0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b/>
                <w:sz w:val="24"/>
                <w:szCs w:val="24"/>
              </w:rPr>
              <w:t>Kategorija zgrade na području primorske Hrvatske</w:t>
            </w:r>
          </w:p>
        </w:tc>
        <w:tc>
          <w:tcPr>
            <w:tcW w:w="1984" w:type="dxa"/>
            <w:tcMar>
              <w:left w:w="108" w:type="dxa"/>
              <w:right w:w="108" w:type="dxa"/>
            </w:tcMar>
            <w:vAlign w:val="center"/>
          </w:tcPr>
          <w:p w14:paraId="2F24AEFA" w14:textId="77777777" w:rsidR="00076941" w:rsidRPr="009C52C4" w:rsidRDefault="00076941" w:rsidP="00867D28">
            <w:pPr>
              <w:jc w:val="center"/>
              <w:rPr>
                <w:rFonts w:ascii="Times New Roman" w:hAnsi="Times New Roman" w:cs="Times New Roman"/>
                <w:b/>
                <w:sz w:val="24"/>
                <w:szCs w:val="24"/>
              </w:rPr>
            </w:pPr>
            <w:r w:rsidRPr="009C52C4">
              <w:rPr>
                <w:rFonts w:ascii="Times New Roman" w:hAnsi="Times New Roman" w:cs="Times New Roman"/>
                <w:b/>
                <w:sz w:val="24"/>
                <w:szCs w:val="24"/>
              </w:rPr>
              <w:t>Paketi mjera</w:t>
            </w:r>
          </w:p>
        </w:tc>
        <w:tc>
          <w:tcPr>
            <w:tcW w:w="1560" w:type="dxa"/>
            <w:tcMar>
              <w:left w:w="108" w:type="dxa"/>
              <w:right w:w="108" w:type="dxa"/>
            </w:tcMar>
            <w:vAlign w:val="center"/>
          </w:tcPr>
          <w:p w14:paraId="2D5985C3" w14:textId="77777777" w:rsidR="00076941" w:rsidRPr="009C52C4" w:rsidRDefault="00076941" w:rsidP="00867D28">
            <w:pPr>
              <w:jc w:val="center"/>
              <w:rPr>
                <w:rFonts w:ascii="Times New Roman" w:hAnsi="Times New Roman" w:cs="Times New Roman"/>
                <w:b/>
                <w:color w:val="auto"/>
                <w:sz w:val="24"/>
                <w:szCs w:val="24"/>
              </w:rPr>
            </w:pPr>
            <w:r w:rsidRPr="009C52C4">
              <w:rPr>
                <w:rFonts w:ascii="Times New Roman" w:hAnsi="Times New Roman" w:cs="Times New Roman"/>
                <w:b/>
                <w:color w:val="auto"/>
                <w:sz w:val="24"/>
                <w:szCs w:val="24"/>
              </w:rPr>
              <w:t>Specifične energetske uštede isporučene energije po korisnoj površini zgrade [kWh/m</w:t>
            </w:r>
            <w:r w:rsidRPr="009C52C4">
              <w:rPr>
                <w:rFonts w:ascii="Times New Roman" w:hAnsi="Times New Roman" w:cs="Times New Roman"/>
                <w:b/>
                <w:color w:val="auto"/>
                <w:sz w:val="24"/>
                <w:szCs w:val="24"/>
                <w:vertAlign w:val="superscript"/>
              </w:rPr>
              <w:t>2</w:t>
            </w:r>
            <w:r w:rsidRPr="009C52C4">
              <w:rPr>
                <w:rFonts w:ascii="Times New Roman" w:hAnsi="Times New Roman" w:cs="Times New Roman"/>
                <w:b/>
                <w:color w:val="auto"/>
                <w:sz w:val="24"/>
                <w:szCs w:val="24"/>
              </w:rPr>
              <w:t xml:space="preserve"> god]</w:t>
            </w:r>
          </w:p>
        </w:tc>
        <w:tc>
          <w:tcPr>
            <w:tcW w:w="1417" w:type="dxa"/>
            <w:tcMar>
              <w:left w:w="108" w:type="dxa"/>
              <w:right w:w="108" w:type="dxa"/>
            </w:tcMar>
            <w:vAlign w:val="center"/>
          </w:tcPr>
          <w:p w14:paraId="5E6D549E" w14:textId="77777777" w:rsidR="00076941" w:rsidRPr="009C52C4" w:rsidRDefault="00076941" w:rsidP="00867D28">
            <w:pPr>
              <w:jc w:val="center"/>
              <w:rPr>
                <w:rFonts w:ascii="Times New Roman" w:hAnsi="Times New Roman" w:cs="Times New Roman"/>
                <w:b/>
                <w:color w:val="auto"/>
                <w:sz w:val="24"/>
                <w:szCs w:val="24"/>
              </w:rPr>
            </w:pPr>
            <w:r w:rsidRPr="009C52C4">
              <w:rPr>
                <w:rFonts w:ascii="Times New Roman" w:hAnsi="Times New Roman" w:cs="Times New Roman"/>
                <w:b/>
                <w:color w:val="auto"/>
                <w:sz w:val="24"/>
                <w:szCs w:val="24"/>
              </w:rPr>
              <w:t>Specifične troškovne uštede po korisnoj površini zgrade [HRK/m</w:t>
            </w:r>
            <w:r w:rsidRPr="009C52C4">
              <w:rPr>
                <w:rFonts w:ascii="Times New Roman" w:hAnsi="Times New Roman" w:cs="Times New Roman"/>
                <w:b/>
                <w:color w:val="auto"/>
                <w:sz w:val="24"/>
                <w:szCs w:val="24"/>
                <w:vertAlign w:val="superscript"/>
              </w:rPr>
              <w:t>2</w:t>
            </w:r>
            <w:r w:rsidRPr="009C52C4">
              <w:rPr>
                <w:rFonts w:ascii="Times New Roman" w:hAnsi="Times New Roman" w:cs="Times New Roman"/>
                <w:b/>
                <w:color w:val="auto"/>
                <w:sz w:val="24"/>
                <w:szCs w:val="24"/>
              </w:rPr>
              <w:t xml:space="preserve"> god]</w:t>
            </w:r>
          </w:p>
        </w:tc>
      </w:tr>
      <w:tr w:rsidR="00076941" w:rsidRPr="009C52C4" w14:paraId="5DAF253E" w14:textId="77777777" w:rsidTr="00867D28">
        <w:trPr>
          <w:trHeight w:val="20"/>
        </w:trPr>
        <w:tc>
          <w:tcPr>
            <w:tcW w:w="9322" w:type="dxa"/>
            <w:gridSpan w:val="4"/>
            <w:shd w:val="clear" w:color="auto" w:fill="D9D9D9"/>
            <w:tcMar>
              <w:left w:w="108" w:type="dxa"/>
              <w:right w:w="108" w:type="dxa"/>
            </w:tcMar>
            <w:vAlign w:val="center"/>
          </w:tcPr>
          <w:p w14:paraId="6BD82277"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Zgrade javne namjene</w:t>
            </w:r>
          </w:p>
        </w:tc>
      </w:tr>
      <w:tr w:rsidR="00076941" w:rsidRPr="009C52C4" w14:paraId="3C1FAEDD" w14:textId="77777777" w:rsidTr="00867D28">
        <w:trPr>
          <w:trHeight w:val="20"/>
        </w:trPr>
        <w:tc>
          <w:tcPr>
            <w:tcW w:w="4361" w:type="dxa"/>
            <w:shd w:val="clear" w:color="auto" w:fill="FFFFFF" w:themeFill="background1"/>
            <w:tcMar>
              <w:left w:w="108" w:type="dxa"/>
              <w:right w:w="108" w:type="dxa"/>
            </w:tcMar>
          </w:tcPr>
          <w:p w14:paraId="233498A9"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33D15CC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01E0AF1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114,46</w:t>
            </w:r>
          </w:p>
        </w:tc>
        <w:tc>
          <w:tcPr>
            <w:tcW w:w="1417" w:type="dxa"/>
            <w:shd w:val="clear" w:color="auto" w:fill="FFFFFF" w:themeFill="background1"/>
            <w:tcMar>
              <w:left w:w="108" w:type="dxa"/>
              <w:right w:w="108" w:type="dxa"/>
            </w:tcMar>
            <w:vAlign w:val="center"/>
          </w:tcPr>
          <w:p w14:paraId="23A99757"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60,35</w:t>
            </w:r>
          </w:p>
        </w:tc>
      </w:tr>
      <w:tr w:rsidR="00076941" w:rsidRPr="009C52C4" w14:paraId="59E2E649" w14:textId="77777777" w:rsidTr="00867D28">
        <w:trPr>
          <w:trHeight w:val="20"/>
        </w:trPr>
        <w:tc>
          <w:tcPr>
            <w:tcW w:w="4361" w:type="dxa"/>
            <w:tcBorders>
              <w:bottom w:val="single" w:sz="4" w:space="0" w:color="000000"/>
            </w:tcBorders>
            <w:shd w:val="clear" w:color="auto" w:fill="D6E3BC"/>
            <w:tcMar>
              <w:left w:w="108" w:type="dxa"/>
              <w:right w:w="108" w:type="dxa"/>
            </w:tcMar>
          </w:tcPr>
          <w:p w14:paraId="26841EFE"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35A5AD6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2FFAD61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128,91</w:t>
            </w:r>
          </w:p>
        </w:tc>
        <w:tc>
          <w:tcPr>
            <w:tcW w:w="1417" w:type="dxa"/>
            <w:tcBorders>
              <w:bottom w:val="single" w:sz="4" w:space="0" w:color="000000"/>
            </w:tcBorders>
            <w:shd w:val="clear" w:color="auto" w:fill="D6E3BC"/>
            <w:tcMar>
              <w:left w:w="108" w:type="dxa"/>
              <w:right w:w="108" w:type="dxa"/>
            </w:tcMar>
            <w:vAlign w:val="center"/>
          </w:tcPr>
          <w:p w14:paraId="44F3D94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66,02</w:t>
            </w:r>
          </w:p>
        </w:tc>
      </w:tr>
      <w:tr w:rsidR="00076941" w:rsidRPr="009C52C4" w14:paraId="4E42EC28" w14:textId="77777777" w:rsidTr="00867D28">
        <w:trPr>
          <w:trHeight w:val="20"/>
        </w:trPr>
        <w:tc>
          <w:tcPr>
            <w:tcW w:w="4361" w:type="dxa"/>
            <w:shd w:val="clear" w:color="auto" w:fill="FFFFFF" w:themeFill="background1"/>
            <w:tcMar>
              <w:left w:w="108" w:type="dxa"/>
              <w:right w:w="108" w:type="dxa"/>
            </w:tcMar>
            <w:vAlign w:val="center"/>
          </w:tcPr>
          <w:p w14:paraId="70A95D87"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2C75EA2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42A563A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130,08</w:t>
            </w:r>
          </w:p>
        </w:tc>
        <w:tc>
          <w:tcPr>
            <w:tcW w:w="1417" w:type="dxa"/>
            <w:shd w:val="clear" w:color="auto" w:fill="FFFFFF" w:themeFill="background1"/>
            <w:tcMar>
              <w:left w:w="108" w:type="dxa"/>
              <w:right w:w="108" w:type="dxa"/>
            </w:tcMar>
            <w:vAlign w:val="center"/>
          </w:tcPr>
          <w:p w14:paraId="5DEC5342"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66,48</w:t>
            </w:r>
          </w:p>
        </w:tc>
      </w:tr>
      <w:tr w:rsidR="00076941" w:rsidRPr="009C52C4" w14:paraId="2DCD4D37" w14:textId="77777777" w:rsidTr="00867D28">
        <w:trPr>
          <w:trHeight w:val="20"/>
        </w:trPr>
        <w:tc>
          <w:tcPr>
            <w:tcW w:w="4361" w:type="dxa"/>
            <w:shd w:val="clear" w:color="auto" w:fill="FFFFFF"/>
            <w:tcMar>
              <w:left w:w="108" w:type="dxa"/>
              <w:right w:w="108" w:type="dxa"/>
            </w:tcMar>
            <w:vAlign w:val="center"/>
          </w:tcPr>
          <w:p w14:paraId="786AAAE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2F2C0B42"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i 12</w:t>
            </w:r>
          </w:p>
        </w:tc>
        <w:tc>
          <w:tcPr>
            <w:tcW w:w="1560" w:type="dxa"/>
            <w:shd w:val="clear" w:color="auto" w:fill="FFFFFF"/>
            <w:tcMar>
              <w:left w:w="108" w:type="dxa"/>
              <w:right w:w="108" w:type="dxa"/>
            </w:tcMar>
            <w:vAlign w:val="center"/>
          </w:tcPr>
          <w:p w14:paraId="47B8AFA1"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139,27</w:t>
            </w:r>
          </w:p>
        </w:tc>
        <w:tc>
          <w:tcPr>
            <w:tcW w:w="1417" w:type="dxa"/>
            <w:shd w:val="clear" w:color="auto" w:fill="FFFFFF"/>
            <w:tcMar>
              <w:left w:w="108" w:type="dxa"/>
              <w:right w:w="108" w:type="dxa"/>
            </w:tcMar>
            <w:vAlign w:val="center"/>
          </w:tcPr>
          <w:p w14:paraId="1336865D"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71,63</w:t>
            </w:r>
          </w:p>
        </w:tc>
      </w:tr>
      <w:tr w:rsidR="00076941" w:rsidRPr="009C52C4" w14:paraId="05154717" w14:textId="77777777" w:rsidTr="00867D28">
        <w:trPr>
          <w:trHeight w:val="20"/>
        </w:trPr>
        <w:tc>
          <w:tcPr>
            <w:tcW w:w="4361" w:type="dxa"/>
            <w:tcMar>
              <w:left w:w="108" w:type="dxa"/>
              <w:right w:w="108" w:type="dxa"/>
            </w:tcMar>
            <w:vAlign w:val="center"/>
          </w:tcPr>
          <w:p w14:paraId="38180FF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0E2A7B6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12 i 13</w:t>
            </w:r>
          </w:p>
        </w:tc>
        <w:tc>
          <w:tcPr>
            <w:tcW w:w="1560" w:type="dxa"/>
            <w:tcMar>
              <w:left w:w="108" w:type="dxa"/>
              <w:right w:w="108" w:type="dxa"/>
            </w:tcMar>
            <w:vAlign w:val="center"/>
          </w:tcPr>
          <w:p w14:paraId="0ECC3EF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187,88</w:t>
            </w:r>
          </w:p>
        </w:tc>
        <w:tc>
          <w:tcPr>
            <w:tcW w:w="1417" w:type="dxa"/>
            <w:shd w:val="clear" w:color="auto" w:fill="FFFFFF"/>
            <w:tcMar>
              <w:left w:w="108" w:type="dxa"/>
              <w:right w:w="108" w:type="dxa"/>
            </w:tcMar>
            <w:vAlign w:val="center"/>
          </w:tcPr>
          <w:p w14:paraId="4C982D79"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108,54</w:t>
            </w:r>
          </w:p>
        </w:tc>
      </w:tr>
      <w:tr w:rsidR="00076941" w:rsidRPr="009C52C4" w14:paraId="7F0D0B0D" w14:textId="77777777" w:rsidTr="00867D28">
        <w:trPr>
          <w:trHeight w:val="20"/>
        </w:trPr>
        <w:tc>
          <w:tcPr>
            <w:tcW w:w="9322" w:type="dxa"/>
            <w:gridSpan w:val="4"/>
            <w:shd w:val="clear" w:color="auto" w:fill="D9D9D9"/>
            <w:tcMar>
              <w:left w:w="108" w:type="dxa"/>
              <w:right w:w="108" w:type="dxa"/>
            </w:tcMar>
            <w:vAlign w:val="center"/>
          </w:tcPr>
          <w:p w14:paraId="1C54DF73"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Zgrade komercijalne namjene</w:t>
            </w:r>
          </w:p>
        </w:tc>
      </w:tr>
      <w:tr w:rsidR="00076941" w:rsidRPr="009C52C4" w14:paraId="46F2C96A" w14:textId="77777777" w:rsidTr="00867D28">
        <w:trPr>
          <w:trHeight w:val="20"/>
        </w:trPr>
        <w:tc>
          <w:tcPr>
            <w:tcW w:w="4361" w:type="dxa"/>
            <w:shd w:val="clear" w:color="auto" w:fill="FFFFFF" w:themeFill="background1"/>
            <w:tcMar>
              <w:left w:w="108" w:type="dxa"/>
              <w:right w:w="108" w:type="dxa"/>
            </w:tcMar>
          </w:tcPr>
          <w:p w14:paraId="326DEE7B"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3E62A8CB"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69F251DB"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156,69</w:t>
            </w:r>
          </w:p>
        </w:tc>
        <w:tc>
          <w:tcPr>
            <w:tcW w:w="1417" w:type="dxa"/>
            <w:shd w:val="clear" w:color="auto" w:fill="FFFFFF" w:themeFill="background1"/>
            <w:tcMar>
              <w:left w:w="108" w:type="dxa"/>
              <w:right w:w="108" w:type="dxa"/>
            </w:tcMar>
            <w:vAlign w:val="center"/>
          </w:tcPr>
          <w:p w14:paraId="103B1DCC"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82,82</w:t>
            </w:r>
          </w:p>
        </w:tc>
      </w:tr>
      <w:tr w:rsidR="00076941" w:rsidRPr="009C52C4" w14:paraId="583F5554" w14:textId="77777777" w:rsidTr="00867D28">
        <w:trPr>
          <w:trHeight w:val="20"/>
        </w:trPr>
        <w:tc>
          <w:tcPr>
            <w:tcW w:w="4361" w:type="dxa"/>
            <w:tcBorders>
              <w:bottom w:val="single" w:sz="4" w:space="0" w:color="000000"/>
            </w:tcBorders>
            <w:shd w:val="clear" w:color="auto" w:fill="D6E3BC"/>
            <w:tcMar>
              <w:left w:w="108" w:type="dxa"/>
              <w:right w:w="108" w:type="dxa"/>
            </w:tcMar>
          </w:tcPr>
          <w:p w14:paraId="6B25CB16"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23ECF432"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5460D68A"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171,08</w:t>
            </w:r>
          </w:p>
        </w:tc>
        <w:tc>
          <w:tcPr>
            <w:tcW w:w="1417" w:type="dxa"/>
            <w:tcBorders>
              <w:bottom w:val="single" w:sz="4" w:space="0" w:color="000000"/>
            </w:tcBorders>
            <w:shd w:val="clear" w:color="auto" w:fill="D6E3BC"/>
            <w:tcMar>
              <w:left w:w="108" w:type="dxa"/>
              <w:right w:w="108" w:type="dxa"/>
            </w:tcMar>
            <w:vAlign w:val="center"/>
          </w:tcPr>
          <w:p w14:paraId="221344B3"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88,47</w:t>
            </w:r>
          </w:p>
        </w:tc>
      </w:tr>
      <w:tr w:rsidR="00076941" w:rsidRPr="009C52C4" w14:paraId="428B6AF0" w14:textId="77777777" w:rsidTr="00867D28">
        <w:trPr>
          <w:trHeight w:val="20"/>
        </w:trPr>
        <w:tc>
          <w:tcPr>
            <w:tcW w:w="4361" w:type="dxa"/>
            <w:shd w:val="clear" w:color="auto" w:fill="FFFFFF" w:themeFill="background1"/>
            <w:tcMar>
              <w:left w:w="108" w:type="dxa"/>
              <w:right w:w="108" w:type="dxa"/>
            </w:tcMar>
            <w:vAlign w:val="center"/>
          </w:tcPr>
          <w:p w14:paraId="10B94A3D"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2F61CE0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562950B6"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172,83</w:t>
            </w:r>
          </w:p>
        </w:tc>
        <w:tc>
          <w:tcPr>
            <w:tcW w:w="1417" w:type="dxa"/>
            <w:shd w:val="clear" w:color="auto" w:fill="FFFFFF" w:themeFill="background1"/>
            <w:tcMar>
              <w:left w:w="108" w:type="dxa"/>
              <w:right w:w="108" w:type="dxa"/>
            </w:tcMar>
            <w:vAlign w:val="center"/>
          </w:tcPr>
          <w:p w14:paraId="0A0A271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89,15</w:t>
            </w:r>
          </w:p>
        </w:tc>
      </w:tr>
      <w:tr w:rsidR="00076941" w:rsidRPr="009C52C4" w14:paraId="3510E899" w14:textId="77777777" w:rsidTr="00867D28">
        <w:trPr>
          <w:trHeight w:val="20"/>
        </w:trPr>
        <w:tc>
          <w:tcPr>
            <w:tcW w:w="4361" w:type="dxa"/>
            <w:shd w:val="clear" w:color="auto" w:fill="FFFFFF"/>
            <w:tcMar>
              <w:left w:w="108" w:type="dxa"/>
              <w:right w:w="108" w:type="dxa"/>
            </w:tcMar>
            <w:vAlign w:val="center"/>
          </w:tcPr>
          <w:p w14:paraId="79924623"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7B999B7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i 12</w:t>
            </w:r>
          </w:p>
        </w:tc>
        <w:tc>
          <w:tcPr>
            <w:tcW w:w="1560" w:type="dxa"/>
            <w:shd w:val="clear" w:color="auto" w:fill="FFFFFF"/>
            <w:tcMar>
              <w:left w:w="108" w:type="dxa"/>
              <w:right w:w="108" w:type="dxa"/>
            </w:tcMar>
            <w:vAlign w:val="center"/>
          </w:tcPr>
          <w:p w14:paraId="4EEDC353"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189,66</w:t>
            </w:r>
          </w:p>
        </w:tc>
        <w:tc>
          <w:tcPr>
            <w:tcW w:w="1417" w:type="dxa"/>
            <w:shd w:val="clear" w:color="auto" w:fill="FFFFFF"/>
            <w:tcMar>
              <w:left w:w="108" w:type="dxa"/>
              <w:right w:w="108" w:type="dxa"/>
            </w:tcMar>
            <w:vAlign w:val="center"/>
          </w:tcPr>
          <w:p w14:paraId="126B2FA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97,88</w:t>
            </w:r>
          </w:p>
        </w:tc>
      </w:tr>
      <w:tr w:rsidR="00076941" w:rsidRPr="009C52C4" w14:paraId="4AF0BF53" w14:textId="77777777" w:rsidTr="00867D28">
        <w:trPr>
          <w:trHeight w:val="20"/>
        </w:trPr>
        <w:tc>
          <w:tcPr>
            <w:tcW w:w="4361" w:type="dxa"/>
            <w:tcMar>
              <w:left w:w="108" w:type="dxa"/>
              <w:right w:w="108" w:type="dxa"/>
            </w:tcMar>
            <w:vAlign w:val="center"/>
          </w:tcPr>
          <w:p w14:paraId="64B80CD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03D2B84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7, 8, 9, 10, 11, 12 i 13</w:t>
            </w:r>
          </w:p>
        </w:tc>
        <w:tc>
          <w:tcPr>
            <w:tcW w:w="1560" w:type="dxa"/>
            <w:tcMar>
              <w:left w:w="108" w:type="dxa"/>
              <w:right w:w="108" w:type="dxa"/>
            </w:tcMar>
            <w:vAlign w:val="center"/>
          </w:tcPr>
          <w:p w14:paraId="45F55463"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256,56</w:t>
            </w:r>
          </w:p>
        </w:tc>
        <w:tc>
          <w:tcPr>
            <w:tcW w:w="1417" w:type="dxa"/>
            <w:shd w:val="clear" w:color="auto" w:fill="FFFFFF"/>
            <w:tcMar>
              <w:left w:w="108" w:type="dxa"/>
              <w:right w:w="108" w:type="dxa"/>
            </w:tcMar>
            <w:vAlign w:val="center"/>
          </w:tcPr>
          <w:p w14:paraId="6FB341D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148,88</w:t>
            </w:r>
          </w:p>
        </w:tc>
      </w:tr>
      <w:tr w:rsidR="00076941" w:rsidRPr="009C52C4" w14:paraId="48B1A469" w14:textId="77777777" w:rsidTr="00867D28">
        <w:trPr>
          <w:trHeight w:val="20"/>
        </w:trPr>
        <w:tc>
          <w:tcPr>
            <w:tcW w:w="9322" w:type="dxa"/>
            <w:gridSpan w:val="4"/>
            <w:shd w:val="clear" w:color="auto" w:fill="D9D9D9"/>
            <w:tcMar>
              <w:left w:w="108" w:type="dxa"/>
              <w:right w:w="108" w:type="dxa"/>
            </w:tcMar>
            <w:vAlign w:val="center"/>
          </w:tcPr>
          <w:p w14:paraId="10E8A940"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Višestambene zgrade</w:t>
            </w:r>
          </w:p>
        </w:tc>
      </w:tr>
      <w:tr w:rsidR="00076941" w:rsidRPr="009C52C4" w14:paraId="1D02C554" w14:textId="77777777" w:rsidTr="00867D28">
        <w:trPr>
          <w:trHeight w:val="20"/>
        </w:trPr>
        <w:tc>
          <w:tcPr>
            <w:tcW w:w="4361" w:type="dxa"/>
            <w:shd w:val="clear" w:color="auto" w:fill="FFFFFF" w:themeFill="background1"/>
            <w:tcMar>
              <w:left w:w="108" w:type="dxa"/>
              <w:right w:w="108" w:type="dxa"/>
            </w:tcMar>
          </w:tcPr>
          <w:p w14:paraId="61FD37C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4A51626C"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2F39AB9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78,49</w:t>
            </w:r>
          </w:p>
        </w:tc>
        <w:tc>
          <w:tcPr>
            <w:tcW w:w="1417" w:type="dxa"/>
            <w:shd w:val="clear" w:color="auto" w:fill="FFFFFF" w:themeFill="background1"/>
            <w:tcMar>
              <w:left w:w="108" w:type="dxa"/>
              <w:right w:w="108" w:type="dxa"/>
            </w:tcMar>
            <w:vAlign w:val="center"/>
          </w:tcPr>
          <w:p w14:paraId="527992D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29,19</w:t>
            </w:r>
          </w:p>
        </w:tc>
      </w:tr>
      <w:tr w:rsidR="00076941" w:rsidRPr="009C52C4" w14:paraId="04786C34" w14:textId="77777777" w:rsidTr="00867D28">
        <w:trPr>
          <w:trHeight w:val="20"/>
        </w:trPr>
        <w:tc>
          <w:tcPr>
            <w:tcW w:w="4361" w:type="dxa"/>
            <w:tcBorders>
              <w:bottom w:val="single" w:sz="4" w:space="0" w:color="000000"/>
            </w:tcBorders>
            <w:shd w:val="clear" w:color="auto" w:fill="D6E3BC"/>
            <w:tcMar>
              <w:left w:w="108" w:type="dxa"/>
              <w:right w:w="108" w:type="dxa"/>
            </w:tcMar>
          </w:tcPr>
          <w:p w14:paraId="0E58FA17"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lastRenderedPageBreak/>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067EFE47"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lastRenderedPageBreak/>
              <w:t xml:space="preserve">Mjere 0, 1, 2, 3, </w:t>
            </w:r>
            <w:r w:rsidRPr="009C52C4">
              <w:rPr>
                <w:rFonts w:ascii="Times New Roman" w:hAnsi="Times New Roman" w:cs="Times New Roman"/>
                <w:sz w:val="24"/>
                <w:szCs w:val="24"/>
              </w:rPr>
              <w:lastRenderedPageBreak/>
              <w:t>4, 6, 7, 8, 9, 10, 11 i 12</w:t>
            </w:r>
          </w:p>
        </w:tc>
        <w:tc>
          <w:tcPr>
            <w:tcW w:w="1560" w:type="dxa"/>
            <w:tcBorders>
              <w:bottom w:val="single" w:sz="4" w:space="0" w:color="000000"/>
            </w:tcBorders>
            <w:shd w:val="clear" w:color="auto" w:fill="D6E3BC"/>
            <w:tcMar>
              <w:left w:w="108" w:type="dxa"/>
              <w:right w:w="108" w:type="dxa"/>
            </w:tcMar>
            <w:vAlign w:val="center"/>
          </w:tcPr>
          <w:p w14:paraId="50EDACEE"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82,67</w:t>
            </w:r>
          </w:p>
        </w:tc>
        <w:tc>
          <w:tcPr>
            <w:tcW w:w="1417" w:type="dxa"/>
            <w:tcBorders>
              <w:bottom w:val="single" w:sz="4" w:space="0" w:color="000000"/>
            </w:tcBorders>
            <w:shd w:val="clear" w:color="auto" w:fill="D6E3BC"/>
            <w:tcMar>
              <w:left w:w="108" w:type="dxa"/>
              <w:right w:w="108" w:type="dxa"/>
            </w:tcMar>
            <w:vAlign w:val="center"/>
          </w:tcPr>
          <w:p w14:paraId="490FF6B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30,37</w:t>
            </w:r>
          </w:p>
        </w:tc>
      </w:tr>
      <w:tr w:rsidR="00076941" w:rsidRPr="009C52C4" w14:paraId="48456BDD" w14:textId="77777777" w:rsidTr="00867D28">
        <w:trPr>
          <w:trHeight w:val="20"/>
        </w:trPr>
        <w:tc>
          <w:tcPr>
            <w:tcW w:w="4361" w:type="dxa"/>
            <w:shd w:val="clear" w:color="auto" w:fill="FFFFFF" w:themeFill="background1"/>
            <w:tcMar>
              <w:left w:w="108" w:type="dxa"/>
              <w:right w:w="108" w:type="dxa"/>
            </w:tcMar>
            <w:vAlign w:val="center"/>
          </w:tcPr>
          <w:p w14:paraId="1ADBB054"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79084B26"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i 7</w:t>
            </w:r>
          </w:p>
        </w:tc>
        <w:tc>
          <w:tcPr>
            <w:tcW w:w="1560" w:type="dxa"/>
            <w:shd w:val="clear" w:color="auto" w:fill="FFFFFF" w:themeFill="background1"/>
            <w:tcMar>
              <w:left w:w="108" w:type="dxa"/>
              <w:right w:w="108" w:type="dxa"/>
            </w:tcMar>
            <w:vAlign w:val="center"/>
          </w:tcPr>
          <w:p w14:paraId="4E37D95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84,66</w:t>
            </w:r>
          </w:p>
        </w:tc>
        <w:tc>
          <w:tcPr>
            <w:tcW w:w="1417" w:type="dxa"/>
            <w:shd w:val="clear" w:color="auto" w:fill="FFFFFF" w:themeFill="background1"/>
            <w:tcMar>
              <w:left w:w="108" w:type="dxa"/>
              <w:right w:w="108" w:type="dxa"/>
            </w:tcMar>
            <w:vAlign w:val="center"/>
          </w:tcPr>
          <w:p w14:paraId="4F995457"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30,93</w:t>
            </w:r>
          </w:p>
        </w:tc>
      </w:tr>
      <w:tr w:rsidR="00076941" w:rsidRPr="009C52C4" w14:paraId="2EA1DD06" w14:textId="77777777" w:rsidTr="00867D28">
        <w:trPr>
          <w:trHeight w:val="20"/>
        </w:trPr>
        <w:tc>
          <w:tcPr>
            <w:tcW w:w="4361" w:type="dxa"/>
            <w:shd w:val="clear" w:color="auto" w:fill="FFFFFF"/>
            <w:tcMar>
              <w:left w:w="108" w:type="dxa"/>
              <w:right w:w="108" w:type="dxa"/>
            </w:tcMar>
            <w:vAlign w:val="center"/>
          </w:tcPr>
          <w:p w14:paraId="2A47EA7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23FA56EF"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5, 6 i 7</w:t>
            </w:r>
          </w:p>
        </w:tc>
        <w:tc>
          <w:tcPr>
            <w:tcW w:w="1560" w:type="dxa"/>
            <w:shd w:val="clear" w:color="auto" w:fill="FFFFFF"/>
            <w:tcMar>
              <w:left w:w="108" w:type="dxa"/>
              <w:right w:w="108" w:type="dxa"/>
            </w:tcMar>
            <w:vAlign w:val="center"/>
          </w:tcPr>
          <w:p w14:paraId="55E5CCCA"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102,01</w:t>
            </w:r>
          </w:p>
        </w:tc>
        <w:tc>
          <w:tcPr>
            <w:tcW w:w="1417" w:type="dxa"/>
            <w:shd w:val="clear" w:color="auto" w:fill="FFFFFF"/>
            <w:tcMar>
              <w:left w:w="108" w:type="dxa"/>
              <w:right w:w="108" w:type="dxa"/>
            </w:tcMar>
            <w:vAlign w:val="center"/>
          </w:tcPr>
          <w:p w14:paraId="6BEE4389"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37,09</w:t>
            </w:r>
          </w:p>
        </w:tc>
      </w:tr>
      <w:tr w:rsidR="00076941" w:rsidRPr="009C52C4" w14:paraId="7A2D9217" w14:textId="77777777" w:rsidTr="00867D28">
        <w:trPr>
          <w:trHeight w:val="20"/>
        </w:trPr>
        <w:tc>
          <w:tcPr>
            <w:tcW w:w="9322" w:type="dxa"/>
            <w:gridSpan w:val="4"/>
            <w:shd w:val="clear" w:color="auto" w:fill="D9D9D9"/>
            <w:tcMar>
              <w:left w:w="108" w:type="dxa"/>
              <w:right w:w="108" w:type="dxa"/>
            </w:tcMar>
            <w:vAlign w:val="center"/>
          </w:tcPr>
          <w:p w14:paraId="12A90B92"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Obiteljske kuće</w:t>
            </w:r>
          </w:p>
        </w:tc>
      </w:tr>
      <w:tr w:rsidR="00076941" w:rsidRPr="009C52C4" w14:paraId="5D4FCF30" w14:textId="77777777" w:rsidTr="00867D28">
        <w:trPr>
          <w:trHeight w:val="20"/>
        </w:trPr>
        <w:tc>
          <w:tcPr>
            <w:tcW w:w="4361" w:type="dxa"/>
            <w:shd w:val="clear" w:color="auto" w:fill="FFFFFF" w:themeFill="background1"/>
            <w:tcMar>
              <w:left w:w="108" w:type="dxa"/>
              <w:right w:w="108" w:type="dxa"/>
            </w:tcMar>
          </w:tcPr>
          <w:p w14:paraId="414A6315"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sz w:val="24"/>
                <w:szCs w:val="24"/>
              </w:rPr>
              <w:t>Tehničkog propisa</w:t>
            </w:r>
          </w:p>
        </w:tc>
        <w:tc>
          <w:tcPr>
            <w:tcW w:w="1984" w:type="dxa"/>
            <w:shd w:val="clear" w:color="auto" w:fill="D9D9D9" w:themeFill="background1" w:themeFillShade="D9"/>
            <w:tcMar>
              <w:left w:w="108" w:type="dxa"/>
              <w:right w:w="108" w:type="dxa"/>
            </w:tcMar>
            <w:vAlign w:val="center"/>
          </w:tcPr>
          <w:p w14:paraId="5DC7F7AA"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shd w:val="clear" w:color="auto" w:fill="FFFFFF" w:themeFill="background1"/>
            <w:tcMar>
              <w:left w:w="108" w:type="dxa"/>
              <w:right w:w="108" w:type="dxa"/>
            </w:tcMar>
            <w:vAlign w:val="center"/>
          </w:tcPr>
          <w:p w14:paraId="5B752932"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139,12</w:t>
            </w:r>
          </w:p>
        </w:tc>
        <w:tc>
          <w:tcPr>
            <w:tcW w:w="1417" w:type="dxa"/>
            <w:shd w:val="clear" w:color="auto" w:fill="FFFFFF" w:themeFill="background1"/>
            <w:tcMar>
              <w:left w:w="108" w:type="dxa"/>
              <w:right w:w="108" w:type="dxa"/>
            </w:tcMar>
            <w:vAlign w:val="center"/>
          </w:tcPr>
          <w:p w14:paraId="38BA4758"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54,97</w:t>
            </w:r>
          </w:p>
        </w:tc>
      </w:tr>
      <w:tr w:rsidR="00076941" w:rsidRPr="009C52C4" w14:paraId="5E4862A8" w14:textId="77777777" w:rsidTr="00867D28">
        <w:trPr>
          <w:trHeight w:val="20"/>
        </w:trPr>
        <w:tc>
          <w:tcPr>
            <w:tcW w:w="4361" w:type="dxa"/>
            <w:tcBorders>
              <w:bottom w:val="single" w:sz="4" w:space="0" w:color="000000"/>
            </w:tcBorders>
            <w:shd w:val="clear" w:color="auto" w:fill="D6E3BC"/>
            <w:tcMar>
              <w:left w:w="108" w:type="dxa"/>
              <w:right w:w="108" w:type="dxa"/>
            </w:tcMar>
          </w:tcPr>
          <w:p w14:paraId="59CC4492"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za veliku rekonstrukciju</w:t>
            </w:r>
          </w:p>
        </w:tc>
        <w:tc>
          <w:tcPr>
            <w:tcW w:w="1984" w:type="dxa"/>
            <w:tcBorders>
              <w:bottom w:val="single" w:sz="4" w:space="0" w:color="000000"/>
            </w:tcBorders>
            <w:shd w:val="clear" w:color="auto" w:fill="D6E3BC"/>
            <w:tcMar>
              <w:left w:w="108" w:type="dxa"/>
              <w:right w:w="108" w:type="dxa"/>
            </w:tcMar>
            <w:vAlign w:val="center"/>
          </w:tcPr>
          <w:p w14:paraId="0C6F709B"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Mjere 0, 1, 2, 3, 4, 6, 7, 8, 9, 10, 11 i 12</w:t>
            </w:r>
          </w:p>
        </w:tc>
        <w:tc>
          <w:tcPr>
            <w:tcW w:w="1560" w:type="dxa"/>
            <w:tcBorders>
              <w:bottom w:val="single" w:sz="4" w:space="0" w:color="000000"/>
            </w:tcBorders>
            <w:shd w:val="clear" w:color="auto" w:fill="D6E3BC"/>
            <w:tcMar>
              <w:left w:w="108" w:type="dxa"/>
              <w:right w:w="108" w:type="dxa"/>
            </w:tcMar>
            <w:vAlign w:val="center"/>
          </w:tcPr>
          <w:p w14:paraId="2A3F9C70"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152,55</w:t>
            </w:r>
          </w:p>
        </w:tc>
        <w:tc>
          <w:tcPr>
            <w:tcW w:w="1417" w:type="dxa"/>
            <w:tcBorders>
              <w:bottom w:val="single" w:sz="4" w:space="0" w:color="000000"/>
            </w:tcBorders>
            <w:shd w:val="clear" w:color="auto" w:fill="D6E3BC"/>
            <w:tcMar>
              <w:left w:w="108" w:type="dxa"/>
              <w:right w:w="108" w:type="dxa"/>
            </w:tcMar>
            <w:vAlign w:val="center"/>
          </w:tcPr>
          <w:p w14:paraId="65613C0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58,57</w:t>
            </w:r>
          </w:p>
        </w:tc>
      </w:tr>
      <w:tr w:rsidR="00076941" w:rsidRPr="009C52C4" w14:paraId="413EFD47" w14:textId="77777777" w:rsidTr="00867D28">
        <w:trPr>
          <w:trHeight w:val="20"/>
        </w:trPr>
        <w:tc>
          <w:tcPr>
            <w:tcW w:w="4361" w:type="dxa"/>
            <w:shd w:val="clear" w:color="auto" w:fill="FFFFFF" w:themeFill="background1"/>
            <w:tcMar>
              <w:left w:w="108" w:type="dxa"/>
              <w:right w:w="108" w:type="dxa"/>
            </w:tcMar>
            <w:vAlign w:val="center"/>
          </w:tcPr>
          <w:p w14:paraId="19FDB4E1"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984" w:type="dxa"/>
            <w:shd w:val="clear" w:color="auto" w:fill="D9D9D9" w:themeFill="background1" w:themeFillShade="D9"/>
            <w:tcMar>
              <w:left w:w="108" w:type="dxa"/>
              <w:right w:w="108" w:type="dxa"/>
            </w:tcMar>
            <w:vAlign w:val="center"/>
          </w:tcPr>
          <w:p w14:paraId="3510DA28"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6, 7, 8, 9 i 10</w:t>
            </w:r>
          </w:p>
        </w:tc>
        <w:tc>
          <w:tcPr>
            <w:tcW w:w="1560" w:type="dxa"/>
            <w:shd w:val="clear" w:color="auto" w:fill="FFFFFF" w:themeFill="background1"/>
            <w:tcMar>
              <w:left w:w="108" w:type="dxa"/>
              <w:right w:w="108" w:type="dxa"/>
            </w:tcMar>
            <w:vAlign w:val="center"/>
          </w:tcPr>
          <w:p w14:paraId="628DEFC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154,03</w:t>
            </w:r>
          </w:p>
        </w:tc>
        <w:tc>
          <w:tcPr>
            <w:tcW w:w="1417" w:type="dxa"/>
            <w:shd w:val="clear" w:color="auto" w:fill="FFFFFF" w:themeFill="background1"/>
            <w:tcMar>
              <w:left w:w="108" w:type="dxa"/>
              <w:right w:w="108" w:type="dxa"/>
            </w:tcMar>
            <w:vAlign w:val="center"/>
          </w:tcPr>
          <w:p w14:paraId="7A343E17"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58,97</w:t>
            </w:r>
          </w:p>
        </w:tc>
      </w:tr>
      <w:tr w:rsidR="00076941" w:rsidRPr="009C52C4" w14:paraId="21D21B1C" w14:textId="77777777" w:rsidTr="00867D28">
        <w:trPr>
          <w:trHeight w:val="20"/>
        </w:trPr>
        <w:tc>
          <w:tcPr>
            <w:tcW w:w="4361" w:type="dxa"/>
            <w:shd w:val="clear" w:color="auto" w:fill="FFFFFF"/>
            <w:tcMar>
              <w:left w:w="108" w:type="dxa"/>
              <w:right w:w="108" w:type="dxa"/>
            </w:tcMar>
            <w:vAlign w:val="center"/>
          </w:tcPr>
          <w:p w14:paraId="28876FA0"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984" w:type="dxa"/>
            <w:shd w:val="clear" w:color="auto" w:fill="D9D9D9"/>
            <w:tcMar>
              <w:left w:w="108" w:type="dxa"/>
              <w:right w:w="108" w:type="dxa"/>
            </w:tcMar>
            <w:vAlign w:val="center"/>
          </w:tcPr>
          <w:p w14:paraId="6ED21700"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5, 6, 7, 8, 9 i 10</w:t>
            </w:r>
          </w:p>
        </w:tc>
        <w:tc>
          <w:tcPr>
            <w:tcW w:w="1560" w:type="dxa"/>
            <w:shd w:val="clear" w:color="auto" w:fill="FFFFFF"/>
            <w:tcMar>
              <w:left w:w="108" w:type="dxa"/>
              <w:right w:w="108" w:type="dxa"/>
            </w:tcMar>
            <w:vAlign w:val="center"/>
          </w:tcPr>
          <w:p w14:paraId="0CC95EF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176,21</w:t>
            </w:r>
          </w:p>
        </w:tc>
        <w:tc>
          <w:tcPr>
            <w:tcW w:w="1417" w:type="dxa"/>
            <w:shd w:val="clear" w:color="auto" w:fill="FFFFFF"/>
            <w:tcMar>
              <w:left w:w="108" w:type="dxa"/>
              <w:right w:w="108" w:type="dxa"/>
            </w:tcMar>
            <w:vAlign w:val="center"/>
          </w:tcPr>
          <w:p w14:paraId="244C652C"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67,03</w:t>
            </w:r>
          </w:p>
        </w:tc>
      </w:tr>
      <w:tr w:rsidR="00076941" w:rsidRPr="009C52C4" w14:paraId="1BBE3AFC" w14:textId="77777777" w:rsidTr="00867D28">
        <w:trPr>
          <w:trHeight w:val="20"/>
        </w:trPr>
        <w:tc>
          <w:tcPr>
            <w:tcW w:w="4361" w:type="dxa"/>
            <w:tcMar>
              <w:left w:w="108" w:type="dxa"/>
              <w:right w:w="108" w:type="dxa"/>
            </w:tcMar>
            <w:vAlign w:val="center"/>
          </w:tcPr>
          <w:p w14:paraId="1466B7A6" w14:textId="77777777" w:rsidR="00076941" w:rsidRPr="009C52C4" w:rsidRDefault="00076941" w:rsidP="00867D28">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984" w:type="dxa"/>
            <w:shd w:val="clear" w:color="auto" w:fill="D9D9D9"/>
            <w:tcMar>
              <w:left w:w="108" w:type="dxa"/>
              <w:right w:w="108" w:type="dxa"/>
            </w:tcMar>
            <w:vAlign w:val="center"/>
          </w:tcPr>
          <w:p w14:paraId="43A010CE" w14:textId="77777777" w:rsidR="00076941" w:rsidRPr="009C52C4" w:rsidRDefault="00076941" w:rsidP="00867D28">
            <w:pPr>
              <w:rPr>
                <w:rFonts w:ascii="Times New Roman" w:hAnsi="Times New Roman" w:cs="Times New Roman"/>
                <w:color w:val="auto"/>
                <w:sz w:val="24"/>
                <w:szCs w:val="24"/>
              </w:rPr>
            </w:pPr>
            <w:r w:rsidRPr="009C52C4">
              <w:rPr>
                <w:rFonts w:ascii="Times New Roman" w:hAnsi="Times New Roman" w:cs="Times New Roman"/>
                <w:color w:val="auto"/>
                <w:sz w:val="24"/>
                <w:szCs w:val="24"/>
              </w:rPr>
              <w:t>Mjere 0, 1, 2, 3, 4, 5, 6, 7, 8, 9, 10 i 13</w:t>
            </w:r>
          </w:p>
        </w:tc>
        <w:tc>
          <w:tcPr>
            <w:tcW w:w="1560" w:type="dxa"/>
            <w:tcMar>
              <w:left w:w="108" w:type="dxa"/>
              <w:right w:w="108" w:type="dxa"/>
            </w:tcMar>
            <w:vAlign w:val="center"/>
          </w:tcPr>
          <w:p w14:paraId="6EB17CD5"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211,38</w:t>
            </w:r>
          </w:p>
        </w:tc>
        <w:tc>
          <w:tcPr>
            <w:tcW w:w="1417" w:type="dxa"/>
            <w:shd w:val="clear" w:color="auto" w:fill="FFFFFF"/>
            <w:tcMar>
              <w:left w:w="108" w:type="dxa"/>
              <w:right w:w="108" w:type="dxa"/>
            </w:tcMar>
            <w:vAlign w:val="center"/>
          </w:tcPr>
          <w:p w14:paraId="2A0EFAF4" w14:textId="77777777" w:rsidR="00076941" w:rsidRPr="009C52C4" w:rsidRDefault="00076941" w:rsidP="00867D28">
            <w:pPr>
              <w:jc w:val="center"/>
              <w:rPr>
                <w:rFonts w:ascii="Times New Roman" w:hAnsi="Times New Roman" w:cs="Times New Roman"/>
                <w:sz w:val="24"/>
                <w:szCs w:val="24"/>
              </w:rPr>
            </w:pPr>
            <w:r w:rsidRPr="009C52C4">
              <w:rPr>
                <w:rFonts w:ascii="Times New Roman" w:hAnsi="Times New Roman" w:cs="Times New Roman"/>
                <w:sz w:val="24"/>
                <w:szCs w:val="24"/>
              </w:rPr>
              <w:t>93,38</w:t>
            </w:r>
          </w:p>
        </w:tc>
      </w:tr>
      <w:tr w:rsidR="00076941" w:rsidRPr="009C52C4" w14:paraId="7A1D92A2" w14:textId="77777777" w:rsidTr="00867D28">
        <w:trPr>
          <w:trHeight w:val="20"/>
        </w:trPr>
        <w:tc>
          <w:tcPr>
            <w:tcW w:w="9322" w:type="dxa"/>
            <w:gridSpan w:val="4"/>
            <w:tcMar>
              <w:left w:w="108" w:type="dxa"/>
              <w:right w:w="108" w:type="dxa"/>
            </w:tcMar>
            <w:vAlign w:val="center"/>
          </w:tcPr>
          <w:p w14:paraId="6BE98EF1"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0: Energetski pregled zgrade i uspostava sustavnog gospodarenja energijom</w:t>
            </w:r>
          </w:p>
        </w:tc>
      </w:tr>
      <w:tr w:rsidR="00076941" w:rsidRPr="009C52C4" w14:paraId="214B38AF" w14:textId="77777777" w:rsidTr="00867D28">
        <w:trPr>
          <w:trHeight w:val="20"/>
        </w:trPr>
        <w:tc>
          <w:tcPr>
            <w:tcW w:w="9322" w:type="dxa"/>
            <w:gridSpan w:val="4"/>
            <w:tcMar>
              <w:left w:w="108" w:type="dxa"/>
              <w:right w:w="108" w:type="dxa"/>
            </w:tcMar>
            <w:vAlign w:val="center"/>
          </w:tcPr>
          <w:p w14:paraId="5B8F3E05"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 Zamjena vanjske stolarije</w:t>
            </w:r>
          </w:p>
        </w:tc>
      </w:tr>
      <w:tr w:rsidR="00076941" w:rsidRPr="009C52C4" w14:paraId="36659743" w14:textId="77777777" w:rsidTr="00867D28">
        <w:trPr>
          <w:trHeight w:val="20"/>
        </w:trPr>
        <w:tc>
          <w:tcPr>
            <w:tcW w:w="9322" w:type="dxa"/>
            <w:gridSpan w:val="4"/>
            <w:tcMar>
              <w:left w:w="108" w:type="dxa"/>
              <w:right w:w="108" w:type="dxa"/>
            </w:tcMar>
            <w:vAlign w:val="center"/>
          </w:tcPr>
          <w:p w14:paraId="5DCA5682"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2: Ugradnja toplinske izolacije vanjskih zidova</w:t>
            </w:r>
          </w:p>
        </w:tc>
      </w:tr>
      <w:tr w:rsidR="00076941" w:rsidRPr="009C52C4" w14:paraId="373EBC19" w14:textId="77777777" w:rsidTr="00867D28">
        <w:trPr>
          <w:trHeight w:val="20"/>
        </w:trPr>
        <w:tc>
          <w:tcPr>
            <w:tcW w:w="9322" w:type="dxa"/>
            <w:gridSpan w:val="4"/>
            <w:tcMar>
              <w:left w:w="108" w:type="dxa"/>
              <w:right w:w="108" w:type="dxa"/>
            </w:tcMar>
            <w:vAlign w:val="center"/>
          </w:tcPr>
          <w:p w14:paraId="7268BD9A"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3: Ugradnja toplinske izolacije krova/stropa prema negrijanom potkrovlju</w:t>
            </w:r>
          </w:p>
        </w:tc>
      </w:tr>
      <w:tr w:rsidR="00076941" w:rsidRPr="009C52C4" w14:paraId="5D3F331C" w14:textId="77777777" w:rsidTr="00867D28">
        <w:trPr>
          <w:trHeight w:val="20"/>
        </w:trPr>
        <w:tc>
          <w:tcPr>
            <w:tcW w:w="9322" w:type="dxa"/>
            <w:gridSpan w:val="4"/>
            <w:tcMar>
              <w:left w:w="108" w:type="dxa"/>
              <w:right w:w="108" w:type="dxa"/>
            </w:tcMar>
            <w:vAlign w:val="center"/>
          </w:tcPr>
          <w:p w14:paraId="7CC2EE5C"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4: Ugradnja toplinske izolacije stropa prema negrijanom podrumu (ukoliko postoji)</w:t>
            </w:r>
          </w:p>
        </w:tc>
      </w:tr>
      <w:tr w:rsidR="00076941" w:rsidRPr="009C52C4" w14:paraId="66E78DC2" w14:textId="77777777" w:rsidTr="00867D28">
        <w:trPr>
          <w:trHeight w:val="20"/>
        </w:trPr>
        <w:tc>
          <w:tcPr>
            <w:tcW w:w="9322" w:type="dxa"/>
            <w:gridSpan w:val="4"/>
            <w:tcMar>
              <w:left w:w="108" w:type="dxa"/>
              <w:right w:w="108" w:type="dxa"/>
            </w:tcMar>
            <w:vAlign w:val="center"/>
          </w:tcPr>
          <w:p w14:paraId="5C98A465"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5: Ugradnja toplinske izolacije poda na tlu</w:t>
            </w:r>
          </w:p>
        </w:tc>
      </w:tr>
      <w:tr w:rsidR="00076941" w:rsidRPr="009C52C4" w14:paraId="24A421B4" w14:textId="77777777" w:rsidTr="00867D28">
        <w:trPr>
          <w:trHeight w:val="20"/>
        </w:trPr>
        <w:tc>
          <w:tcPr>
            <w:tcW w:w="9322" w:type="dxa"/>
            <w:gridSpan w:val="4"/>
            <w:tcMar>
              <w:left w:w="108" w:type="dxa"/>
              <w:right w:w="108" w:type="dxa"/>
            </w:tcMar>
            <w:vAlign w:val="center"/>
          </w:tcPr>
          <w:p w14:paraId="5C3627DD"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6: Centralizacija i modernizacija sustava grijanja uz, ukoliko je moguće, primjenu OIE</w:t>
            </w:r>
          </w:p>
        </w:tc>
      </w:tr>
      <w:tr w:rsidR="00076941" w:rsidRPr="009C52C4" w14:paraId="6E48E513" w14:textId="77777777" w:rsidTr="00867D28">
        <w:trPr>
          <w:trHeight w:val="20"/>
        </w:trPr>
        <w:tc>
          <w:tcPr>
            <w:tcW w:w="9322" w:type="dxa"/>
            <w:gridSpan w:val="4"/>
            <w:tcMar>
              <w:left w:w="108" w:type="dxa"/>
              <w:right w:w="108" w:type="dxa"/>
            </w:tcMar>
            <w:vAlign w:val="center"/>
          </w:tcPr>
          <w:p w14:paraId="47ADB6C1"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7: Centralizacija i modernizacija sustava hlađenja i ventilacije uz primjenu OIE</w:t>
            </w:r>
          </w:p>
        </w:tc>
      </w:tr>
      <w:tr w:rsidR="00076941" w:rsidRPr="009C52C4" w14:paraId="0A86DFE4" w14:textId="77777777" w:rsidTr="00867D28">
        <w:trPr>
          <w:trHeight w:val="20"/>
        </w:trPr>
        <w:tc>
          <w:tcPr>
            <w:tcW w:w="9322" w:type="dxa"/>
            <w:gridSpan w:val="4"/>
            <w:tcMar>
              <w:left w:w="108" w:type="dxa"/>
              <w:right w:w="108" w:type="dxa"/>
            </w:tcMar>
            <w:vAlign w:val="center"/>
          </w:tcPr>
          <w:p w14:paraId="7D88F75F"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8: Centralizacija i modernizacija sustava pripreme potrošne tople vode uz primjenu OIE</w:t>
            </w:r>
          </w:p>
        </w:tc>
      </w:tr>
      <w:tr w:rsidR="00076941" w:rsidRPr="009C52C4" w14:paraId="27C37D33" w14:textId="77777777" w:rsidTr="00867D28">
        <w:trPr>
          <w:trHeight w:val="20"/>
        </w:trPr>
        <w:tc>
          <w:tcPr>
            <w:tcW w:w="9322" w:type="dxa"/>
            <w:gridSpan w:val="4"/>
            <w:tcMar>
              <w:left w:w="108" w:type="dxa"/>
              <w:right w:w="108" w:type="dxa"/>
            </w:tcMar>
            <w:vAlign w:val="center"/>
          </w:tcPr>
          <w:p w14:paraId="7347E25A"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9: Modernizacija sustava rasvjete</w:t>
            </w:r>
          </w:p>
        </w:tc>
      </w:tr>
      <w:tr w:rsidR="00076941" w:rsidRPr="009C52C4" w14:paraId="480FF4F6" w14:textId="77777777" w:rsidTr="00867D28">
        <w:trPr>
          <w:trHeight w:val="20"/>
        </w:trPr>
        <w:tc>
          <w:tcPr>
            <w:tcW w:w="9322" w:type="dxa"/>
            <w:gridSpan w:val="4"/>
            <w:tcMar>
              <w:left w:w="108" w:type="dxa"/>
              <w:right w:w="108" w:type="dxa"/>
            </w:tcMar>
            <w:vAlign w:val="center"/>
          </w:tcPr>
          <w:p w14:paraId="11A6D397"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10: Smanjenje potrošnje vode</w:t>
            </w:r>
          </w:p>
        </w:tc>
      </w:tr>
      <w:tr w:rsidR="00076941" w:rsidRPr="009C52C4" w14:paraId="46F87AE8" w14:textId="77777777" w:rsidTr="00867D28">
        <w:trPr>
          <w:trHeight w:val="20"/>
        </w:trPr>
        <w:tc>
          <w:tcPr>
            <w:tcW w:w="9322" w:type="dxa"/>
            <w:gridSpan w:val="4"/>
            <w:tcMar>
              <w:left w:w="108" w:type="dxa"/>
              <w:right w:w="108" w:type="dxa"/>
            </w:tcMar>
            <w:vAlign w:val="center"/>
          </w:tcPr>
          <w:p w14:paraId="2735688C"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11: Ugradnja centralnog nadzornog i upravljačkog sustava</w:t>
            </w:r>
          </w:p>
        </w:tc>
      </w:tr>
      <w:tr w:rsidR="00076941" w:rsidRPr="009C52C4" w14:paraId="3D382FBA" w14:textId="77777777" w:rsidTr="00867D28">
        <w:trPr>
          <w:trHeight w:val="20"/>
        </w:trPr>
        <w:tc>
          <w:tcPr>
            <w:tcW w:w="9322" w:type="dxa"/>
            <w:gridSpan w:val="4"/>
            <w:tcMar>
              <w:left w:w="108" w:type="dxa"/>
              <w:right w:w="108" w:type="dxa"/>
            </w:tcMar>
            <w:vAlign w:val="center"/>
          </w:tcPr>
          <w:p w14:paraId="458FEB06"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12: Ugradnja uređaja za kompenzaciju jalove energije</w:t>
            </w:r>
          </w:p>
        </w:tc>
      </w:tr>
      <w:tr w:rsidR="00076941" w:rsidRPr="009C52C4" w14:paraId="22DCD66B" w14:textId="77777777" w:rsidTr="00867D28">
        <w:trPr>
          <w:trHeight w:val="20"/>
        </w:trPr>
        <w:tc>
          <w:tcPr>
            <w:tcW w:w="9322" w:type="dxa"/>
            <w:gridSpan w:val="4"/>
            <w:tcMar>
              <w:left w:w="108" w:type="dxa"/>
              <w:right w:w="108" w:type="dxa"/>
            </w:tcMar>
            <w:vAlign w:val="center"/>
          </w:tcPr>
          <w:p w14:paraId="2F8BD7A6" w14:textId="77777777" w:rsidR="00076941" w:rsidRPr="009C52C4" w:rsidRDefault="00076941" w:rsidP="00867D28">
            <w:pPr>
              <w:widowControl w:val="0"/>
              <w:spacing w:line="276" w:lineRule="auto"/>
              <w:jc w:val="left"/>
              <w:rPr>
                <w:rFonts w:ascii="Times New Roman" w:hAnsi="Times New Roman" w:cs="Times New Roman"/>
                <w:sz w:val="24"/>
                <w:szCs w:val="24"/>
              </w:rPr>
            </w:pPr>
            <w:r w:rsidRPr="009C52C4">
              <w:rPr>
                <w:rFonts w:ascii="Times New Roman" w:hAnsi="Times New Roman" w:cs="Times New Roman"/>
                <w:sz w:val="24"/>
                <w:szCs w:val="24"/>
              </w:rPr>
              <w:t>Mjera 13: Ugradnja fotonaponskih modula za proizvodnju električne energije iz OIE</w:t>
            </w:r>
          </w:p>
        </w:tc>
      </w:tr>
    </w:tbl>
    <w:p w14:paraId="0D1A9BEB" w14:textId="77777777" w:rsidR="00076941" w:rsidRPr="009C52C4" w:rsidRDefault="00076941" w:rsidP="00076941">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50DC4011" w14:textId="5C0E46DE"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lastRenderedPageBreak/>
        <w:t>Iznosi investicije u energetsku obnovu izračunati su iz dostupnih troškovnika projekata energetske obnove koje Regionalna energetska agencija Sjeverozapadne Hrvatske provodi tijekom posljednjih pet godina</w:t>
      </w:r>
      <w:r w:rsidR="00F20E58" w:rsidRPr="009C52C4">
        <w:rPr>
          <w:rFonts w:ascii="Times New Roman" w:hAnsi="Times New Roman" w:cs="Times New Roman"/>
          <w:sz w:val="24"/>
          <w:szCs w:val="24"/>
        </w:rPr>
        <w:t xml:space="preserve"> i iz Programa energetske obnove zgrada javnog sektora za razdoblje 2016. – 2020., Tablice 7.1., 7.2. i 7.3.</w:t>
      </w:r>
      <w:r w:rsidRPr="009C52C4">
        <w:rPr>
          <w:rFonts w:ascii="Times New Roman" w:hAnsi="Times New Roman" w:cs="Times New Roman"/>
          <w:sz w:val="24"/>
          <w:szCs w:val="24"/>
        </w:rPr>
        <w:t xml:space="preserve"> te su, za potrebe izrade </w:t>
      </w:r>
      <w:r w:rsidR="004F68D2"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svedeni na površinu zgrada koje se obnavljaju (iznos investicije u HRK podijeljen s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površine zgrade)</w:t>
      </w:r>
      <w:r w:rsidRPr="009C52C4">
        <w:rPr>
          <w:rFonts w:ascii="Times New Roman" w:hAnsi="Times New Roman" w:cs="Times New Roman"/>
          <w:sz w:val="24"/>
          <w:szCs w:val="24"/>
          <w:vertAlign w:val="superscript"/>
        </w:rPr>
        <w:footnoteReference w:id="39"/>
      </w:r>
      <w:r w:rsidRPr="009C52C4">
        <w:rPr>
          <w:rFonts w:ascii="Times New Roman" w:hAnsi="Times New Roman" w:cs="Times New Roman"/>
          <w:sz w:val="24"/>
          <w:szCs w:val="24"/>
        </w:rPr>
        <w:t xml:space="preserve">. </w:t>
      </w:r>
      <w:r w:rsidR="00F20E58" w:rsidRPr="009C52C4">
        <w:rPr>
          <w:rFonts w:ascii="Times New Roman" w:hAnsi="Times New Roman" w:cs="Times New Roman"/>
          <w:sz w:val="24"/>
          <w:szCs w:val="24"/>
        </w:rPr>
        <w:t xml:space="preserve">U slučaju obnove prema minimalnim zahtjevima </w:t>
      </w:r>
      <w:r w:rsidR="00F20E58" w:rsidRPr="009C52C4">
        <w:rPr>
          <w:rFonts w:ascii="Times New Roman" w:hAnsi="Times New Roman" w:cs="Times New Roman"/>
          <w:i/>
          <w:sz w:val="24"/>
          <w:szCs w:val="24"/>
        </w:rPr>
        <w:t>Tehničkog propisa</w:t>
      </w:r>
      <w:r w:rsidR="00F20E58" w:rsidRPr="009C52C4">
        <w:rPr>
          <w:rFonts w:ascii="Times New Roman" w:hAnsi="Times New Roman" w:cs="Times New Roman"/>
          <w:sz w:val="24"/>
          <w:szCs w:val="24"/>
        </w:rPr>
        <w:t xml:space="preserve">, investicijski troškovi u obnovu ovojnice grijanog prostora iznose </w:t>
      </w:r>
      <w:r w:rsidR="008E4641" w:rsidRPr="009C52C4">
        <w:rPr>
          <w:rFonts w:ascii="Times New Roman" w:hAnsi="Times New Roman" w:cs="Times New Roman"/>
          <w:sz w:val="24"/>
          <w:szCs w:val="24"/>
        </w:rPr>
        <w:t>767,00 HRK/m</w:t>
      </w:r>
      <w:r w:rsidR="008E4641" w:rsidRPr="009C52C4">
        <w:rPr>
          <w:rFonts w:ascii="Times New Roman" w:hAnsi="Times New Roman" w:cs="Times New Roman"/>
          <w:sz w:val="24"/>
          <w:szCs w:val="24"/>
          <w:vertAlign w:val="superscript"/>
        </w:rPr>
        <w:t>2</w:t>
      </w:r>
      <w:r w:rsidR="008E4641" w:rsidRPr="009C52C4">
        <w:rPr>
          <w:rFonts w:ascii="Times New Roman" w:hAnsi="Times New Roman" w:cs="Times New Roman"/>
          <w:sz w:val="24"/>
          <w:szCs w:val="24"/>
        </w:rPr>
        <w:t xml:space="preserve"> za kontinentalnu Hrvatsku, odnosno 671,00 HRK/m</w:t>
      </w:r>
      <w:r w:rsidR="008E4641" w:rsidRPr="009C52C4">
        <w:rPr>
          <w:rFonts w:ascii="Times New Roman" w:hAnsi="Times New Roman" w:cs="Times New Roman"/>
          <w:sz w:val="24"/>
          <w:szCs w:val="24"/>
          <w:vertAlign w:val="superscript"/>
        </w:rPr>
        <w:t>2</w:t>
      </w:r>
      <w:r w:rsidR="008E4641" w:rsidRPr="009C52C4">
        <w:rPr>
          <w:rFonts w:ascii="Times New Roman" w:hAnsi="Times New Roman" w:cs="Times New Roman"/>
          <w:sz w:val="24"/>
          <w:szCs w:val="24"/>
        </w:rPr>
        <w:t xml:space="preserve"> za primorsku Hrvatsku</w:t>
      </w:r>
      <w:r w:rsidR="00F20E58" w:rsidRPr="009C52C4">
        <w:rPr>
          <w:rFonts w:ascii="Times New Roman" w:hAnsi="Times New Roman" w:cs="Times New Roman"/>
          <w:sz w:val="24"/>
          <w:szCs w:val="24"/>
        </w:rPr>
        <w:t xml:space="preserve">, dok u slučaju obnove zgrade prema zahtjevima </w:t>
      </w:r>
      <w:r w:rsidR="00F20E58" w:rsidRPr="009C52C4">
        <w:rPr>
          <w:rFonts w:ascii="Times New Roman" w:hAnsi="Times New Roman" w:cs="Times New Roman"/>
          <w:i/>
          <w:sz w:val="24"/>
          <w:szCs w:val="24"/>
        </w:rPr>
        <w:t>Tehničkog propisa</w:t>
      </w:r>
      <w:r w:rsidR="00F20E58" w:rsidRPr="009C52C4">
        <w:rPr>
          <w:rFonts w:ascii="Times New Roman" w:hAnsi="Times New Roman" w:cs="Times New Roman"/>
          <w:sz w:val="24"/>
          <w:szCs w:val="24"/>
        </w:rPr>
        <w:t xml:space="preserve"> za veliku rekonstrukciju iznose </w:t>
      </w:r>
      <w:r w:rsidR="008E4641" w:rsidRPr="009C52C4">
        <w:rPr>
          <w:rFonts w:ascii="Times New Roman" w:hAnsi="Times New Roman" w:cs="Times New Roman"/>
          <w:sz w:val="24"/>
          <w:szCs w:val="24"/>
        </w:rPr>
        <w:t>800,00 HRK/m</w:t>
      </w:r>
      <w:r w:rsidR="008E4641" w:rsidRPr="009C52C4">
        <w:rPr>
          <w:rFonts w:ascii="Times New Roman" w:hAnsi="Times New Roman" w:cs="Times New Roman"/>
          <w:sz w:val="24"/>
          <w:szCs w:val="24"/>
          <w:vertAlign w:val="superscript"/>
        </w:rPr>
        <w:t>2</w:t>
      </w:r>
      <w:r w:rsidR="008E4641" w:rsidRPr="009C52C4">
        <w:rPr>
          <w:rFonts w:ascii="Times New Roman" w:hAnsi="Times New Roman" w:cs="Times New Roman"/>
          <w:sz w:val="24"/>
          <w:szCs w:val="24"/>
        </w:rPr>
        <w:t xml:space="preserve"> za kontinentalnu Hrvatsku, odnosno 700,00 HRK/m</w:t>
      </w:r>
      <w:r w:rsidR="008E4641" w:rsidRPr="009C52C4">
        <w:rPr>
          <w:rFonts w:ascii="Times New Roman" w:hAnsi="Times New Roman" w:cs="Times New Roman"/>
          <w:sz w:val="24"/>
          <w:szCs w:val="24"/>
          <w:vertAlign w:val="superscript"/>
        </w:rPr>
        <w:t>2</w:t>
      </w:r>
      <w:r w:rsidR="008E4641" w:rsidRPr="009C52C4">
        <w:rPr>
          <w:rFonts w:ascii="Times New Roman" w:hAnsi="Times New Roman" w:cs="Times New Roman"/>
          <w:sz w:val="24"/>
          <w:szCs w:val="24"/>
        </w:rPr>
        <w:t xml:space="preserve"> za primorsku Hrvatsku. </w:t>
      </w:r>
      <w:r w:rsidRPr="009C52C4">
        <w:rPr>
          <w:rFonts w:ascii="Times New Roman" w:hAnsi="Times New Roman" w:cs="Times New Roman"/>
          <w:color w:val="auto"/>
          <w:sz w:val="24"/>
          <w:szCs w:val="24"/>
        </w:rPr>
        <w:t xml:space="preserve">U slučaju obnove prema </w:t>
      </w:r>
      <w:r w:rsidR="00566EDD" w:rsidRPr="009C52C4">
        <w:rPr>
          <w:rFonts w:ascii="Times New Roman" w:hAnsi="Times New Roman" w:cs="Times New Roman"/>
          <w:color w:val="auto"/>
          <w:sz w:val="24"/>
          <w:szCs w:val="24"/>
        </w:rPr>
        <w:t>nZEB</w:t>
      </w:r>
      <w:r w:rsidRPr="009C52C4">
        <w:rPr>
          <w:rFonts w:ascii="Times New Roman" w:hAnsi="Times New Roman" w:cs="Times New Roman"/>
          <w:color w:val="auto"/>
          <w:sz w:val="24"/>
          <w:szCs w:val="24"/>
        </w:rPr>
        <w:t>-u, investicijski troškovi u obnovu ovojnice grijanog prostora iznos</w:t>
      </w:r>
      <w:r w:rsidR="008E4641" w:rsidRPr="009C52C4">
        <w:rPr>
          <w:rFonts w:ascii="Times New Roman" w:hAnsi="Times New Roman" w:cs="Times New Roman"/>
          <w:color w:val="auto"/>
          <w:sz w:val="24"/>
          <w:szCs w:val="24"/>
        </w:rPr>
        <w:t>e 1.</w:t>
      </w:r>
      <w:r w:rsidRPr="009C52C4">
        <w:rPr>
          <w:rFonts w:ascii="Times New Roman" w:hAnsi="Times New Roman" w:cs="Times New Roman"/>
          <w:color w:val="auto"/>
          <w:sz w:val="24"/>
          <w:szCs w:val="24"/>
        </w:rPr>
        <w:t xml:space="preserve">000,00 </w:t>
      </w:r>
      <w:r w:rsidR="00F20E58" w:rsidRPr="009C52C4">
        <w:rPr>
          <w:rFonts w:ascii="Times New Roman" w:hAnsi="Times New Roman" w:cs="Times New Roman"/>
          <w:color w:val="auto"/>
          <w:sz w:val="24"/>
          <w:szCs w:val="24"/>
        </w:rPr>
        <w:t>HRK</w:t>
      </w:r>
      <w:r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vertAlign w:val="superscript"/>
        </w:rPr>
        <w:t>2</w:t>
      </w:r>
      <w:r w:rsidRPr="009C52C4">
        <w:rPr>
          <w:rFonts w:ascii="Times New Roman" w:hAnsi="Times New Roman" w:cs="Times New Roman"/>
          <w:color w:val="auto"/>
          <w:sz w:val="24"/>
          <w:szCs w:val="24"/>
        </w:rPr>
        <w:t xml:space="preserve"> </w:t>
      </w:r>
      <w:r w:rsidR="00F20E58" w:rsidRPr="009C52C4">
        <w:rPr>
          <w:rFonts w:ascii="Times New Roman" w:hAnsi="Times New Roman" w:cs="Times New Roman"/>
          <w:color w:val="auto"/>
          <w:sz w:val="24"/>
          <w:szCs w:val="24"/>
        </w:rPr>
        <w:t>za kontinentalnu Hrvatsku, odnosno 874,</w:t>
      </w:r>
      <w:r w:rsidR="008E4641" w:rsidRPr="009C52C4">
        <w:rPr>
          <w:rFonts w:ascii="Times New Roman" w:hAnsi="Times New Roman" w:cs="Times New Roman"/>
          <w:color w:val="auto"/>
          <w:sz w:val="24"/>
          <w:szCs w:val="24"/>
        </w:rPr>
        <w:t>00</w:t>
      </w:r>
      <w:r w:rsidR="00F20E58" w:rsidRPr="009C52C4">
        <w:rPr>
          <w:rFonts w:ascii="Times New Roman" w:hAnsi="Times New Roman" w:cs="Times New Roman"/>
          <w:color w:val="auto"/>
          <w:sz w:val="24"/>
          <w:szCs w:val="24"/>
        </w:rPr>
        <w:t xml:space="preserve"> HRK/m</w:t>
      </w:r>
      <w:r w:rsidR="00F20E58" w:rsidRPr="009C52C4">
        <w:rPr>
          <w:rFonts w:ascii="Times New Roman" w:hAnsi="Times New Roman" w:cs="Times New Roman"/>
          <w:color w:val="auto"/>
          <w:sz w:val="24"/>
          <w:szCs w:val="24"/>
          <w:vertAlign w:val="superscript"/>
        </w:rPr>
        <w:t>2</w:t>
      </w:r>
      <w:r w:rsidR="00F20E58" w:rsidRPr="009C52C4">
        <w:rPr>
          <w:rFonts w:ascii="Times New Roman" w:hAnsi="Times New Roman" w:cs="Times New Roman"/>
          <w:color w:val="auto"/>
          <w:sz w:val="24"/>
          <w:szCs w:val="24"/>
        </w:rPr>
        <w:t xml:space="preserve"> za primorsku Hrvatsku </w:t>
      </w:r>
      <w:r w:rsidRPr="009C52C4">
        <w:rPr>
          <w:rFonts w:ascii="Times New Roman" w:hAnsi="Times New Roman" w:cs="Times New Roman"/>
          <w:color w:val="auto"/>
          <w:sz w:val="24"/>
          <w:szCs w:val="24"/>
        </w:rPr>
        <w:t>(u sl</w:t>
      </w:r>
      <w:r w:rsidR="008E4641" w:rsidRPr="009C52C4">
        <w:rPr>
          <w:rFonts w:ascii="Times New Roman" w:hAnsi="Times New Roman" w:cs="Times New Roman"/>
          <w:color w:val="auto"/>
          <w:sz w:val="24"/>
          <w:szCs w:val="24"/>
        </w:rPr>
        <w:t>učaju pasivne/aktivne gradnje 1.</w:t>
      </w:r>
      <w:r w:rsidRPr="009C52C4">
        <w:rPr>
          <w:rFonts w:ascii="Times New Roman" w:hAnsi="Times New Roman" w:cs="Times New Roman"/>
          <w:color w:val="auto"/>
          <w:sz w:val="24"/>
          <w:szCs w:val="24"/>
        </w:rPr>
        <w:t xml:space="preserve">750,00 </w:t>
      </w:r>
      <w:r w:rsidR="00F20E58" w:rsidRPr="009C52C4">
        <w:rPr>
          <w:rFonts w:ascii="Times New Roman" w:hAnsi="Times New Roman" w:cs="Times New Roman"/>
          <w:color w:val="auto"/>
          <w:sz w:val="24"/>
          <w:szCs w:val="24"/>
        </w:rPr>
        <w:t>HRK</w:t>
      </w:r>
      <w:r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vertAlign w:val="superscript"/>
        </w:rPr>
        <w:t>2</w:t>
      </w:r>
      <w:r w:rsidR="00F20E58" w:rsidRPr="009C52C4">
        <w:rPr>
          <w:rFonts w:ascii="Times New Roman" w:hAnsi="Times New Roman" w:cs="Times New Roman"/>
          <w:color w:val="auto"/>
          <w:sz w:val="24"/>
          <w:szCs w:val="24"/>
          <w:vertAlign w:val="superscript"/>
        </w:rPr>
        <w:t xml:space="preserve"> </w:t>
      </w:r>
      <w:r w:rsidR="00F20E58" w:rsidRPr="009C52C4">
        <w:rPr>
          <w:rFonts w:ascii="Times New Roman" w:hAnsi="Times New Roman" w:cs="Times New Roman"/>
          <w:color w:val="auto"/>
          <w:sz w:val="24"/>
          <w:szCs w:val="24"/>
        </w:rPr>
        <w:t xml:space="preserve">za kontinentalnu Hrvatsku, odnosno </w:t>
      </w:r>
      <w:r w:rsidR="008E4641" w:rsidRPr="009C52C4">
        <w:rPr>
          <w:rFonts w:ascii="Times New Roman" w:hAnsi="Times New Roman" w:cs="Times New Roman"/>
          <w:color w:val="auto"/>
          <w:sz w:val="24"/>
          <w:szCs w:val="24"/>
        </w:rPr>
        <w:t>1.530</w:t>
      </w:r>
      <w:r w:rsidR="00F20E58" w:rsidRPr="009C52C4">
        <w:rPr>
          <w:rFonts w:ascii="Times New Roman" w:hAnsi="Times New Roman" w:cs="Times New Roman"/>
          <w:color w:val="auto"/>
          <w:sz w:val="24"/>
          <w:szCs w:val="24"/>
        </w:rPr>
        <w:t>,</w:t>
      </w:r>
      <w:r w:rsidR="008E4641" w:rsidRPr="009C52C4">
        <w:rPr>
          <w:rFonts w:ascii="Times New Roman" w:hAnsi="Times New Roman" w:cs="Times New Roman"/>
          <w:color w:val="auto"/>
          <w:sz w:val="24"/>
          <w:szCs w:val="24"/>
        </w:rPr>
        <w:t>00</w:t>
      </w:r>
      <w:r w:rsidR="00F20E58" w:rsidRPr="009C52C4">
        <w:rPr>
          <w:rFonts w:ascii="Times New Roman" w:hAnsi="Times New Roman" w:cs="Times New Roman"/>
          <w:color w:val="auto"/>
          <w:sz w:val="24"/>
          <w:szCs w:val="24"/>
        </w:rPr>
        <w:t xml:space="preserve"> HRK/m</w:t>
      </w:r>
      <w:r w:rsidR="00F20E58" w:rsidRPr="009C52C4">
        <w:rPr>
          <w:rFonts w:ascii="Times New Roman" w:hAnsi="Times New Roman" w:cs="Times New Roman"/>
          <w:color w:val="auto"/>
          <w:sz w:val="24"/>
          <w:szCs w:val="24"/>
          <w:vertAlign w:val="superscript"/>
        </w:rPr>
        <w:t>2</w:t>
      </w:r>
      <w:r w:rsidR="00F20E58" w:rsidRPr="009C52C4">
        <w:rPr>
          <w:rFonts w:ascii="Times New Roman" w:hAnsi="Times New Roman" w:cs="Times New Roman"/>
          <w:color w:val="auto"/>
          <w:sz w:val="24"/>
          <w:szCs w:val="24"/>
        </w:rPr>
        <w:t xml:space="preserve"> za primorsku Hrvatsku</w:t>
      </w:r>
      <w:r w:rsidRPr="009C52C4">
        <w:rPr>
          <w:rFonts w:ascii="Times New Roman" w:hAnsi="Times New Roman" w:cs="Times New Roman"/>
          <w:color w:val="auto"/>
          <w:sz w:val="24"/>
          <w:szCs w:val="24"/>
        </w:rPr>
        <w:t xml:space="preserve">). Ukupni investicijski troškovi po energetskoj obnovi pojedine zgrade uključuju, osim rekonstrukcije vanjske ovojnice grijanog prostora, zamjenu neučinkovitih tehničkih sustava učinkovitijima te, sukladno mogućnostima, sustavima koji koriste obnovljive izvore energije. Investicijski troškovi u zamjenu sustava grijanja novim, uz pretpostavljenu zamjenu 30% postojećih sustava plinskim sustavima, 35% postojećih sustava sustavom dizalice topline te 35% postojećih sustava kotlovima na biomasu uz balansiranje sustava te ugradnju termostatskih setova na radijatorska tijela, iznose 468,50 </w:t>
      </w:r>
      <w:r w:rsidR="008E4641" w:rsidRPr="009C52C4">
        <w:rPr>
          <w:rFonts w:ascii="Times New Roman" w:hAnsi="Times New Roman" w:cs="Times New Roman"/>
          <w:color w:val="auto"/>
          <w:sz w:val="24"/>
          <w:szCs w:val="24"/>
        </w:rPr>
        <w:t>HRK</w:t>
      </w:r>
      <w:r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vertAlign w:val="superscript"/>
        </w:rPr>
        <w:t xml:space="preserve"> </w:t>
      </w:r>
      <w:r w:rsidR="008E4641" w:rsidRPr="009C52C4">
        <w:rPr>
          <w:rFonts w:ascii="Times New Roman" w:hAnsi="Times New Roman" w:cs="Times New Roman"/>
          <w:color w:val="auto"/>
          <w:sz w:val="24"/>
          <w:szCs w:val="24"/>
        </w:rPr>
        <w:t>za kontinentalnu Hrvatsku, odnosno 413,00 HRK/m</w:t>
      </w:r>
      <w:r w:rsidR="008E4641"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primorsku Hrvatsku</w:t>
      </w:r>
      <w:r w:rsidRPr="009C52C4">
        <w:rPr>
          <w:rFonts w:ascii="Times New Roman" w:hAnsi="Times New Roman" w:cs="Times New Roman"/>
          <w:color w:val="auto"/>
          <w:sz w:val="24"/>
          <w:szCs w:val="24"/>
        </w:rPr>
        <w:t xml:space="preserve">. </w:t>
      </w:r>
      <w:r w:rsidR="00516F42" w:rsidRPr="009C52C4">
        <w:rPr>
          <w:rFonts w:ascii="Times New Roman" w:hAnsi="Times New Roman" w:cs="Times New Roman"/>
          <w:color w:val="auto"/>
          <w:sz w:val="24"/>
          <w:szCs w:val="24"/>
        </w:rPr>
        <w:t xml:space="preserve">Navedena raspodjela odabranih sustava grijanja u skladu je s podacima Programa energetske obnove zgrada javnog sektora za razdoblje 2016. – 2020. (Poglavlje 11.2.), gdje se u analizi tri moguća modela obnove zgrada javnog sektora kod standardnog rješenja za proizvodnju toplinske energije koristi standardni sustav baziran na fosilnom gorivu za 30% energetskih potreba i sustav baziran na obnovljivom izvoru za 70% potreba. </w:t>
      </w:r>
      <w:r w:rsidRPr="009C52C4">
        <w:rPr>
          <w:rFonts w:ascii="Times New Roman" w:hAnsi="Times New Roman" w:cs="Times New Roman"/>
          <w:color w:val="auto"/>
          <w:sz w:val="24"/>
          <w:szCs w:val="24"/>
        </w:rPr>
        <w:t xml:space="preserve">Investicijski troškovi centralizacije sustava hlađenja te ugradnje novog sustava hlađenja putem dizalice topline </w:t>
      </w:r>
      <w:r w:rsidR="008E4641" w:rsidRPr="009C52C4">
        <w:rPr>
          <w:rFonts w:ascii="Times New Roman" w:hAnsi="Times New Roman" w:cs="Times New Roman"/>
          <w:color w:val="auto"/>
          <w:sz w:val="24"/>
          <w:szCs w:val="24"/>
        </w:rPr>
        <w:t>iznose 233,00 kn/m</w:t>
      </w:r>
      <w:r w:rsidR="008E4641" w:rsidRPr="009C52C4">
        <w:rPr>
          <w:rFonts w:ascii="Times New Roman" w:hAnsi="Times New Roman" w:cs="Times New Roman"/>
          <w:color w:val="auto"/>
          <w:sz w:val="24"/>
          <w:szCs w:val="24"/>
          <w:vertAlign w:val="superscript"/>
        </w:rPr>
        <w:t xml:space="preserve">2 </w:t>
      </w:r>
      <w:r w:rsidR="008E4641" w:rsidRPr="009C52C4">
        <w:rPr>
          <w:rFonts w:ascii="Times New Roman" w:hAnsi="Times New Roman" w:cs="Times New Roman"/>
          <w:color w:val="auto"/>
          <w:sz w:val="24"/>
          <w:szCs w:val="24"/>
        </w:rPr>
        <w:t>za kontinentalnu Hrvatsku, odnosno 223,00 HRK/m</w:t>
      </w:r>
      <w:r w:rsidR="008E4641"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primorsku Hrvatsku</w:t>
      </w:r>
      <w:r w:rsidRPr="009C52C4">
        <w:rPr>
          <w:rFonts w:ascii="Times New Roman" w:hAnsi="Times New Roman" w:cs="Times New Roman"/>
          <w:color w:val="auto"/>
          <w:sz w:val="24"/>
          <w:szCs w:val="24"/>
        </w:rPr>
        <w:t xml:space="preserve"> (u slučaju pasivne/aktivne gradnje 350,00 </w:t>
      </w:r>
      <w:r w:rsidR="008E4641" w:rsidRPr="009C52C4">
        <w:rPr>
          <w:rFonts w:ascii="Times New Roman" w:hAnsi="Times New Roman" w:cs="Times New Roman"/>
          <w:color w:val="auto"/>
          <w:sz w:val="24"/>
          <w:szCs w:val="24"/>
        </w:rPr>
        <w:t>HRK</w:t>
      </w:r>
      <w:r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kontinentalnu Hrvatsku, odnosno 335,00 HRK/m</w:t>
      </w:r>
      <w:r w:rsidR="008E4641"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primorsku Hrvatsku</w:t>
      </w:r>
      <w:r w:rsidRPr="009C52C4">
        <w:rPr>
          <w:rFonts w:ascii="Times New Roman" w:hAnsi="Times New Roman" w:cs="Times New Roman"/>
          <w:color w:val="auto"/>
          <w:sz w:val="24"/>
          <w:szCs w:val="24"/>
        </w:rPr>
        <w:t xml:space="preserve">). Ugradnja solarnih kolektorskih sustava za pripremu potrošne tople vode mjera je iznosa troškovne investicije </w:t>
      </w:r>
      <w:r w:rsidR="008E4641" w:rsidRPr="009C52C4">
        <w:rPr>
          <w:rFonts w:ascii="Times New Roman" w:hAnsi="Times New Roman" w:cs="Times New Roman"/>
          <w:color w:val="auto"/>
          <w:sz w:val="24"/>
          <w:szCs w:val="24"/>
        </w:rPr>
        <w:t>20,20 HRK/m</w:t>
      </w:r>
      <w:r w:rsidR="008E4641"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kontinentalnu Hrvatsku, odnosno 14,00 HRK/m</w:t>
      </w:r>
      <w:r w:rsidR="008E4641" w:rsidRPr="009C52C4">
        <w:rPr>
          <w:rFonts w:ascii="Times New Roman" w:hAnsi="Times New Roman" w:cs="Times New Roman"/>
          <w:color w:val="auto"/>
          <w:sz w:val="24"/>
          <w:szCs w:val="24"/>
          <w:vertAlign w:val="superscript"/>
        </w:rPr>
        <w:t>2</w:t>
      </w:r>
      <w:r w:rsidR="008E4641" w:rsidRPr="009C52C4">
        <w:rPr>
          <w:rFonts w:ascii="Times New Roman" w:hAnsi="Times New Roman" w:cs="Times New Roman"/>
          <w:color w:val="auto"/>
          <w:sz w:val="24"/>
          <w:szCs w:val="24"/>
        </w:rPr>
        <w:t xml:space="preserve"> za primorsku Hrvatsku</w:t>
      </w:r>
      <w:r w:rsidRPr="009C52C4">
        <w:rPr>
          <w:rFonts w:ascii="Times New Roman" w:hAnsi="Times New Roman" w:cs="Times New Roman"/>
          <w:color w:val="auto"/>
          <w:sz w:val="24"/>
          <w:szCs w:val="24"/>
        </w:rPr>
        <w:t xml:space="preserve">, dok je zamjena postojećih sustava rasvjete učinkovitijim mjera energetske učinkovitosti s troškovnom investicijom od </w:t>
      </w:r>
      <w:r w:rsidR="008E4641" w:rsidRPr="009C52C4">
        <w:rPr>
          <w:rFonts w:ascii="Times New Roman" w:hAnsi="Times New Roman" w:cs="Times New Roman"/>
          <w:color w:val="auto"/>
          <w:sz w:val="24"/>
          <w:szCs w:val="24"/>
        </w:rPr>
        <w:t>61,00</w:t>
      </w:r>
      <w:r w:rsidRPr="009C52C4">
        <w:rPr>
          <w:rFonts w:ascii="Times New Roman" w:hAnsi="Times New Roman" w:cs="Times New Roman"/>
          <w:color w:val="auto"/>
          <w:sz w:val="24"/>
          <w:szCs w:val="24"/>
        </w:rPr>
        <w:t xml:space="preserve"> </w:t>
      </w:r>
      <w:r w:rsidR="008E4641" w:rsidRPr="009C52C4">
        <w:rPr>
          <w:rFonts w:ascii="Times New Roman" w:hAnsi="Times New Roman" w:cs="Times New Roman"/>
          <w:color w:val="auto"/>
          <w:sz w:val="24"/>
          <w:szCs w:val="24"/>
        </w:rPr>
        <w:t>HRK</w:t>
      </w:r>
      <w:r w:rsidRPr="009C52C4">
        <w:rPr>
          <w:rFonts w:ascii="Times New Roman" w:hAnsi="Times New Roman" w:cs="Times New Roman"/>
          <w:color w:val="auto"/>
          <w:sz w:val="24"/>
          <w:szCs w:val="24"/>
        </w:rPr>
        <w:t>/m</w:t>
      </w:r>
      <w:r w:rsidRPr="009C52C4">
        <w:rPr>
          <w:rFonts w:ascii="Times New Roman" w:hAnsi="Times New Roman" w:cs="Times New Roman"/>
          <w:color w:val="auto"/>
          <w:sz w:val="24"/>
          <w:szCs w:val="24"/>
          <w:vertAlign w:val="superscript"/>
        </w:rPr>
        <w:t>2</w:t>
      </w:r>
      <w:r w:rsidRPr="009C52C4">
        <w:rPr>
          <w:rFonts w:ascii="Times New Roman" w:hAnsi="Times New Roman" w:cs="Times New Roman"/>
          <w:color w:val="auto"/>
          <w:sz w:val="24"/>
          <w:szCs w:val="24"/>
        </w:rPr>
        <w:t xml:space="preserve"> površine zgrade.</w:t>
      </w:r>
      <w:r w:rsidRPr="009C52C4">
        <w:rPr>
          <w:rFonts w:ascii="Times New Roman" w:hAnsi="Times New Roman" w:cs="Times New Roman"/>
          <w:sz w:val="24"/>
          <w:szCs w:val="24"/>
        </w:rPr>
        <w:t xml:space="preserve"> Izračun financijskih ušteda izrađen je u skladu s postotnom raspodjelom energenata u neposrednoj potrošnji za svaku kategoriju zgrada</w:t>
      </w:r>
      <w:r w:rsidRPr="009C52C4">
        <w:rPr>
          <w:rFonts w:ascii="Times New Roman" w:hAnsi="Times New Roman" w:cs="Times New Roman"/>
          <w:sz w:val="24"/>
          <w:szCs w:val="24"/>
          <w:vertAlign w:val="superscript"/>
        </w:rPr>
        <w:footnoteReference w:id="40"/>
      </w:r>
      <w:r w:rsidRPr="009C52C4">
        <w:rPr>
          <w:rFonts w:ascii="Times New Roman" w:hAnsi="Times New Roman" w:cs="Times New Roman"/>
          <w:sz w:val="24"/>
          <w:szCs w:val="24"/>
        </w:rPr>
        <w:t xml:space="preserve"> te njihovim cijenama iz travnja 2017. godine</w:t>
      </w:r>
      <w:r w:rsidRPr="009C52C4">
        <w:rPr>
          <w:rFonts w:ascii="Times New Roman" w:hAnsi="Times New Roman" w:cs="Times New Roman"/>
          <w:sz w:val="24"/>
          <w:szCs w:val="24"/>
          <w:vertAlign w:val="superscript"/>
        </w:rPr>
        <w:footnoteReference w:id="41"/>
      </w:r>
      <w:r w:rsidRPr="009C52C4">
        <w:rPr>
          <w:rFonts w:ascii="Times New Roman" w:hAnsi="Times New Roman" w:cs="Times New Roman"/>
          <w:sz w:val="24"/>
          <w:szCs w:val="24"/>
        </w:rPr>
        <w:t>. Iznosi financijskih ušteda ne uključuju PDV.</w:t>
      </w:r>
    </w:p>
    <w:p w14:paraId="2C92A0C5" w14:textId="7F0616E1"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lastRenderedPageBreak/>
        <w:t>Temeljni parametar usporedbe različitih paketa mjera za pojedinu kategoriju zgrade u ovisnosti o klimatskoj zoni je specifični iznos ukupnih troškova (Prilog 2, Prilog 4, Prilog 6, Prilog 8, Prilog 10, Prilog 12, Prilog 14 i Prilog 16) na temelju kojeg je za svaku kategoriju zgrada izrađen grafikon ovisnosti ukupnih troškova o razini primarne energije nakon rekonstrukcije po pojedinom modelu obnove (Prilog 3, Prilog 5, Prilog 7, Prilog 9, Prilog 11, Prilog 13, Prilog 15 i Prilog 17). Ukupni troškovi obuhvaćaju troškove početne investicije, troškove energenata uzimajući u obzir porast cijena energenata na godišnjoj razini</w:t>
      </w:r>
      <w:r w:rsidRPr="009C52C4">
        <w:rPr>
          <w:rFonts w:ascii="Times New Roman" w:hAnsi="Times New Roman" w:cs="Times New Roman"/>
          <w:sz w:val="24"/>
          <w:szCs w:val="24"/>
          <w:vertAlign w:val="superscript"/>
        </w:rPr>
        <w:footnoteReference w:id="42"/>
      </w:r>
      <w:r w:rsidRPr="009C52C4">
        <w:rPr>
          <w:rFonts w:ascii="Times New Roman" w:hAnsi="Times New Roman" w:cs="Times New Roman"/>
          <w:sz w:val="24"/>
          <w:szCs w:val="24"/>
        </w:rPr>
        <w:t xml:space="preserve">, troškove održavanja te troškove zamjene. Iz svakog od prikazanih grafikona može se zaključiti koji je od </w:t>
      </w:r>
      <w:r w:rsidR="002071B7" w:rsidRPr="009C52C4">
        <w:rPr>
          <w:rFonts w:ascii="Times New Roman" w:hAnsi="Times New Roman" w:cs="Times New Roman"/>
          <w:sz w:val="24"/>
          <w:szCs w:val="24"/>
        </w:rPr>
        <w:t>pet</w:t>
      </w:r>
      <w:r w:rsidRPr="009C52C4">
        <w:rPr>
          <w:rFonts w:ascii="Times New Roman" w:hAnsi="Times New Roman" w:cs="Times New Roman"/>
          <w:sz w:val="24"/>
          <w:szCs w:val="24"/>
        </w:rPr>
        <w:t xml:space="preserve"> predložen</w:t>
      </w:r>
      <w:r w:rsidR="002071B7" w:rsidRPr="009C52C4">
        <w:rPr>
          <w:rFonts w:ascii="Times New Roman" w:hAnsi="Times New Roman" w:cs="Times New Roman"/>
          <w:sz w:val="24"/>
          <w:szCs w:val="24"/>
        </w:rPr>
        <w:t>ih</w:t>
      </w:r>
      <w:r w:rsidRPr="009C52C4">
        <w:rPr>
          <w:rFonts w:ascii="Times New Roman" w:hAnsi="Times New Roman" w:cs="Times New Roman"/>
          <w:sz w:val="24"/>
          <w:szCs w:val="24"/>
        </w:rPr>
        <w:t xml:space="preserve"> modela obnove trenutno najisplativiji (minimalni ukupni troškovi) te koja se razina primarne energije navedenim modelom postiže. Parametri su ovisni i o </w:t>
      </w:r>
      <w:r w:rsidR="00D4611E" w:rsidRPr="009C52C4">
        <w:rPr>
          <w:rFonts w:ascii="Times New Roman" w:hAnsi="Times New Roman" w:cs="Times New Roman"/>
          <w:sz w:val="24"/>
          <w:szCs w:val="24"/>
        </w:rPr>
        <w:t>razdoblj</w:t>
      </w:r>
      <w:r w:rsidRPr="009C52C4">
        <w:rPr>
          <w:rFonts w:ascii="Times New Roman" w:hAnsi="Times New Roman" w:cs="Times New Roman"/>
          <w:sz w:val="24"/>
          <w:szCs w:val="24"/>
        </w:rPr>
        <w:t xml:space="preserve">u kalkulacije te je za svaku kategoriju zgrade, radi usporedbe utjecaja ulaznih parametara, prikazan grafikon za </w:t>
      </w:r>
      <w:r w:rsidR="00D4611E" w:rsidRPr="009C52C4">
        <w:rPr>
          <w:rFonts w:ascii="Times New Roman" w:hAnsi="Times New Roman" w:cs="Times New Roman"/>
          <w:sz w:val="24"/>
          <w:szCs w:val="24"/>
        </w:rPr>
        <w:t>razdoblje</w:t>
      </w:r>
      <w:r w:rsidRPr="009C52C4">
        <w:rPr>
          <w:rFonts w:ascii="Times New Roman" w:hAnsi="Times New Roman" w:cs="Times New Roman"/>
          <w:sz w:val="24"/>
          <w:szCs w:val="24"/>
        </w:rPr>
        <w:t xml:space="preserve"> kalkulacije 30, 50 i 70 godina. </w:t>
      </w:r>
      <w:r w:rsidR="002071B7" w:rsidRPr="009C52C4">
        <w:rPr>
          <w:rFonts w:ascii="Times New Roman" w:hAnsi="Times New Roman" w:cs="Times New Roman"/>
          <w:sz w:val="24"/>
          <w:szCs w:val="24"/>
        </w:rPr>
        <w:t xml:space="preserve">Sažeti prikaz navedenih parametara </w:t>
      </w:r>
      <w:r w:rsidR="00F01CAF" w:rsidRPr="009C52C4">
        <w:rPr>
          <w:rFonts w:ascii="Times New Roman" w:hAnsi="Times New Roman" w:cs="Times New Roman"/>
          <w:sz w:val="24"/>
          <w:szCs w:val="24"/>
        </w:rPr>
        <w:t>nalazi se u tablicama u nastavku (</w:t>
      </w:r>
      <w:r w:rsidR="00F01CAF" w:rsidRPr="009C52C4">
        <w:rPr>
          <w:rFonts w:ascii="Times New Roman" w:hAnsi="Times New Roman" w:cs="Times New Roman"/>
          <w:sz w:val="24"/>
          <w:szCs w:val="24"/>
        </w:rPr>
        <w:fldChar w:fldCharType="begin"/>
      </w:r>
      <w:r w:rsidR="00F01CAF" w:rsidRPr="009C52C4">
        <w:rPr>
          <w:rFonts w:ascii="Times New Roman" w:hAnsi="Times New Roman" w:cs="Times New Roman"/>
          <w:sz w:val="24"/>
          <w:szCs w:val="24"/>
        </w:rPr>
        <w:instrText xml:space="preserve"> REF _Ref484780294 \h </w:instrText>
      </w:r>
      <w:r w:rsidR="00873572" w:rsidRPr="009C52C4">
        <w:rPr>
          <w:rFonts w:ascii="Times New Roman" w:hAnsi="Times New Roman" w:cs="Times New Roman"/>
          <w:sz w:val="24"/>
          <w:szCs w:val="24"/>
        </w:rPr>
        <w:instrText xml:space="preserve"> \* MERGEFORMAT </w:instrText>
      </w:r>
      <w:r w:rsidR="00F01CAF" w:rsidRPr="009C52C4">
        <w:rPr>
          <w:rFonts w:ascii="Times New Roman" w:hAnsi="Times New Roman" w:cs="Times New Roman"/>
          <w:sz w:val="24"/>
          <w:szCs w:val="24"/>
        </w:rPr>
      </w:r>
      <w:r w:rsidR="00F01CAF"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F01CAF" w:rsidRPr="009C52C4">
        <w:rPr>
          <w:rFonts w:ascii="Times New Roman" w:hAnsi="Times New Roman" w:cs="Times New Roman"/>
          <w:sz w:val="24"/>
          <w:szCs w:val="24"/>
        </w:rPr>
        <w:fldChar w:fldCharType="end"/>
      </w:r>
      <w:r w:rsidR="00F01CAF" w:rsidRPr="009C52C4">
        <w:rPr>
          <w:rFonts w:ascii="Times New Roman" w:hAnsi="Times New Roman" w:cs="Times New Roman"/>
          <w:sz w:val="24"/>
          <w:szCs w:val="24"/>
        </w:rPr>
        <w:t xml:space="preserve"> i </w:t>
      </w:r>
      <w:r w:rsidR="00F01CAF" w:rsidRPr="009C52C4">
        <w:rPr>
          <w:rFonts w:ascii="Times New Roman" w:hAnsi="Times New Roman" w:cs="Times New Roman"/>
          <w:sz w:val="24"/>
          <w:szCs w:val="24"/>
        </w:rPr>
        <w:fldChar w:fldCharType="begin"/>
      </w:r>
      <w:r w:rsidR="00F01CAF" w:rsidRPr="009C52C4">
        <w:rPr>
          <w:rFonts w:ascii="Times New Roman" w:hAnsi="Times New Roman" w:cs="Times New Roman"/>
          <w:sz w:val="24"/>
          <w:szCs w:val="24"/>
        </w:rPr>
        <w:instrText xml:space="preserve"> REF _Ref484780302 \h </w:instrText>
      </w:r>
      <w:r w:rsidR="00873572" w:rsidRPr="009C52C4">
        <w:rPr>
          <w:rFonts w:ascii="Times New Roman" w:hAnsi="Times New Roman" w:cs="Times New Roman"/>
          <w:sz w:val="24"/>
          <w:szCs w:val="24"/>
        </w:rPr>
        <w:instrText xml:space="preserve"> \* MERGEFORMAT </w:instrText>
      </w:r>
      <w:r w:rsidR="00F01CAF" w:rsidRPr="009C52C4">
        <w:rPr>
          <w:rFonts w:ascii="Times New Roman" w:hAnsi="Times New Roman" w:cs="Times New Roman"/>
          <w:sz w:val="24"/>
          <w:szCs w:val="24"/>
        </w:rPr>
      </w:r>
      <w:r w:rsidR="00F01CAF"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F01CAF" w:rsidRPr="009C52C4">
        <w:rPr>
          <w:rFonts w:ascii="Times New Roman" w:hAnsi="Times New Roman" w:cs="Times New Roman"/>
          <w:sz w:val="24"/>
          <w:szCs w:val="24"/>
        </w:rPr>
        <w:fldChar w:fldCharType="end"/>
      </w:r>
      <w:r w:rsidR="00F01CAF" w:rsidRPr="009C52C4">
        <w:rPr>
          <w:rFonts w:ascii="Times New Roman" w:hAnsi="Times New Roman" w:cs="Times New Roman"/>
          <w:sz w:val="24"/>
          <w:szCs w:val="24"/>
        </w:rPr>
        <w:t>)</w:t>
      </w:r>
    </w:p>
    <w:p w14:paraId="102E822E" w14:textId="77777777" w:rsidR="00AC5AC8" w:rsidRPr="009C52C4" w:rsidRDefault="00AC5AC8">
      <w:pPr>
        <w:rPr>
          <w:rFonts w:ascii="Times New Roman" w:hAnsi="Times New Roman" w:cs="Times New Roman"/>
          <w:sz w:val="24"/>
          <w:szCs w:val="24"/>
        </w:rPr>
      </w:pPr>
      <w:r w:rsidRPr="009C52C4">
        <w:rPr>
          <w:rFonts w:ascii="Times New Roman" w:hAnsi="Times New Roman" w:cs="Times New Roman"/>
          <w:sz w:val="24"/>
          <w:szCs w:val="24"/>
        </w:rPr>
        <w:br w:type="page"/>
      </w:r>
    </w:p>
    <w:p w14:paraId="6344E5AB" w14:textId="3076FF88" w:rsidR="00782BB5" w:rsidRPr="009C52C4" w:rsidRDefault="00F01CAF" w:rsidP="00F01CAF">
      <w:pPr>
        <w:pStyle w:val="Caption"/>
        <w:rPr>
          <w:rFonts w:ascii="Times New Roman" w:hAnsi="Times New Roman" w:cs="Times New Roman"/>
          <w:sz w:val="24"/>
          <w:szCs w:val="24"/>
        </w:rPr>
      </w:pPr>
      <w:bookmarkStart w:id="140" w:name="_Ref484780294"/>
      <w:bookmarkStart w:id="141" w:name="_Toc2681321"/>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bookmarkEnd w:id="140"/>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Prikaz ukupnih troškova mogućih modela obnove zgrada kontinentalne Hrvatske u ovisnosti o kategoriji zgrade i razdoblju kalkulacije</w:t>
      </w:r>
      <w:bookmarkEnd w:id="141"/>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56"/>
        <w:gridCol w:w="1663"/>
        <w:gridCol w:w="1524"/>
        <w:gridCol w:w="1524"/>
        <w:gridCol w:w="1529"/>
      </w:tblGrid>
      <w:tr w:rsidR="00782BB5" w:rsidRPr="009C52C4" w14:paraId="3C55B73E" w14:textId="77777777" w:rsidTr="00211D83">
        <w:trPr>
          <w:trHeight w:val="19"/>
        </w:trPr>
        <w:tc>
          <w:tcPr>
            <w:tcW w:w="3156" w:type="dxa"/>
            <w:tcMar>
              <w:left w:w="108" w:type="dxa"/>
              <w:right w:w="108" w:type="dxa"/>
            </w:tcMar>
            <w:vAlign w:val="center"/>
          </w:tcPr>
          <w:p w14:paraId="652BAB7C" w14:textId="77777777" w:rsidR="00782BB5" w:rsidRPr="009C52C4" w:rsidRDefault="00782BB5" w:rsidP="00782BB5">
            <w:pPr>
              <w:rPr>
                <w:rFonts w:ascii="Times New Roman" w:hAnsi="Times New Roman" w:cs="Times New Roman"/>
                <w:sz w:val="24"/>
                <w:szCs w:val="24"/>
              </w:rPr>
            </w:pPr>
            <w:r w:rsidRPr="009C52C4">
              <w:rPr>
                <w:rFonts w:ascii="Times New Roman" w:hAnsi="Times New Roman" w:cs="Times New Roman"/>
                <w:b/>
                <w:sz w:val="24"/>
                <w:szCs w:val="24"/>
              </w:rPr>
              <w:t>Kategorija zgrade na području kontinentalne Hrvatske</w:t>
            </w:r>
          </w:p>
        </w:tc>
        <w:tc>
          <w:tcPr>
            <w:tcW w:w="1663" w:type="dxa"/>
            <w:tcMar>
              <w:left w:w="108" w:type="dxa"/>
              <w:right w:w="108" w:type="dxa"/>
            </w:tcMar>
            <w:vAlign w:val="center"/>
          </w:tcPr>
          <w:p w14:paraId="575E9022"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c>
          <w:tcPr>
            <w:tcW w:w="1524" w:type="dxa"/>
            <w:tcMar>
              <w:left w:w="108" w:type="dxa"/>
              <w:right w:w="108" w:type="dxa"/>
            </w:tcMar>
            <w:vAlign w:val="center"/>
          </w:tcPr>
          <w:p w14:paraId="61CC4B41" w14:textId="77777777" w:rsidR="00782BB5" w:rsidRPr="009C52C4" w:rsidRDefault="00782BB5" w:rsidP="00782BB5">
            <w:pPr>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Zgrade komercijalne namjene</w:t>
            </w:r>
          </w:p>
        </w:tc>
        <w:tc>
          <w:tcPr>
            <w:tcW w:w="1524" w:type="dxa"/>
            <w:tcMar>
              <w:left w:w="108" w:type="dxa"/>
              <w:right w:w="108" w:type="dxa"/>
            </w:tcMar>
            <w:vAlign w:val="center"/>
          </w:tcPr>
          <w:p w14:paraId="756FF3D2" w14:textId="77777777" w:rsidR="00782BB5" w:rsidRPr="009C52C4" w:rsidRDefault="00782BB5" w:rsidP="00782BB5">
            <w:pPr>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Višestambene zgrade</w:t>
            </w:r>
          </w:p>
        </w:tc>
        <w:tc>
          <w:tcPr>
            <w:tcW w:w="1525" w:type="dxa"/>
            <w:tcMar>
              <w:left w:w="108" w:type="dxa"/>
              <w:right w:w="108" w:type="dxa"/>
            </w:tcMar>
            <w:vAlign w:val="center"/>
          </w:tcPr>
          <w:p w14:paraId="62E9BF1D"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r>
      <w:tr w:rsidR="00782BB5" w:rsidRPr="009C52C4" w14:paraId="6B41ABD4" w14:textId="77777777" w:rsidTr="00211D83">
        <w:trPr>
          <w:trHeight w:val="19"/>
        </w:trPr>
        <w:tc>
          <w:tcPr>
            <w:tcW w:w="9396" w:type="dxa"/>
            <w:gridSpan w:val="5"/>
            <w:shd w:val="clear" w:color="auto" w:fill="D9D9D9"/>
            <w:tcMar>
              <w:left w:w="108" w:type="dxa"/>
              <w:right w:w="108" w:type="dxa"/>
            </w:tcMar>
            <w:vAlign w:val="center"/>
          </w:tcPr>
          <w:p w14:paraId="3F639B18" w14:textId="77777777" w:rsidR="00782BB5" w:rsidRPr="009C52C4" w:rsidRDefault="00782BB5" w:rsidP="0022745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30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782BB5" w:rsidRPr="009C52C4" w14:paraId="284C726B" w14:textId="77777777" w:rsidTr="00211D83">
        <w:trPr>
          <w:trHeight w:val="19"/>
        </w:trPr>
        <w:tc>
          <w:tcPr>
            <w:tcW w:w="3156" w:type="dxa"/>
            <w:shd w:val="clear" w:color="auto" w:fill="EAF1DD" w:themeFill="accent3" w:themeFillTint="33"/>
            <w:tcMar>
              <w:left w:w="108" w:type="dxa"/>
              <w:right w:w="108" w:type="dxa"/>
            </w:tcMar>
            <w:vAlign w:val="center"/>
          </w:tcPr>
          <w:p w14:paraId="5169C220" w14:textId="77777777" w:rsidR="00782BB5" w:rsidRPr="009C52C4" w:rsidRDefault="00782BB5">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63" w:type="dxa"/>
            <w:tcBorders>
              <w:bottom w:val="single" w:sz="4" w:space="0" w:color="000000"/>
            </w:tcBorders>
            <w:shd w:val="clear" w:color="auto" w:fill="EAF1DD" w:themeFill="accent3" w:themeFillTint="33"/>
            <w:tcMar>
              <w:left w:w="108" w:type="dxa"/>
              <w:right w:w="108" w:type="dxa"/>
            </w:tcMar>
            <w:vAlign w:val="center"/>
          </w:tcPr>
          <w:p w14:paraId="614924DB"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14.169,65</w:t>
            </w:r>
          </w:p>
        </w:tc>
        <w:tc>
          <w:tcPr>
            <w:tcW w:w="1524" w:type="dxa"/>
            <w:tcBorders>
              <w:bottom w:val="single" w:sz="4" w:space="0" w:color="000000"/>
            </w:tcBorders>
            <w:shd w:val="clear" w:color="auto" w:fill="EAF1DD" w:themeFill="accent3" w:themeFillTint="33"/>
            <w:tcMar>
              <w:left w:w="108" w:type="dxa"/>
              <w:right w:w="108" w:type="dxa"/>
            </w:tcMar>
            <w:vAlign w:val="center"/>
          </w:tcPr>
          <w:p w14:paraId="4E17E097"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17.057,25</w:t>
            </w:r>
          </w:p>
        </w:tc>
        <w:tc>
          <w:tcPr>
            <w:tcW w:w="1524" w:type="dxa"/>
            <w:tcBorders>
              <w:bottom w:val="single" w:sz="4" w:space="0" w:color="000000"/>
            </w:tcBorders>
            <w:shd w:val="clear" w:color="auto" w:fill="EAF1DD" w:themeFill="accent3" w:themeFillTint="33"/>
            <w:tcMar>
              <w:left w:w="108" w:type="dxa"/>
              <w:right w:w="108" w:type="dxa"/>
            </w:tcMar>
            <w:vAlign w:val="center"/>
          </w:tcPr>
          <w:p w14:paraId="050FE470"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13.632,75</w:t>
            </w:r>
          </w:p>
        </w:tc>
        <w:tc>
          <w:tcPr>
            <w:tcW w:w="1525" w:type="dxa"/>
            <w:tcBorders>
              <w:bottom w:val="single" w:sz="4" w:space="0" w:color="000000"/>
            </w:tcBorders>
            <w:shd w:val="clear" w:color="auto" w:fill="EAF1DD" w:themeFill="accent3" w:themeFillTint="33"/>
            <w:tcMar>
              <w:left w:w="108" w:type="dxa"/>
              <w:right w:w="108" w:type="dxa"/>
            </w:tcMar>
            <w:vAlign w:val="center"/>
          </w:tcPr>
          <w:p w14:paraId="4DBB5F86"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16.889,45</w:t>
            </w:r>
          </w:p>
        </w:tc>
      </w:tr>
      <w:tr w:rsidR="00782BB5" w:rsidRPr="009C52C4" w14:paraId="72983016" w14:textId="77777777" w:rsidTr="00211D83">
        <w:trPr>
          <w:trHeight w:val="19"/>
        </w:trPr>
        <w:tc>
          <w:tcPr>
            <w:tcW w:w="3156" w:type="dxa"/>
            <w:tcBorders>
              <w:bottom w:val="single" w:sz="4" w:space="0" w:color="000000"/>
            </w:tcBorders>
            <w:shd w:val="clear" w:color="auto" w:fill="D6E3BC"/>
            <w:tcMar>
              <w:left w:w="108" w:type="dxa"/>
              <w:right w:w="108" w:type="dxa"/>
            </w:tcMar>
            <w:vAlign w:val="center"/>
          </w:tcPr>
          <w:p w14:paraId="17CE4B70" w14:textId="77777777" w:rsidR="00782BB5" w:rsidRPr="009C52C4" w:rsidRDefault="00782BB5">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63" w:type="dxa"/>
            <w:shd w:val="clear" w:color="auto" w:fill="D6E3BC" w:themeFill="accent3" w:themeFillTint="66"/>
            <w:tcMar>
              <w:left w:w="108" w:type="dxa"/>
              <w:right w:w="108" w:type="dxa"/>
            </w:tcMar>
            <w:vAlign w:val="center"/>
          </w:tcPr>
          <w:p w14:paraId="6030D5FC"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13.824,11</w:t>
            </w:r>
          </w:p>
        </w:tc>
        <w:tc>
          <w:tcPr>
            <w:tcW w:w="1524" w:type="dxa"/>
            <w:shd w:val="clear" w:color="auto" w:fill="D6E3BC" w:themeFill="accent3" w:themeFillTint="66"/>
            <w:tcMar>
              <w:left w:w="108" w:type="dxa"/>
              <w:right w:w="108" w:type="dxa"/>
            </w:tcMar>
            <w:vAlign w:val="center"/>
          </w:tcPr>
          <w:p w14:paraId="4C8E1DA1"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16.935,75</w:t>
            </w:r>
          </w:p>
        </w:tc>
        <w:tc>
          <w:tcPr>
            <w:tcW w:w="1524" w:type="dxa"/>
            <w:shd w:val="clear" w:color="auto" w:fill="D6E3BC" w:themeFill="accent3" w:themeFillTint="66"/>
            <w:tcMar>
              <w:left w:w="108" w:type="dxa"/>
              <w:right w:w="108" w:type="dxa"/>
            </w:tcMar>
            <w:vAlign w:val="center"/>
          </w:tcPr>
          <w:p w14:paraId="031397B6"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13.629,33</w:t>
            </w:r>
          </w:p>
        </w:tc>
        <w:tc>
          <w:tcPr>
            <w:tcW w:w="1525" w:type="dxa"/>
            <w:shd w:val="clear" w:color="auto" w:fill="D6E3BC" w:themeFill="accent3" w:themeFillTint="66"/>
            <w:tcMar>
              <w:left w:w="108" w:type="dxa"/>
              <w:right w:w="108" w:type="dxa"/>
            </w:tcMar>
            <w:vAlign w:val="center"/>
          </w:tcPr>
          <w:p w14:paraId="21AFDC03"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16.747,64</w:t>
            </w:r>
          </w:p>
        </w:tc>
      </w:tr>
      <w:tr w:rsidR="00782BB5" w:rsidRPr="009C52C4" w14:paraId="40D74CB1" w14:textId="77777777" w:rsidTr="00211D83">
        <w:trPr>
          <w:trHeight w:val="19"/>
        </w:trPr>
        <w:tc>
          <w:tcPr>
            <w:tcW w:w="3156" w:type="dxa"/>
            <w:shd w:val="clear" w:color="auto" w:fill="auto"/>
            <w:tcMar>
              <w:left w:w="108" w:type="dxa"/>
              <w:right w:w="108" w:type="dxa"/>
            </w:tcMar>
            <w:vAlign w:val="center"/>
          </w:tcPr>
          <w:p w14:paraId="5379BA65" w14:textId="77777777" w:rsidR="00782BB5" w:rsidRPr="009C52C4" w:rsidRDefault="00782BB5">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63" w:type="dxa"/>
            <w:shd w:val="clear" w:color="auto" w:fill="auto"/>
            <w:tcMar>
              <w:left w:w="108" w:type="dxa"/>
              <w:right w:w="108" w:type="dxa"/>
            </w:tcMar>
            <w:vAlign w:val="center"/>
          </w:tcPr>
          <w:p w14:paraId="7FF09F03"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14.252,60</w:t>
            </w:r>
          </w:p>
        </w:tc>
        <w:tc>
          <w:tcPr>
            <w:tcW w:w="1524" w:type="dxa"/>
            <w:shd w:val="clear" w:color="auto" w:fill="auto"/>
            <w:tcMar>
              <w:left w:w="108" w:type="dxa"/>
              <w:right w:w="108" w:type="dxa"/>
            </w:tcMar>
            <w:vAlign w:val="center"/>
          </w:tcPr>
          <w:p w14:paraId="4D112CA0"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17.289,76</w:t>
            </w:r>
          </w:p>
        </w:tc>
        <w:tc>
          <w:tcPr>
            <w:tcW w:w="1524" w:type="dxa"/>
            <w:shd w:val="clear" w:color="auto" w:fill="auto"/>
            <w:tcMar>
              <w:left w:w="108" w:type="dxa"/>
              <w:right w:w="108" w:type="dxa"/>
            </w:tcMar>
            <w:vAlign w:val="center"/>
          </w:tcPr>
          <w:p w14:paraId="26E9DDC1"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13.992,43</w:t>
            </w:r>
          </w:p>
        </w:tc>
        <w:tc>
          <w:tcPr>
            <w:tcW w:w="1525" w:type="dxa"/>
            <w:shd w:val="clear" w:color="auto" w:fill="auto"/>
            <w:tcMar>
              <w:left w:w="108" w:type="dxa"/>
              <w:right w:w="108" w:type="dxa"/>
            </w:tcMar>
            <w:vAlign w:val="center"/>
          </w:tcPr>
          <w:p w14:paraId="74ECF09A"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17.110,48</w:t>
            </w:r>
          </w:p>
        </w:tc>
      </w:tr>
      <w:tr w:rsidR="00782BB5" w:rsidRPr="009C52C4" w14:paraId="2F996479" w14:textId="77777777" w:rsidTr="00211D83">
        <w:trPr>
          <w:trHeight w:val="19"/>
        </w:trPr>
        <w:tc>
          <w:tcPr>
            <w:tcW w:w="3156" w:type="dxa"/>
            <w:shd w:val="clear" w:color="auto" w:fill="auto"/>
            <w:tcMar>
              <w:left w:w="108" w:type="dxa"/>
              <w:right w:w="108" w:type="dxa"/>
            </w:tcMar>
            <w:vAlign w:val="center"/>
          </w:tcPr>
          <w:p w14:paraId="1EA5E8D0" w14:textId="77777777" w:rsidR="00782BB5" w:rsidRPr="009C52C4" w:rsidRDefault="00782BB5">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63" w:type="dxa"/>
            <w:shd w:val="clear" w:color="auto" w:fill="auto"/>
            <w:tcMar>
              <w:left w:w="108" w:type="dxa"/>
              <w:right w:w="108" w:type="dxa"/>
            </w:tcMar>
            <w:vAlign w:val="center"/>
          </w:tcPr>
          <w:p w14:paraId="5DE1241D"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16.737,42</w:t>
            </w:r>
          </w:p>
        </w:tc>
        <w:tc>
          <w:tcPr>
            <w:tcW w:w="1524" w:type="dxa"/>
            <w:shd w:val="clear" w:color="auto" w:fill="auto"/>
            <w:tcMar>
              <w:left w:w="108" w:type="dxa"/>
              <w:right w:w="108" w:type="dxa"/>
            </w:tcMar>
            <w:vAlign w:val="center"/>
          </w:tcPr>
          <w:p w14:paraId="2133615A"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19.425,46</w:t>
            </w:r>
          </w:p>
        </w:tc>
        <w:tc>
          <w:tcPr>
            <w:tcW w:w="1524" w:type="dxa"/>
            <w:shd w:val="clear" w:color="auto" w:fill="auto"/>
            <w:tcMar>
              <w:left w:w="108" w:type="dxa"/>
              <w:right w:w="108" w:type="dxa"/>
            </w:tcMar>
            <w:vAlign w:val="center"/>
          </w:tcPr>
          <w:p w14:paraId="4B2A73FD"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16.255,05</w:t>
            </w:r>
          </w:p>
        </w:tc>
        <w:tc>
          <w:tcPr>
            <w:tcW w:w="1525" w:type="dxa"/>
            <w:shd w:val="clear" w:color="auto" w:fill="auto"/>
            <w:tcMar>
              <w:left w:w="108" w:type="dxa"/>
              <w:right w:w="108" w:type="dxa"/>
            </w:tcMar>
            <w:vAlign w:val="center"/>
          </w:tcPr>
          <w:p w14:paraId="36B096E3"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19.303,83</w:t>
            </w:r>
          </w:p>
        </w:tc>
      </w:tr>
      <w:tr w:rsidR="00782BB5" w:rsidRPr="009C52C4" w14:paraId="71283CB2" w14:textId="77777777" w:rsidTr="00211D83">
        <w:trPr>
          <w:trHeight w:val="19"/>
        </w:trPr>
        <w:tc>
          <w:tcPr>
            <w:tcW w:w="3156" w:type="dxa"/>
            <w:shd w:val="clear" w:color="auto" w:fill="auto"/>
            <w:tcMar>
              <w:left w:w="108" w:type="dxa"/>
              <w:right w:w="108" w:type="dxa"/>
            </w:tcMar>
            <w:vAlign w:val="center"/>
          </w:tcPr>
          <w:p w14:paraId="2AB03FEA" w14:textId="77777777" w:rsidR="00782BB5" w:rsidRPr="009C52C4" w:rsidRDefault="00782BB5">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663" w:type="dxa"/>
            <w:shd w:val="clear" w:color="auto" w:fill="auto"/>
            <w:tcMar>
              <w:left w:w="108" w:type="dxa"/>
              <w:right w:w="108" w:type="dxa"/>
            </w:tcMar>
            <w:vAlign w:val="center"/>
          </w:tcPr>
          <w:p w14:paraId="4690B233"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9.124,55</w:t>
            </w:r>
          </w:p>
        </w:tc>
        <w:tc>
          <w:tcPr>
            <w:tcW w:w="1524" w:type="dxa"/>
            <w:shd w:val="clear" w:color="auto" w:fill="auto"/>
            <w:tcMar>
              <w:left w:w="108" w:type="dxa"/>
              <w:right w:w="108" w:type="dxa"/>
            </w:tcMar>
            <w:vAlign w:val="center"/>
          </w:tcPr>
          <w:p w14:paraId="38111F3A"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8.701,24</w:t>
            </w:r>
          </w:p>
        </w:tc>
        <w:tc>
          <w:tcPr>
            <w:tcW w:w="1524" w:type="dxa"/>
            <w:shd w:val="clear" w:color="auto" w:fill="auto"/>
            <w:tcMar>
              <w:left w:w="108" w:type="dxa"/>
              <w:right w:w="108" w:type="dxa"/>
            </w:tcMar>
            <w:vAlign w:val="center"/>
          </w:tcPr>
          <w:p w14:paraId="03E7BF9A"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9.621,82</w:t>
            </w:r>
          </w:p>
        </w:tc>
        <w:tc>
          <w:tcPr>
            <w:tcW w:w="1525" w:type="dxa"/>
            <w:shd w:val="clear" w:color="auto" w:fill="auto"/>
            <w:tcMar>
              <w:left w:w="108" w:type="dxa"/>
              <w:right w:w="108" w:type="dxa"/>
            </w:tcMar>
            <w:vAlign w:val="center"/>
          </w:tcPr>
          <w:p w14:paraId="6CAE2E04" w14:textId="77777777" w:rsidR="00782BB5" w:rsidRPr="009C52C4" w:rsidRDefault="00782BB5" w:rsidP="00782BB5">
            <w:pPr>
              <w:jc w:val="center"/>
              <w:rPr>
                <w:rFonts w:ascii="Times New Roman" w:hAnsi="Times New Roman" w:cs="Times New Roman"/>
                <w:sz w:val="24"/>
                <w:szCs w:val="24"/>
              </w:rPr>
            </w:pPr>
            <w:r w:rsidRPr="009C52C4">
              <w:rPr>
                <w:rFonts w:ascii="Times New Roman" w:hAnsi="Times New Roman" w:cs="Times New Roman"/>
                <w:sz w:val="24"/>
                <w:szCs w:val="24"/>
              </w:rPr>
              <w:t>8.529,33</w:t>
            </w:r>
          </w:p>
        </w:tc>
      </w:tr>
      <w:tr w:rsidR="00227458" w:rsidRPr="009C52C4" w14:paraId="2C113943" w14:textId="77777777" w:rsidTr="00211D83">
        <w:trPr>
          <w:trHeight w:val="19"/>
        </w:trPr>
        <w:tc>
          <w:tcPr>
            <w:tcW w:w="9396" w:type="dxa"/>
            <w:gridSpan w:val="5"/>
            <w:shd w:val="clear" w:color="auto" w:fill="D9D9D9"/>
            <w:tcMar>
              <w:left w:w="108" w:type="dxa"/>
              <w:right w:w="108" w:type="dxa"/>
            </w:tcMar>
            <w:vAlign w:val="center"/>
          </w:tcPr>
          <w:p w14:paraId="2FAD7293" w14:textId="77777777" w:rsidR="00227458" w:rsidRPr="009C52C4" w:rsidRDefault="00227458" w:rsidP="0022745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50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227458" w:rsidRPr="009C52C4" w14:paraId="22679C3C" w14:textId="77777777" w:rsidTr="00211D83">
        <w:trPr>
          <w:trHeight w:val="19"/>
        </w:trPr>
        <w:tc>
          <w:tcPr>
            <w:tcW w:w="3156" w:type="dxa"/>
            <w:shd w:val="clear" w:color="auto" w:fill="EAF1DD" w:themeFill="accent3" w:themeFillTint="33"/>
            <w:tcMar>
              <w:left w:w="108" w:type="dxa"/>
              <w:right w:w="108" w:type="dxa"/>
            </w:tcMar>
            <w:vAlign w:val="center"/>
          </w:tcPr>
          <w:p w14:paraId="2BCE7A3C"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63" w:type="dxa"/>
            <w:tcBorders>
              <w:bottom w:val="single" w:sz="4" w:space="0" w:color="000000"/>
            </w:tcBorders>
            <w:shd w:val="clear" w:color="auto" w:fill="auto"/>
            <w:tcMar>
              <w:left w:w="108" w:type="dxa"/>
              <w:right w:w="108" w:type="dxa"/>
            </w:tcMar>
            <w:vAlign w:val="center"/>
          </w:tcPr>
          <w:p w14:paraId="2B3420C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37.784,09</w:t>
            </w:r>
          </w:p>
        </w:tc>
        <w:tc>
          <w:tcPr>
            <w:tcW w:w="1524" w:type="dxa"/>
            <w:tcBorders>
              <w:bottom w:val="single" w:sz="4" w:space="0" w:color="000000"/>
            </w:tcBorders>
            <w:shd w:val="clear" w:color="auto" w:fill="EAF1DD" w:themeFill="accent3" w:themeFillTint="33"/>
            <w:tcMar>
              <w:left w:w="108" w:type="dxa"/>
              <w:right w:w="108" w:type="dxa"/>
            </w:tcMar>
            <w:vAlign w:val="center"/>
          </w:tcPr>
          <w:p w14:paraId="09DAF32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46.147,37</w:t>
            </w:r>
          </w:p>
        </w:tc>
        <w:tc>
          <w:tcPr>
            <w:tcW w:w="1524" w:type="dxa"/>
            <w:tcBorders>
              <w:bottom w:val="single" w:sz="4" w:space="0" w:color="000000"/>
            </w:tcBorders>
            <w:shd w:val="clear" w:color="auto" w:fill="EAF1DD" w:themeFill="accent3" w:themeFillTint="33"/>
            <w:tcMar>
              <w:left w:w="108" w:type="dxa"/>
              <w:right w:w="108" w:type="dxa"/>
            </w:tcMar>
            <w:vAlign w:val="center"/>
          </w:tcPr>
          <w:p w14:paraId="2FAEC5C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36.229,10</w:t>
            </w:r>
          </w:p>
        </w:tc>
        <w:tc>
          <w:tcPr>
            <w:tcW w:w="1525" w:type="dxa"/>
            <w:tcBorders>
              <w:bottom w:val="single" w:sz="4" w:space="0" w:color="000000"/>
            </w:tcBorders>
            <w:shd w:val="clear" w:color="auto" w:fill="EAF1DD" w:themeFill="accent3" w:themeFillTint="33"/>
            <w:tcMar>
              <w:left w:w="108" w:type="dxa"/>
              <w:right w:w="108" w:type="dxa"/>
            </w:tcMar>
            <w:vAlign w:val="center"/>
          </w:tcPr>
          <w:p w14:paraId="5EE56BD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45.661,37</w:t>
            </w:r>
          </w:p>
        </w:tc>
      </w:tr>
      <w:tr w:rsidR="00227458" w:rsidRPr="009C52C4" w14:paraId="47F7612B" w14:textId="77777777" w:rsidTr="00211D83">
        <w:trPr>
          <w:trHeight w:val="19"/>
        </w:trPr>
        <w:tc>
          <w:tcPr>
            <w:tcW w:w="3156" w:type="dxa"/>
            <w:tcBorders>
              <w:bottom w:val="single" w:sz="4" w:space="0" w:color="000000"/>
            </w:tcBorders>
            <w:shd w:val="clear" w:color="auto" w:fill="D6E3BC"/>
            <w:tcMar>
              <w:left w:w="108" w:type="dxa"/>
              <w:right w:w="108" w:type="dxa"/>
            </w:tcMar>
            <w:vAlign w:val="center"/>
          </w:tcPr>
          <w:p w14:paraId="7BE15DF2"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63" w:type="dxa"/>
            <w:tcBorders>
              <w:bottom w:val="single" w:sz="4" w:space="0" w:color="000000"/>
            </w:tcBorders>
            <w:shd w:val="clear" w:color="auto" w:fill="D6E3BC" w:themeFill="accent3" w:themeFillTint="66"/>
            <w:tcMar>
              <w:left w:w="108" w:type="dxa"/>
              <w:right w:w="108" w:type="dxa"/>
            </w:tcMar>
            <w:vAlign w:val="center"/>
          </w:tcPr>
          <w:p w14:paraId="0FDDF6F1"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36.737,91</w:t>
            </w:r>
          </w:p>
        </w:tc>
        <w:tc>
          <w:tcPr>
            <w:tcW w:w="1524" w:type="dxa"/>
            <w:shd w:val="clear" w:color="auto" w:fill="D6E3BC" w:themeFill="accent3" w:themeFillTint="66"/>
            <w:tcMar>
              <w:left w:w="108" w:type="dxa"/>
              <w:right w:w="108" w:type="dxa"/>
            </w:tcMar>
            <w:vAlign w:val="center"/>
          </w:tcPr>
          <w:p w14:paraId="51572FE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45.750,08</w:t>
            </w:r>
          </w:p>
        </w:tc>
        <w:tc>
          <w:tcPr>
            <w:tcW w:w="1524" w:type="dxa"/>
            <w:shd w:val="clear" w:color="auto" w:fill="D6E3BC" w:themeFill="accent3" w:themeFillTint="66"/>
            <w:tcMar>
              <w:left w:w="108" w:type="dxa"/>
              <w:right w:w="108" w:type="dxa"/>
            </w:tcMar>
            <w:vAlign w:val="center"/>
          </w:tcPr>
          <w:p w14:paraId="18D66FA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36.173,80</w:t>
            </w:r>
          </w:p>
        </w:tc>
        <w:tc>
          <w:tcPr>
            <w:tcW w:w="1525" w:type="dxa"/>
            <w:shd w:val="clear" w:color="auto" w:fill="D6E3BC" w:themeFill="accent3" w:themeFillTint="66"/>
            <w:tcMar>
              <w:left w:w="108" w:type="dxa"/>
              <w:right w:w="108" w:type="dxa"/>
            </w:tcMar>
            <w:vAlign w:val="center"/>
          </w:tcPr>
          <w:p w14:paraId="75869B0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45.205,28</w:t>
            </w:r>
          </w:p>
        </w:tc>
      </w:tr>
      <w:tr w:rsidR="00227458" w:rsidRPr="009C52C4" w14:paraId="380FA934" w14:textId="77777777" w:rsidTr="00211D83">
        <w:trPr>
          <w:trHeight w:val="19"/>
        </w:trPr>
        <w:tc>
          <w:tcPr>
            <w:tcW w:w="3156" w:type="dxa"/>
            <w:shd w:val="clear" w:color="auto" w:fill="auto"/>
            <w:tcMar>
              <w:left w:w="108" w:type="dxa"/>
              <w:right w:w="108" w:type="dxa"/>
            </w:tcMar>
            <w:vAlign w:val="center"/>
          </w:tcPr>
          <w:p w14:paraId="78579CD6"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63" w:type="dxa"/>
            <w:shd w:val="clear" w:color="auto" w:fill="EAF1DD" w:themeFill="accent3" w:themeFillTint="33"/>
            <w:tcMar>
              <w:left w:w="108" w:type="dxa"/>
              <w:right w:w="108" w:type="dxa"/>
            </w:tcMar>
            <w:vAlign w:val="center"/>
          </w:tcPr>
          <w:p w14:paraId="5428C55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37.699,72</w:t>
            </w:r>
          </w:p>
        </w:tc>
        <w:tc>
          <w:tcPr>
            <w:tcW w:w="1524" w:type="dxa"/>
            <w:shd w:val="clear" w:color="auto" w:fill="auto"/>
            <w:tcMar>
              <w:left w:w="108" w:type="dxa"/>
              <w:right w:w="108" w:type="dxa"/>
            </w:tcMar>
            <w:vAlign w:val="center"/>
          </w:tcPr>
          <w:p w14:paraId="3B2851E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46.496,17</w:t>
            </w:r>
          </w:p>
        </w:tc>
        <w:tc>
          <w:tcPr>
            <w:tcW w:w="1524" w:type="dxa"/>
            <w:shd w:val="clear" w:color="auto" w:fill="auto"/>
            <w:tcMar>
              <w:left w:w="108" w:type="dxa"/>
              <w:right w:w="108" w:type="dxa"/>
            </w:tcMar>
            <w:vAlign w:val="center"/>
          </w:tcPr>
          <w:p w14:paraId="14DC0CC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36.946,23</w:t>
            </w:r>
          </w:p>
        </w:tc>
        <w:tc>
          <w:tcPr>
            <w:tcW w:w="1525" w:type="dxa"/>
            <w:shd w:val="clear" w:color="auto" w:fill="auto"/>
            <w:tcMar>
              <w:left w:w="108" w:type="dxa"/>
              <w:right w:w="108" w:type="dxa"/>
            </w:tcMar>
            <w:vAlign w:val="center"/>
          </w:tcPr>
          <w:p w14:paraId="58E3D92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45.976,94</w:t>
            </w:r>
          </w:p>
        </w:tc>
      </w:tr>
      <w:tr w:rsidR="00227458" w:rsidRPr="009C52C4" w14:paraId="43E8EDA7" w14:textId="77777777" w:rsidTr="00211D83">
        <w:trPr>
          <w:trHeight w:val="19"/>
        </w:trPr>
        <w:tc>
          <w:tcPr>
            <w:tcW w:w="3156" w:type="dxa"/>
            <w:shd w:val="clear" w:color="auto" w:fill="auto"/>
            <w:tcMar>
              <w:left w:w="108" w:type="dxa"/>
              <w:right w:w="108" w:type="dxa"/>
            </w:tcMar>
            <w:vAlign w:val="center"/>
          </w:tcPr>
          <w:p w14:paraId="4BDB1485"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63" w:type="dxa"/>
            <w:shd w:val="clear" w:color="auto" w:fill="auto"/>
            <w:tcMar>
              <w:left w:w="108" w:type="dxa"/>
              <w:right w:w="108" w:type="dxa"/>
            </w:tcMar>
            <w:vAlign w:val="center"/>
          </w:tcPr>
          <w:p w14:paraId="2EAF09F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43.310,55</w:t>
            </w:r>
          </w:p>
        </w:tc>
        <w:tc>
          <w:tcPr>
            <w:tcW w:w="1524" w:type="dxa"/>
            <w:shd w:val="clear" w:color="auto" w:fill="auto"/>
            <w:tcMar>
              <w:left w:w="108" w:type="dxa"/>
              <w:right w:w="108" w:type="dxa"/>
            </w:tcMar>
            <w:vAlign w:val="center"/>
          </w:tcPr>
          <w:p w14:paraId="0C1ECFF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51.095,87</w:t>
            </w:r>
          </w:p>
        </w:tc>
        <w:tc>
          <w:tcPr>
            <w:tcW w:w="1524" w:type="dxa"/>
            <w:shd w:val="clear" w:color="auto" w:fill="auto"/>
            <w:tcMar>
              <w:left w:w="108" w:type="dxa"/>
              <w:right w:w="108" w:type="dxa"/>
            </w:tcMar>
            <w:vAlign w:val="center"/>
          </w:tcPr>
          <w:p w14:paraId="151CA174"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41.913,48</w:t>
            </w:r>
          </w:p>
        </w:tc>
        <w:tc>
          <w:tcPr>
            <w:tcW w:w="1525" w:type="dxa"/>
            <w:shd w:val="clear" w:color="auto" w:fill="auto"/>
            <w:tcMar>
              <w:left w:w="108" w:type="dxa"/>
              <w:right w:w="108" w:type="dxa"/>
            </w:tcMar>
            <w:vAlign w:val="center"/>
          </w:tcPr>
          <w:p w14:paraId="066AA281"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50.743,60</w:t>
            </w:r>
          </w:p>
        </w:tc>
      </w:tr>
      <w:tr w:rsidR="00227458" w:rsidRPr="009C52C4" w14:paraId="09E82A11" w14:textId="77777777" w:rsidTr="00211D83">
        <w:trPr>
          <w:trHeight w:val="19"/>
        </w:trPr>
        <w:tc>
          <w:tcPr>
            <w:tcW w:w="3156" w:type="dxa"/>
            <w:shd w:val="clear" w:color="auto" w:fill="auto"/>
            <w:tcMar>
              <w:left w:w="108" w:type="dxa"/>
              <w:right w:w="108" w:type="dxa"/>
            </w:tcMar>
            <w:vAlign w:val="center"/>
          </w:tcPr>
          <w:p w14:paraId="59F201BF"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663" w:type="dxa"/>
            <w:shd w:val="clear" w:color="auto" w:fill="auto"/>
            <w:tcMar>
              <w:left w:w="108" w:type="dxa"/>
              <w:right w:w="108" w:type="dxa"/>
            </w:tcMar>
            <w:vAlign w:val="center"/>
          </w:tcPr>
          <w:p w14:paraId="3439F3A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22.478,97</w:t>
            </w:r>
          </w:p>
        </w:tc>
        <w:tc>
          <w:tcPr>
            <w:tcW w:w="1524" w:type="dxa"/>
            <w:shd w:val="clear" w:color="auto" w:fill="auto"/>
            <w:tcMar>
              <w:left w:w="108" w:type="dxa"/>
              <w:right w:w="108" w:type="dxa"/>
            </w:tcMar>
            <w:vAlign w:val="center"/>
          </w:tcPr>
          <w:p w14:paraId="2E45EDE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21.896,04</w:t>
            </w:r>
          </w:p>
        </w:tc>
        <w:tc>
          <w:tcPr>
            <w:tcW w:w="1524" w:type="dxa"/>
            <w:shd w:val="clear" w:color="auto" w:fill="auto"/>
            <w:tcMar>
              <w:left w:w="108" w:type="dxa"/>
              <w:right w:w="108" w:type="dxa"/>
            </w:tcMar>
            <w:vAlign w:val="center"/>
          </w:tcPr>
          <w:p w14:paraId="4BC52171"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23.716,77</w:t>
            </w:r>
          </w:p>
        </w:tc>
        <w:tc>
          <w:tcPr>
            <w:tcW w:w="1525" w:type="dxa"/>
            <w:shd w:val="clear" w:color="auto" w:fill="auto"/>
            <w:tcMar>
              <w:left w:w="108" w:type="dxa"/>
              <w:right w:w="108" w:type="dxa"/>
            </w:tcMar>
            <w:vAlign w:val="center"/>
          </w:tcPr>
          <w:p w14:paraId="64A0DA6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21.408,53</w:t>
            </w:r>
          </w:p>
        </w:tc>
      </w:tr>
      <w:tr w:rsidR="00227458" w:rsidRPr="009C52C4" w14:paraId="3A85109D" w14:textId="77777777" w:rsidTr="00211D83">
        <w:trPr>
          <w:trHeight w:val="19"/>
        </w:trPr>
        <w:tc>
          <w:tcPr>
            <w:tcW w:w="9396" w:type="dxa"/>
            <w:gridSpan w:val="5"/>
            <w:shd w:val="clear" w:color="auto" w:fill="D9D9D9"/>
            <w:tcMar>
              <w:left w:w="108" w:type="dxa"/>
              <w:right w:w="108" w:type="dxa"/>
            </w:tcMar>
            <w:vAlign w:val="center"/>
          </w:tcPr>
          <w:p w14:paraId="2AA296EF" w14:textId="77777777" w:rsidR="00227458" w:rsidRPr="009C52C4" w:rsidRDefault="00227458" w:rsidP="00227458">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70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227458" w:rsidRPr="009C52C4" w14:paraId="45719928" w14:textId="77777777" w:rsidTr="00211D83">
        <w:trPr>
          <w:trHeight w:val="19"/>
        </w:trPr>
        <w:tc>
          <w:tcPr>
            <w:tcW w:w="3156" w:type="dxa"/>
            <w:shd w:val="clear" w:color="auto" w:fill="EAF1DD" w:themeFill="accent3" w:themeFillTint="33"/>
            <w:tcMar>
              <w:left w:w="108" w:type="dxa"/>
              <w:right w:w="108" w:type="dxa"/>
            </w:tcMar>
            <w:vAlign w:val="center"/>
          </w:tcPr>
          <w:p w14:paraId="1DDB1CF2"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63" w:type="dxa"/>
            <w:tcBorders>
              <w:bottom w:val="single" w:sz="4" w:space="0" w:color="000000"/>
              <w:right w:val="single" w:sz="4" w:space="0" w:color="000000"/>
            </w:tcBorders>
            <w:shd w:val="clear" w:color="auto" w:fill="FFFFFF" w:themeFill="background1"/>
            <w:tcMar>
              <w:left w:w="108" w:type="dxa"/>
              <w:right w:w="108" w:type="dxa"/>
            </w:tcMar>
            <w:vAlign w:val="center"/>
          </w:tcPr>
          <w:p w14:paraId="79F2357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83.231,72</w:t>
            </w:r>
          </w:p>
        </w:tc>
        <w:tc>
          <w:tcPr>
            <w:tcW w:w="1524" w:type="dxa"/>
            <w:tcBorders>
              <w:left w:val="single" w:sz="4" w:space="0" w:color="000000"/>
              <w:bottom w:val="single" w:sz="4" w:space="0" w:color="000000"/>
            </w:tcBorders>
            <w:shd w:val="clear" w:color="auto" w:fill="auto"/>
            <w:tcMar>
              <w:left w:w="108" w:type="dxa"/>
              <w:right w:w="108" w:type="dxa"/>
            </w:tcMar>
            <w:vAlign w:val="center"/>
          </w:tcPr>
          <w:p w14:paraId="5BF945D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103.562,90</w:t>
            </w:r>
          </w:p>
        </w:tc>
        <w:tc>
          <w:tcPr>
            <w:tcW w:w="1524" w:type="dxa"/>
            <w:tcBorders>
              <w:bottom w:val="single" w:sz="4" w:space="0" w:color="000000"/>
            </w:tcBorders>
            <w:shd w:val="clear" w:color="auto" w:fill="EAF1DD" w:themeFill="accent3" w:themeFillTint="33"/>
            <w:tcMar>
              <w:left w:w="108" w:type="dxa"/>
              <w:right w:w="108" w:type="dxa"/>
            </w:tcMar>
            <w:vAlign w:val="center"/>
          </w:tcPr>
          <w:p w14:paraId="04F8DA1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79.451,52</w:t>
            </w:r>
          </w:p>
        </w:tc>
        <w:tc>
          <w:tcPr>
            <w:tcW w:w="1525" w:type="dxa"/>
            <w:tcBorders>
              <w:bottom w:val="single" w:sz="4" w:space="0" w:color="000000"/>
            </w:tcBorders>
            <w:shd w:val="clear" w:color="auto" w:fill="FFFFFF" w:themeFill="background1"/>
            <w:tcMar>
              <w:left w:w="108" w:type="dxa"/>
              <w:right w:w="108" w:type="dxa"/>
            </w:tcMar>
            <w:vAlign w:val="center"/>
          </w:tcPr>
          <w:p w14:paraId="59D46D4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102.381,45</w:t>
            </w:r>
          </w:p>
        </w:tc>
      </w:tr>
      <w:tr w:rsidR="00227458" w:rsidRPr="009C52C4" w14:paraId="379F6B22" w14:textId="77777777" w:rsidTr="00211D83">
        <w:trPr>
          <w:trHeight w:val="19"/>
        </w:trPr>
        <w:tc>
          <w:tcPr>
            <w:tcW w:w="3156" w:type="dxa"/>
            <w:tcBorders>
              <w:bottom w:val="single" w:sz="4" w:space="0" w:color="000000"/>
            </w:tcBorders>
            <w:shd w:val="clear" w:color="auto" w:fill="D6E3BC"/>
            <w:tcMar>
              <w:left w:w="108" w:type="dxa"/>
              <w:right w:w="108" w:type="dxa"/>
            </w:tcMar>
            <w:vAlign w:val="center"/>
          </w:tcPr>
          <w:p w14:paraId="320D753D"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63" w:type="dxa"/>
            <w:tcBorders>
              <w:bottom w:val="single" w:sz="4" w:space="0" w:color="000000"/>
            </w:tcBorders>
            <w:shd w:val="clear" w:color="auto" w:fill="D6E3BC" w:themeFill="accent3" w:themeFillTint="66"/>
            <w:tcMar>
              <w:left w:w="108" w:type="dxa"/>
              <w:right w:w="108" w:type="dxa"/>
            </w:tcMar>
            <w:vAlign w:val="center"/>
          </w:tcPr>
          <w:p w14:paraId="4957799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80.562,91</w:t>
            </w:r>
          </w:p>
        </w:tc>
        <w:tc>
          <w:tcPr>
            <w:tcW w:w="1524" w:type="dxa"/>
            <w:tcBorders>
              <w:bottom w:val="single" w:sz="4" w:space="0" w:color="000000"/>
            </w:tcBorders>
            <w:shd w:val="clear" w:color="auto" w:fill="D6E3BC" w:themeFill="accent3" w:themeFillTint="66"/>
            <w:tcMar>
              <w:left w:w="108" w:type="dxa"/>
              <w:right w:w="108" w:type="dxa"/>
            </w:tcMar>
            <w:vAlign w:val="center"/>
          </w:tcPr>
          <w:p w14:paraId="3BE0FDF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102.471,56</w:t>
            </w:r>
          </w:p>
        </w:tc>
        <w:tc>
          <w:tcPr>
            <w:tcW w:w="1524" w:type="dxa"/>
            <w:shd w:val="clear" w:color="auto" w:fill="D6E3BC" w:themeFill="accent3" w:themeFillTint="66"/>
            <w:tcMar>
              <w:left w:w="108" w:type="dxa"/>
              <w:right w:w="108" w:type="dxa"/>
            </w:tcMar>
            <w:vAlign w:val="center"/>
          </w:tcPr>
          <w:p w14:paraId="417C7BB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79.191,55</w:t>
            </w:r>
          </w:p>
        </w:tc>
        <w:tc>
          <w:tcPr>
            <w:tcW w:w="1525" w:type="dxa"/>
            <w:tcBorders>
              <w:bottom w:val="single" w:sz="4" w:space="0" w:color="000000"/>
            </w:tcBorders>
            <w:shd w:val="clear" w:color="auto" w:fill="D6E3BC" w:themeFill="accent3" w:themeFillTint="66"/>
            <w:tcMar>
              <w:left w:w="108" w:type="dxa"/>
              <w:right w:w="108" w:type="dxa"/>
            </w:tcMar>
            <w:vAlign w:val="center"/>
          </w:tcPr>
          <w:p w14:paraId="5FA4280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101.147,13</w:t>
            </w:r>
          </w:p>
        </w:tc>
      </w:tr>
      <w:tr w:rsidR="00227458" w:rsidRPr="009C52C4" w14:paraId="63EEA998" w14:textId="77777777" w:rsidTr="00211D83">
        <w:trPr>
          <w:trHeight w:val="19"/>
        </w:trPr>
        <w:tc>
          <w:tcPr>
            <w:tcW w:w="3156" w:type="dxa"/>
            <w:shd w:val="clear" w:color="auto" w:fill="auto"/>
            <w:tcMar>
              <w:left w:w="108" w:type="dxa"/>
              <w:right w:w="108" w:type="dxa"/>
            </w:tcMar>
            <w:vAlign w:val="center"/>
          </w:tcPr>
          <w:p w14:paraId="79DDB6BD"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63" w:type="dxa"/>
            <w:tcBorders>
              <w:right w:val="single" w:sz="4" w:space="0" w:color="000000"/>
            </w:tcBorders>
            <w:shd w:val="clear" w:color="auto" w:fill="EAF1DD" w:themeFill="accent3" w:themeFillTint="33"/>
            <w:tcMar>
              <w:left w:w="108" w:type="dxa"/>
              <w:right w:w="108" w:type="dxa"/>
            </w:tcMar>
            <w:vAlign w:val="center"/>
          </w:tcPr>
          <w:p w14:paraId="49B8642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82.129,02</w:t>
            </w:r>
          </w:p>
        </w:tc>
        <w:tc>
          <w:tcPr>
            <w:tcW w:w="1524" w:type="dxa"/>
            <w:tcBorders>
              <w:left w:val="single" w:sz="4" w:space="0" w:color="000000"/>
            </w:tcBorders>
            <w:shd w:val="clear" w:color="auto" w:fill="EAF1DD" w:themeFill="accent3" w:themeFillTint="33"/>
            <w:tcMar>
              <w:left w:w="108" w:type="dxa"/>
              <w:right w:w="108" w:type="dxa"/>
            </w:tcMar>
            <w:vAlign w:val="center"/>
          </w:tcPr>
          <w:p w14:paraId="41E5F604"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103.513,25</w:t>
            </w:r>
          </w:p>
        </w:tc>
        <w:tc>
          <w:tcPr>
            <w:tcW w:w="1524" w:type="dxa"/>
            <w:shd w:val="clear" w:color="auto" w:fill="auto"/>
            <w:tcMar>
              <w:left w:w="108" w:type="dxa"/>
              <w:right w:w="108" w:type="dxa"/>
            </w:tcMar>
            <w:vAlign w:val="center"/>
          </w:tcPr>
          <w:p w14:paraId="2E1BE1D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80.297,26</w:t>
            </w:r>
          </w:p>
        </w:tc>
        <w:tc>
          <w:tcPr>
            <w:tcW w:w="1525" w:type="dxa"/>
            <w:shd w:val="clear" w:color="auto" w:fill="EAF1DD" w:themeFill="accent3" w:themeFillTint="33"/>
            <w:tcMar>
              <w:left w:w="108" w:type="dxa"/>
              <w:right w:w="108" w:type="dxa"/>
            </w:tcMar>
            <w:vAlign w:val="center"/>
          </w:tcPr>
          <w:p w14:paraId="7EB43F5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102.250,99</w:t>
            </w:r>
          </w:p>
        </w:tc>
      </w:tr>
      <w:tr w:rsidR="00227458" w:rsidRPr="009C52C4" w14:paraId="573293B9" w14:textId="77777777" w:rsidTr="00211D83">
        <w:trPr>
          <w:trHeight w:val="19"/>
        </w:trPr>
        <w:tc>
          <w:tcPr>
            <w:tcW w:w="3156" w:type="dxa"/>
            <w:shd w:val="clear" w:color="auto" w:fill="auto"/>
            <w:tcMar>
              <w:left w:w="108" w:type="dxa"/>
              <w:right w:w="108" w:type="dxa"/>
            </w:tcMar>
            <w:vAlign w:val="center"/>
          </w:tcPr>
          <w:p w14:paraId="55ED2706"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63" w:type="dxa"/>
            <w:shd w:val="clear" w:color="auto" w:fill="auto"/>
            <w:tcMar>
              <w:left w:w="108" w:type="dxa"/>
              <w:right w:w="108" w:type="dxa"/>
            </w:tcMar>
            <w:vAlign w:val="center"/>
          </w:tcPr>
          <w:p w14:paraId="05FF063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91.478,58</w:t>
            </w:r>
          </w:p>
        </w:tc>
        <w:tc>
          <w:tcPr>
            <w:tcW w:w="1524" w:type="dxa"/>
            <w:shd w:val="clear" w:color="auto" w:fill="auto"/>
            <w:tcMar>
              <w:left w:w="108" w:type="dxa"/>
              <w:right w:w="108" w:type="dxa"/>
            </w:tcMar>
            <w:vAlign w:val="center"/>
          </w:tcPr>
          <w:p w14:paraId="239E618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110.404,73</w:t>
            </w:r>
          </w:p>
        </w:tc>
        <w:tc>
          <w:tcPr>
            <w:tcW w:w="1524" w:type="dxa"/>
            <w:shd w:val="clear" w:color="auto" w:fill="auto"/>
            <w:tcMar>
              <w:left w:w="108" w:type="dxa"/>
              <w:right w:w="108" w:type="dxa"/>
            </w:tcMar>
            <w:vAlign w:val="center"/>
          </w:tcPr>
          <w:p w14:paraId="0E10EB1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88.082,27</w:t>
            </w:r>
          </w:p>
        </w:tc>
        <w:tc>
          <w:tcPr>
            <w:tcW w:w="1525" w:type="dxa"/>
            <w:shd w:val="clear" w:color="auto" w:fill="auto"/>
            <w:tcMar>
              <w:left w:w="108" w:type="dxa"/>
              <w:right w:w="108" w:type="dxa"/>
            </w:tcMar>
            <w:vAlign w:val="center"/>
          </w:tcPr>
          <w:p w14:paraId="3A18744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109.548,36</w:t>
            </w:r>
          </w:p>
        </w:tc>
      </w:tr>
      <w:tr w:rsidR="00227458" w:rsidRPr="009C52C4" w14:paraId="6D550E01" w14:textId="77777777" w:rsidTr="00211D83">
        <w:trPr>
          <w:trHeight w:val="19"/>
        </w:trPr>
        <w:tc>
          <w:tcPr>
            <w:tcW w:w="3156" w:type="dxa"/>
            <w:shd w:val="clear" w:color="auto" w:fill="auto"/>
            <w:tcMar>
              <w:left w:w="108" w:type="dxa"/>
              <w:right w:w="108" w:type="dxa"/>
            </w:tcMar>
            <w:vAlign w:val="center"/>
          </w:tcPr>
          <w:p w14:paraId="4A5A13AC"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663" w:type="dxa"/>
            <w:shd w:val="clear" w:color="auto" w:fill="auto"/>
            <w:tcMar>
              <w:left w:w="108" w:type="dxa"/>
              <w:right w:w="108" w:type="dxa"/>
            </w:tcMar>
            <w:vAlign w:val="center"/>
          </w:tcPr>
          <w:p w14:paraId="7CB183CC"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41.774,55</w:t>
            </w:r>
          </w:p>
        </w:tc>
        <w:tc>
          <w:tcPr>
            <w:tcW w:w="1524" w:type="dxa"/>
            <w:shd w:val="clear" w:color="auto" w:fill="auto"/>
            <w:tcMar>
              <w:left w:w="108" w:type="dxa"/>
              <w:right w:w="108" w:type="dxa"/>
            </w:tcMar>
            <w:vAlign w:val="center"/>
          </w:tcPr>
          <w:p w14:paraId="411A32E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41.256,15</w:t>
            </w:r>
          </w:p>
        </w:tc>
        <w:tc>
          <w:tcPr>
            <w:tcW w:w="1524" w:type="dxa"/>
            <w:shd w:val="clear" w:color="auto" w:fill="auto"/>
            <w:tcMar>
              <w:left w:w="108" w:type="dxa"/>
              <w:right w:w="108" w:type="dxa"/>
            </w:tcMar>
            <w:vAlign w:val="center"/>
          </w:tcPr>
          <w:p w14:paraId="251FA34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44.500,76</w:t>
            </w:r>
          </w:p>
        </w:tc>
        <w:tc>
          <w:tcPr>
            <w:tcW w:w="1525" w:type="dxa"/>
            <w:shd w:val="clear" w:color="auto" w:fill="auto"/>
            <w:tcMar>
              <w:left w:w="108" w:type="dxa"/>
              <w:right w:w="108" w:type="dxa"/>
            </w:tcMar>
            <w:vAlign w:val="center"/>
          </w:tcPr>
          <w:p w14:paraId="49C6DE9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40.085,50</w:t>
            </w:r>
          </w:p>
        </w:tc>
      </w:tr>
    </w:tbl>
    <w:p w14:paraId="73073871" w14:textId="77777777" w:rsidR="00782BB5" w:rsidRPr="009C52C4" w:rsidRDefault="00782BB5" w:rsidP="00782BB5">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770D3F75" w14:textId="77777777" w:rsidR="00AC5AC8" w:rsidRPr="009C52C4" w:rsidRDefault="00AC5AC8">
      <w:pPr>
        <w:rPr>
          <w:rFonts w:ascii="Times New Roman" w:hAnsi="Times New Roman" w:cs="Times New Roman"/>
          <w:sz w:val="24"/>
          <w:szCs w:val="24"/>
        </w:rPr>
      </w:pPr>
      <w:r w:rsidRPr="009C52C4">
        <w:rPr>
          <w:rFonts w:ascii="Times New Roman" w:hAnsi="Times New Roman" w:cs="Times New Roman"/>
          <w:sz w:val="24"/>
          <w:szCs w:val="24"/>
        </w:rPr>
        <w:br w:type="page"/>
      </w:r>
    </w:p>
    <w:p w14:paraId="524867CF" w14:textId="084C4E65" w:rsidR="00227458" w:rsidRPr="009C52C4" w:rsidRDefault="00227458" w:rsidP="00227458">
      <w:pPr>
        <w:pStyle w:val="Caption"/>
        <w:rPr>
          <w:rFonts w:ascii="Times New Roman" w:hAnsi="Times New Roman" w:cs="Times New Roman"/>
          <w:sz w:val="24"/>
          <w:szCs w:val="24"/>
        </w:rPr>
      </w:pPr>
      <w:bookmarkStart w:id="142" w:name="_Ref484780302"/>
      <w:bookmarkStart w:id="143" w:name="_Toc2681322"/>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7</w:t>
      </w:r>
      <w:r w:rsidR="00B6149D" w:rsidRPr="009C52C4">
        <w:rPr>
          <w:rFonts w:ascii="Times New Roman" w:hAnsi="Times New Roman" w:cs="Times New Roman"/>
          <w:noProof/>
          <w:sz w:val="24"/>
          <w:szCs w:val="24"/>
        </w:rPr>
        <w:fldChar w:fldCharType="end"/>
      </w:r>
      <w:bookmarkEnd w:id="142"/>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Prikaz ukupnih troškova mogućih modela obnove zgrada primorske Hrvatske u ovisnosti o kategoriji zgrade i razdoblju kalkulacije</w:t>
      </w:r>
      <w:bookmarkEnd w:id="143"/>
    </w:p>
    <w:tbl>
      <w:tblPr>
        <w:tblW w:w="9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10"/>
        <w:gridCol w:w="1639"/>
        <w:gridCol w:w="1502"/>
        <w:gridCol w:w="1502"/>
        <w:gridCol w:w="1508"/>
      </w:tblGrid>
      <w:tr w:rsidR="00227458" w:rsidRPr="009C52C4" w14:paraId="05A0D7CD" w14:textId="77777777" w:rsidTr="006130B9">
        <w:trPr>
          <w:trHeight w:val="20"/>
        </w:trPr>
        <w:tc>
          <w:tcPr>
            <w:tcW w:w="3110" w:type="dxa"/>
            <w:tcMar>
              <w:left w:w="108" w:type="dxa"/>
              <w:right w:w="108" w:type="dxa"/>
            </w:tcMar>
            <w:vAlign w:val="center"/>
          </w:tcPr>
          <w:p w14:paraId="3EC3573A" w14:textId="77777777" w:rsidR="00227458" w:rsidRPr="009C52C4" w:rsidRDefault="00227458" w:rsidP="00227458">
            <w:pPr>
              <w:rPr>
                <w:rFonts w:ascii="Times New Roman" w:hAnsi="Times New Roman" w:cs="Times New Roman"/>
                <w:sz w:val="24"/>
                <w:szCs w:val="24"/>
              </w:rPr>
            </w:pPr>
            <w:r w:rsidRPr="009C52C4">
              <w:rPr>
                <w:rFonts w:ascii="Times New Roman" w:hAnsi="Times New Roman" w:cs="Times New Roman"/>
                <w:b/>
                <w:sz w:val="24"/>
                <w:szCs w:val="24"/>
              </w:rPr>
              <w:t>Kategorija zgrade na području primorske Hrvatske</w:t>
            </w:r>
          </w:p>
        </w:tc>
        <w:tc>
          <w:tcPr>
            <w:tcW w:w="1639" w:type="dxa"/>
            <w:tcMar>
              <w:left w:w="108" w:type="dxa"/>
              <w:right w:w="108" w:type="dxa"/>
            </w:tcMar>
            <w:vAlign w:val="center"/>
          </w:tcPr>
          <w:p w14:paraId="66F61C8B" w14:textId="77777777" w:rsidR="00227458" w:rsidRPr="009C52C4" w:rsidRDefault="00227458" w:rsidP="00887E64">
            <w:pPr>
              <w:jc w:val="center"/>
              <w:rPr>
                <w:rFonts w:ascii="Times New Roman" w:hAnsi="Times New Roman" w:cs="Times New Roman"/>
                <w:sz w:val="24"/>
                <w:szCs w:val="24"/>
              </w:rPr>
            </w:pPr>
            <w:r w:rsidRPr="009C52C4">
              <w:rPr>
                <w:rFonts w:ascii="Times New Roman" w:hAnsi="Times New Roman" w:cs="Times New Roman"/>
                <w:sz w:val="24"/>
                <w:szCs w:val="24"/>
              </w:rPr>
              <w:t>Zgrade javne namjene</w:t>
            </w:r>
          </w:p>
        </w:tc>
        <w:tc>
          <w:tcPr>
            <w:tcW w:w="1502" w:type="dxa"/>
            <w:tcMar>
              <w:left w:w="108" w:type="dxa"/>
              <w:right w:w="108" w:type="dxa"/>
            </w:tcMar>
            <w:vAlign w:val="center"/>
          </w:tcPr>
          <w:p w14:paraId="0AB1DD7C" w14:textId="77777777" w:rsidR="00227458" w:rsidRPr="009C52C4" w:rsidRDefault="00227458" w:rsidP="00887E64">
            <w:pPr>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Zgrade komercijalne namjene</w:t>
            </w:r>
          </w:p>
        </w:tc>
        <w:tc>
          <w:tcPr>
            <w:tcW w:w="1502" w:type="dxa"/>
            <w:tcMar>
              <w:left w:w="108" w:type="dxa"/>
              <w:right w:w="108" w:type="dxa"/>
            </w:tcMar>
            <w:vAlign w:val="center"/>
          </w:tcPr>
          <w:p w14:paraId="648AA17B" w14:textId="77777777" w:rsidR="00227458" w:rsidRPr="009C52C4" w:rsidRDefault="00227458" w:rsidP="00887E64">
            <w:pPr>
              <w:jc w:val="center"/>
              <w:rPr>
                <w:rFonts w:ascii="Times New Roman" w:hAnsi="Times New Roman" w:cs="Times New Roman"/>
                <w:color w:val="auto"/>
                <w:sz w:val="24"/>
                <w:szCs w:val="24"/>
              </w:rPr>
            </w:pPr>
            <w:r w:rsidRPr="009C52C4">
              <w:rPr>
                <w:rFonts w:ascii="Times New Roman" w:hAnsi="Times New Roman" w:cs="Times New Roman"/>
                <w:color w:val="auto"/>
                <w:sz w:val="24"/>
                <w:szCs w:val="24"/>
              </w:rPr>
              <w:t>Višestambene zgrade</w:t>
            </w:r>
          </w:p>
        </w:tc>
        <w:tc>
          <w:tcPr>
            <w:tcW w:w="1506" w:type="dxa"/>
            <w:tcMar>
              <w:left w:w="108" w:type="dxa"/>
              <w:right w:w="108" w:type="dxa"/>
            </w:tcMar>
            <w:vAlign w:val="center"/>
          </w:tcPr>
          <w:p w14:paraId="3561D7CE" w14:textId="77777777" w:rsidR="00227458" w:rsidRPr="009C52C4" w:rsidRDefault="00227458" w:rsidP="00887E64">
            <w:pPr>
              <w:jc w:val="center"/>
              <w:rPr>
                <w:rFonts w:ascii="Times New Roman" w:hAnsi="Times New Roman" w:cs="Times New Roman"/>
                <w:sz w:val="24"/>
                <w:szCs w:val="24"/>
              </w:rPr>
            </w:pPr>
            <w:r w:rsidRPr="009C52C4">
              <w:rPr>
                <w:rFonts w:ascii="Times New Roman" w:hAnsi="Times New Roman" w:cs="Times New Roman"/>
                <w:sz w:val="24"/>
                <w:szCs w:val="24"/>
              </w:rPr>
              <w:t>Obiteljske kuće</w:t>
            </w:r>
          </w:p>
        </w:tc>
      </w:tr>
      <w:tr w:rsidR="00227458" w:rsidRPr="009C52C4" w14:paraId="7D9538B0" w14:textId="77777777" w:rsidTr="006130B9">
        <w:trPr>
          <w:trHeight w:val="20"/>
        </w:trPr>
        <w:tc>
          <w:tcPr>
            <w:tcW w:w="9261" w:type="dxa"/>
            <w:gridSpan w:val="5"/>
            <w:shd w:val="clear" w:color="auto" w:fill="D9D9D9"/>
            <w:tcMar>
              <w:left w:w="108" w:type="dxa"/>
              <w:right w:w="108" w:type="dxa"/>
            </w:tcMar>
            <w:vAlign w:val="center"/>
          </w:tcPr>
          <w:p w14:paraId="06837E69" w14:textId="77777777" w:rsidR="00227458" w:rsidRPr="009C52C4" w:rsidRDefault="00227458" w:rsidP="00887E64">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30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227458" w:rsidRPr="009C52C4" w14:paraId="77851279" w14:textId="77777777" w:rsidTr="006130B9">
        <w:trPr>
          <w:trHeight w:val="20"/>
        </w:trPr>
        <w:tc>
          <w:tcPr>
            <w:tcW w:w="3110" w:type="dxa"/>
            <w:shd w:val="clear" w:color="auto" w:fill="EAF1DD" w:themeFill="accent3" w:themeFillTint="33"/>
            <w:tcMar>
              <w:left w:w="108" w:type="dxa"/>
              <w:right w:w="108" w:type="dxa"/>
            </w:tcMar>
            <w:vAlign w:val="center"/>
          </w:tcPr>
          <w:p w14:paraId="60ACC121"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39" w:type="dxa"/>
            <w:tcBorders>
              <w:bottom w:val="single" w:sz="4" w:space="0" w:color="000000"/>
            </w:tcBorders>
            <w:shd w:val="clear" w:color="auto" w:fill="EAF1DD" w:themeFill="accent3" w:themeFillTint="33"/>
            <w:tcMar>
              <w:left w:w="108" w:type="dxa"/>
              <w:right w:w="108" w:type="dxa"/>
            </w:tcMar>
            <w:vAlign w:val="center"/>
          </w:tcPr>
          <w:p w14:paraId="5E79FF4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10.755,70</w:t>
            </w:r>
          </w:p>
        </w:tc>
        <w:tc>
          <w:tcPr>
            <w:tcW w:w="1502" w:type="dxa"/>
            <w:tcBorders>
              <w:bottom w:val="single" w:sz="4" w:space="0" w:color="000000"/>
            </w:tcBorders>
            <w:shd w:val="clear" w:color="auto" w:fill="EAF1DD" w:themeFill="accent3" w:themeFillTint="33"/>
            <w:tcMar>
              <w:left w:w="108" w:type="dxa"/>
              <w:right w:w="108" w:type="dxa"/>
            </w:tcMar>
            <w:vAlign w:val="center"/>
          </w:tcPr>
          <w:p w14:paraId="094437E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12.845,49</w:t>
            </w:r>
          </w:p>
        </w:tc>
        <w:tc>
          <w:tcPr>
            <w:tcW w:w="1502" w:type="dxa"/>
            <w:tcBorders>
              <w:bottom w:val="single" w:sz="4" w:space="0" w:color="000000"/>
            </w:tcBorders>
            <w:shd w:val="clear" w:color="auto" w:fill="D6E3BC" w:themeFill="accent3" w:themeFillTint="66"/>
            <w:tcMar>
              <w:left w:w="108" w:type="dxa"/>
              <w:right w:w="108" w:type="dxa"/>
            </w:tcMar>
            <w:vAlign w:val="center"/>
          </w:tcPr>
          <w:p w14:paraId="1920F68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8.133,70</w:t>
            </w:r>
          </w:p>
        </w:tc>
        <w:tc>
          <w:tcPr>
            <w:tcW w:w="1506" w:type="dxa"/>
            <w:tcBorders>
              <w:bottom w:val="single" w:sz="4" w:space="0" w:color="000000"/>
            </w:tcBorders>
            <w:shd w:val="clear" w:color="auto" w:fill="EAF1DD" w:themeFill="accent3" w:themeFillTint="33"/>
            <w:tcMar>
              <w:left w:w="108" w:type="dxa"/>
              <w:right w:w="108" w:type="dxa"/>
            </w:tcMar>
            <w:vAlign w:val="center"/>
          </w:tcPr>
          <w:p w14:paraId="209E6493"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9.549,82</w:t>
            </w:r>
          </w:p>
        </w:tc>
      </w:tr>
      <w:tr w:rsidR="00227458" w:rsidRPr="009C52C4" w14:paraId="1BF3025F" w14:textId="77777777" w:rsidTr="006130B9">
        <w:trPr>
          <w:trHeight w:val="20"/>
        </w:trPr>
        <w:tc>
          <w:tcPr>
            <w:tcW w:w="3110" w:type="dxa"/>
            <w:tcBorders>
              <w:bottom w:val="single" w:sz="4" w:space="0" w:color="000000"/>
            </w:tcBorders>
            <w:shd w:val="clear" w:color="auto" w:fill="D6E3BC"/>
            <w:tcMar>
              <w:left w:w="108" w:type="dxa"/>
              <w:right w:w="108" w:type="dxa"/>
            </w:tcMar>
            <w:vAlign w:val="center"/>
          </w:tcPr>
          <w:p w14:paraId="47229934"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39" w:type="dxa"/>
            <w:shd w:val="clear" w:color="auto" w:fill="D6E3BC" w:themeFill="accent3" w:themeFillTint="66"/>
            <w:tcMar>
              <w:left w:w="108" w:type="dxa"/>
              <w:right w:w="108" w:type="dxa"/>
            </w:tcMar>
            <w:vAlign w:val="center"/>
          </w:tcPr>
          <w:p w14:paraId="155C337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10.612,01</w:t>
            </w:r>
          </w:p>
        </w:tc>
        <w:tc>
          <w:tcPr>
            <w:tcW w:w="1502" w:type="dxa"/>
            <w:shd w:val="clear" w:color="auto" w:fill="D6E3BC" w:themeFill="accent3" w:themeFillTint="66"/>
            <w:tcMar>
              <w:left w:w="108" w:type="dxa"/>
              <w:right w:w="108" w:type="dxa"/>
            </w:tcMar>
            <w:vAlign w:val="center"/>
          </w:tcPr>
          <w:p w14:paraId="0D2E177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12.702,63</w:t>
            </w:r>
          </w:p>
        </w:tc>
        <w:tc>
          <w:tcPr>
            <w:tcW w:w="1502" w:type="dxa"/>
            <w:shd w:val="clear" w:color="auto" w:fill="EAF1DD" w:themeFill="accent3" w:themeFillTint="33"/>
            <w:tcMar>
              <w:left w:w="108" w:type="dxa"/>
              <w:right w:w="108" w:type="dxa"/>
            </w:tcMar>
            <w:vAlign w:val="center"/>
          </w:tcPr>
          <w:p w14:paraId="3C4730E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8.143,51</w:t>
            </w:r>
          </w:p>
        </w:tc>
        <w:tc>
          <w:tcPr>
            <w:tcW w:w="1506" w:type="dxa"/>
            <w:shd w:val="clear" w:color="auto" w:fill="D6E3BC" w:themeFill="accent3" w:themeFillTint="66"/>
            <w:tcMar>
              <w:left w:w="108" w:type="dxa"/>
              <w:right w:w="108" w:type="dxa"/>
            </w:tcMar>
            <w:vAlign w:val="center"/>
          </w:tcPr>
          <w:p w14:paraId="122B233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9.420,61</w:t>
            </w:r>
          </w:p>
        </w:tc>
      </w:tr>
      <w:tr w:rsidR="00227458" w:rsidRPr="009C52C4" w14:paraId="41724505" w14:textId="77777777" w:rsidTr="006130B9">
        <w:trPr>
          <w:trHeight w:val="20"/>
        </w:trPr>
        <w:tc>
          <w:tcPr>
            <w:tcW w:w="3110" w:type="dxa"/>
            <w:shd w:val="clear" w:color="auto" w:fill="auto"/>
            <w:tcMar>
              <w:left w:w="108" w:type="dxa"/>
              <w:right w:w="108" w:type="dxa"/>
            </w:tcMar>
            <w:vAlign w:val="center"/>
          </w:tcPr>
          <w:p w14:paraId="54AEC6FC"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39" w:type="dxa"/>
            <w:shd w:val="clear" w:color="auto" w:fill="auto"/>
            <w:tcMar>
              <w:left w:w="108" w:type="dxa"/>
              <w:right w:w="108" w:type="dxa"/>
            </w:tcMar>
            <w:vAlign w:val="center"/>
          </w:tcPr>
          <w:p w14:paraId="50148E8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11.031,86</w:t>
            </w:r>
          </w:p>
        </w:tc>
        <w:tc>
          <w:tcPr>
            <w:tcW w:w="1502" w:type="dxa"/>
            <w:shd w:val="clear" w:color="auto" w:fill="auto"/>
            <w:tcMar>
              <w:left w:w="108" w:type="dxa"/>
              <w:right w:w="108" w:type="dxa"/>
            </w:tcMar>
            <w:vAlign w:val="center"/>
          </w:tcPr>
          <w:p w14:paraId="3FACE13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13.113,85</w:t>
            </w:r>
          </w:p>
        </w:tc>
        <w:tc>
          <w:tcPr>
            <w:tcW w:w="1502" w:type="dxa"/>
            <w:shd w:val="clear" w:color="auto" w:fill="auto"/>
            <w:tcMar>
              <w:left w:w="108" w:type="dxa"/>
              <w:right w:w="108" w:type="dxa"/>
            </w:tcMar>
            <w:vAlign w:val="center"/>
          </w:tcPr>
          <w:p w14:paraId="66487403"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8.551,47</w:t>
            </w:r>
          </w:p>
        </w:tc>
        <w:tc>
          <w:tcPr>
            <w:tcW w:w="1506" w:type="dxa"/>
            <w:shd w:val="clear" w:color="auto" w:fill="auto"/>
            <w:tcMar>
              <w:left w:w="108" w:type="dxa"/>
              <w:right w:w="108" w:type="dxa"/>
            </w:tcMar>
            <w:vAlign w:val="center"/>
          </w:tcPr>
          <w:p w14:paraId="0497750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9.835,70</w:t>
            </w:r>
          </w:p>
        </w:tc>
      </w:tr>
      <w:tr w:rsidR="00227458" w:rsidRPr="009C52C4" w14:paraId="2B9409B4" w14:textId="77777777" w:rsidTr="006130B9">
        <w:trPr>
          <w:trHeight w:val="20"/>
        </w:trPr>
        <w:tc>
          <w:tcPr>
            <w:tcW w:w="3110" w:type="dxa"/>
            <w:shd w:val="clear" w:color="auto" w:fill="auto"/>
            <w:tcMar>
              <w:left w:w="108" w:type="dxa"/>
              <w:right w:w="108" w:type="dxa"/>
            </w:tcMar>
            <w:vAlign w:val="center"/>
          </w:tcPr>
          <w:p w14:paraId="57CEADBA"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39" w:type="dxa"/>
            <w:shd w:val="clear" w:color="auto" w:fill="auto"/>
            <w:tcMar>
              <w:left w:w="108" w:type="dxa"/>
              <w:right w:w="108" w:type="dxa"/>
            </w:tcMar>
            <w:vAlign w:val="center"/>
          </w:tcPr>
          <w:p w14:paraId="2EEB9B6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13.321,62</w:t>
            </w:r>
          </w:p>
        </w:tc>
        <w:tc>
          <w:tcPr>
            <w:tcW w:w="1502" w:type="dxa"/>
            <w:shd w:val="clear" w:color="auto" w:fill="auto"/>
            <w:tcMar>
              <w:left w:w="108" w:type="dxa"/>
              <w:right w:w="108" w:type="dxa"/>
            </w:tcMar>
            <w:vAlign w:val="center"/>
          </w:tcPr>
          <w:p w14:paraId="1FB5884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15.234,09</w:t>
            </w:r>
          </w:p>
        </w:tc>
        <w:tc>
          <w:tcPr>
            <w:tcW w:w="1502" w:type="dxa"/>
            <w:shd w:val="clear" w:color="auto" w:fill="auto"/>
            <w:tcMar>
              <w:left w:w="108" w:type="dxa"/>
              <w:right w:w="108" w:type="dxa"/>
            </w:tcMar>
            <w:vAlign w:val="center"/>
          </w:tcPr>
          <w:p w14:paraId="123AA933"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10.769,36</w:t>
            </w:r>
          </w:p>
        </w:tc>
        <w:tc>
          <w:tcPr>
            <w:tcW w:w="1506" w:type="dxa"/>
            <w:shd w:val="clear" w:color="auto" w:fill="auto"/>
            <w:tcMar>
              <w:left w:w="108" w:type="dxa"/>
              <w:right w:w="108" w:type="dxa"/>
            </w:tcMar>
            <w:vAlign w:val="center"/>
          </w:tcPr>
          <w:p w14:paraId="6F79B7F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11.922,29</w:t>
            </w:r>
          </w:p>
        </w:tc>
      </w:tr>
      <w:tr w:rsidR="00227458" w:rsidRPr="009C52C4" w14:paraId="5D0BFE8C" w14:textId="77777777" w:rsidTr="006130B9">
        <w:trPr>
          <w:trHeight w:val="20"/>
        </w:trPr>
        <w:tc>
          <w:tcPr>
            <w:tcW w:w="3110" w:type="dxa"/>
            <w:shd w:val="clear" w:color="auto" w:fill="auto"/>
            <w:tcMar>
              <w:left w:w="108" w:type="dxa"/>
              <w:right w:w="108" w:type="dxa"/>
            </w:tcMar>
            <w:vAlign w:val="center"/>
          </w:tcPr>
          <w:p w14:paraId="6944F90F"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639" w:type="dxa"/>
            <w:shd w:val="clear" w:color="auto" w:fill="auto"/>
            <w:tcMar>
              <w:left w:w="108" w:type="dxa"/>
              <w:right w:w="108" w:type="dxa"/>
            </w:tcMar>
            <w:vAlign w:val="center"/>
          </w:tcPr>
          <w:p w14:paraId="161396E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8.473,63</w:t>
            </w:r>
          </w:p>
        </w:tc>
        <w:tc>
          <w:tcPr>
            <w:tcW w:w="1502" w:type="dxa"/>
            <w:shd w:val="clear" w:color="auto" w:fill="auto"/>
            <w:tcMar>
              <w:left w:w="108" w:type="dxa"/>
              <w:right w:w="108" w:type="dxa"/>
            </w:tcMar>
            <w:vAlign w:val="center"/>
          </w:tcPr>
          <w:p w14:paraId="08910FB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8.123,49</w:t>
            </w:r>
          </w:p>
        </w:tc>
        <w:tc>
          <w:tcPr>
            <w:tcW w:w="1502" w:type="dxa"/>
            <w:shd w:val="clear" w:color="auto" w:fill="auto"/>
            <w:tcMar>
              <w:left w:w="108" w:type="dxa"/>
              <w:right w:w="108" w:type="dxa"/>
            </w:tcMar>
            <w:vAlign w:val="center"/>
          </w:tcPr>
          <w:p w14:paraId="4013786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9.469,13</w:t>
            </w:r>
          </w:p>
        </w:tc>
        <w:tc>
          <w:tcPr>
            <w:tcW w:w="1506" w:type="dxa"/>
            <w:shd w:val="clear" w:color="auto" w:fill="auto"/>
            <w:tcMar>
              <w:left w:w="108" w:type="dxa"/>
              <w:right w:w="108" w:type="dxa"/>
            </w:tcMar>
            <w:vAlign w:val="center"/>
          </w:tcPr>
          <w:p w14:paraId="45FEDA5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8.735,78</w:t>
            </w:r>
          </w:p>
        </w:tc>
      </w:tr>
      <w:tr w:rsidR="00227458" w:rsidRPr="009C52C4" w14:paraId="661C5F3C" w14:textId="77777777" w:rsidTr="006130B9">
        <w:trPr>
          <w:trHeight w:val="20"/>
        </w:trPr>
        <w:tc>
          <w:tcPr>
            <w:tcW w:w="9261" w:type="dxa"/>
            <w:gridSpan w:val="5"/>
            <w:shd w:val="clear" w:color="auto" w:fill="D9D9D9"/>
            <w:tcMar>
              <w:left w:w="108" w:type="dxa"/>
              <w:right w:w="108" w:type="dxa"/>
            </w:tcMar>
            <w:vAlign w:val="center"/>
          </w:tcPr>
          <w:p w14:paraId="303115C1" w14:textId="77777777" w:rsidR="00227458" w:rsidRPr="009C52C4" w:rsidRDefault="00227458" w:rsidP="00887E64">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50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227458" w:rsidRPr="009C52C4" w14:paraId="1FAA063E" w14:textId="77777777" w:rsidTr="006130B9">
        <w:trPr>
          <w:trHeight w:val="20"/>
        </w:trPr>
        <w:tc>
          <w:tcPr>
            <w:tcW w:w="3110" w:type="dxa"/>
            <w:shd w:val="clear" w:color="auto" w:fill="EAF1DD" w:themeFill="accent3" w:themeFillTint="33"/>
            <w:tcMar>
              <w:left w:w="108" w:type="dxa"/>
              <w:right w:w="108" w:type="dxa"/>
            </w:tcMar>
            <w:vAlign w:val="center"/>
          </w:tcPr>
          <w:p w14:paraId="697E5DA1"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39" w:type="dxa"/>
            <w:tcBorders>
              <w:bottom w:val="single" w:sz="4" w:space="0" w:color="000000"/>
            </w:tcBorders>
            <w:shd w:val="clear" w:color="auto" w:fill="EAF1DD" w:themeFill="accent3" w:themeFillTint="33"/>
            <w:tcMar>
              <w:left w:w="108" w:type="dxa"/>
              <w:right w:w="108" w:type="dxa"/>
            </w:tcMar>
            <w:vAlign w:val="center"/>
          </w:tcPr>
          <w:p w14:paraId="2FDAEBB7"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28.226,34</w:t>
            </w:r>
          </w:p>
        </w:tc>
        <w:tc>
          <w:tcPr>
            <w:tcW w:w="1502" w:type="dxa"/>
            <w:tcBorders>
              <w:bottom w:val="single" w:sz="4" w:space="0" w:color="000000"/>
            </w:tcBorders>
            <w:shd w:val="clear" w:color="auto" w:fill="EAF1DD" w:themeFill="accent3" w:themeFillTint="33"/>
            <w:tcMar>
              <w:left w:w="108" w:type="dxa"/>
              <w:right w:w="108" w:type="dxa"/>
            </w:tcMar>
            <w:vAlign w:val="center"/>
          </w:tcPr>
          <w:p w14:paraId="7C91997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34.278,93</w:t>
            </w:r>
          </w:p>
        </w:tc>
        <w:tc>
          <w:tcPr>
            <w:tcW w:w="1502" w:type="dxa"/>
            <w:tcBorders>
              <w:bottom w:val="single" w:sz="4" w:space="0" w:color="000000"/>
            </w:tcBorders>
            <w:shd w:val="clear" w:color="auto" w:fill="EAF1DD" w:themeFill="accent3" w:themeFillTint="33"/>
            <w:tcMar>
              <w:left w:w="108" w:type="dxa"/>
              <w:right w:w="108" w:type="dxa"/>
            </w:tcMar>
            <w:vAlign w:val="center"/>
          </w:tcPr>
          <w:p w14:paraId="78B9E0E4"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20.632,33</w:t>
            </w:r>
          </w:p>
        </w:tc>
        <w:tc>
          <w:tcPr>
            <w:tcW w:w="1506" w:type="dxa"/>
            <w:tcBorders>
              <w:bottom w:val="single" w:sz="4" w:space="0" w:color="000000"/>
            </w:tcBorders>
            <w:shd w:val="clear" w:color="auto" w:fill="EAF1DD" w:themeFill="accent3" w:themeFillTint="33"/>
            <w:tcMar>
              <w:left w:w="108" w:type="dxa"/>
              <w:right w:w="108" w:type="dxa"/>
            </w:tcMar>
            <w:vAlign w:val="center"/>
          </w:tcPr>
          <w:p w14:paraId="0DF5898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24.733,79</w:t>
            </w:r>
          </w:p>
        </w:tc>
      </w:tr>
      <w:tr w:rsidR="00227458" w:rsidRPr="009C52C4" w14:paraId="2EDA2AA1" w14:textId="77777777" w:rsidTr="006130B9">
        <w:trPr>
          <w:trHeight w:val="20"/>
        </w:trPr>
        <w:tc>
          <w:tcPr>
            <w:tcW w:w="3110" w:type="dxa"/>
            <w:tcBorders>
              <w:bottom w:val="single" w:sz="4" w:space="0" w:color="000000"/>
            </w:tcBorders>
            <w:shd w:val="clear" w:color="auto" w:fill="D6E3BC"/>
            <w:tcMar>
              <w:left w:w="108" w:type="dxa"/>
              <w:right w:w="108" w:type="dxa"/>
            </w:tcMar>
            <w:vAlign w:val="center"/>
          </w:tcPr>
          <w:p w14:paraId="58BE3836"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39" w:type="dxa"/>
            <w:tcBorders>
              <w:bottom w:val="single" w:sz="4" w:space="0" w:color="000000"/>
            </w:tcBorders>
            <w:shd w:val="clear" w:color="auto" w:fill="D6E3BC" w:themeFill="accent3" w:themeFillTint="66"/>
            <w:tcMar>
              <w:left w:w="108" w:type="dxa"/>
              <w:right w:w="108" w:type="dxa"/>
            </w:tcMar>
            <w:vAlign w:val="center"/>
          </w:tcPr>
          <w:p w14:paraId="147F589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27.770,48</w:t>
            </w:r>
          </w:p>
        </w:tc>
        <w:tc>
          <w:tcPr>
            <w:tcW w:w="1502" w:type="dxa"/>
            <w:shd w:val="clear" w:color="auto" w:fill="D6E3BC" w:themeFill="accent3" w:themeFillTint="66"/>
            <w:tcMar>
              <w:left w:w="108" w:type="dxa"/>
              <w:right w:w="108" w:type="dxa"/>
            </w:tcMar>
            <w:vAlign w:val="center"/>
          </w:tcPr>
          <w:p w14:paraId="7476850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33.825,49</w:t>
            </w:r>
          </w:p>
        </w:tc>
        <w:tc>
          <w:tcPr>
            <w:tcW w:w="1502" w:type="dxa"/>
            <w:shd w:val="clear" w:color="auto" w:fill="D6E3BC" w:themeFill="accent3" w:themeFillTint="66"/>
            <w:tcMar>
              <w:left w:w="108" w:type="dxa"/>
              <w:right w:w="108" w:type="dxa"/>
            </w:tcMar>
            <w:vAlign w:val="center"/>
          </w:tcPr>
          <w:p w14:paraId="01DB28A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20.621,03</w:t>
            </w:r>
          </w:p>
        </w:tc>
        <w:tc>
          <w:tcPr>
            <w:tcW w:w="1506" w:type="dxa"/>
            <w:shd w:val="clear" w:color="auto" w:fill="D6E3BC" w:themeFill="accent3" w:themeFillTint="66"/>
            <w:tcMar>
              <w:left w:w="108" w:type="dxa"/>
              <w:right w:w="108" w:type="dxa"/>
            </w:tcMar>
            <w:vAlign w:val="center"/>
          </w:tcPr>
          <w:p w14:paraId="4FB35BEB"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24.319,86</w:t>
            </w:r>
          </w:p>
        </w:tc>
      </w:tr>
      <w:tr w:rsidR="00227458" w:rsidRPr="009C52C4" w14:paraId="22B19BB4" w14:textId="77777777" w:rsidTr="006130B9">
        <w:trPr>
          <w:trHeight w:val="20"/>
        </w:trPr>
        <w:tc>
          <w:tcPr>
            <w:tcW w:w="3110" w:type="dxa"/>
            <w:shd w:val="clear" w:color="auto" w:fill="auto"/>
            <w:tcMar>
              <w:left w:w="108" w:type="dxa"/>
              <w:right w:w="108" w:type="dxa"/>
            </w:tcMar>
            <w:vAlign w:val="center"/>
          </w:tcPr>
          <w:p w14:paraId="02A22E52"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39" w:type="dxa"/>
            <w:shd w:val="clear" w:color="auto" w:fill="FFFFFF" w:themeFill="background1"/>
            <w:tcMar>
              <w:left w:w="108" w:type="dxa"/>
              <w:right w:w="108" w:type="dxa"/>
            </w:tcMar>
            <w:vAlign w:val="center"/>
          </w:tcPr>
          <w:p w14:paraId="22D7AC60"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28.742,39</w:t>
            </w:r>
          </w:p>
        </w:tc>
        <w:tc>
          <w:tcPr>
            <w:tcW w:w="1502" w:type="dxa"/>
            <w:shd w:val="clear" w:color="auto" w:fill="auto"/>
            <w:tcMar>
              <w:left w:w="108" w:type="dxa"/>
              <w:right w:w="108" w:type="dxa"/>
            </w:tcMar>
            <w:vAlign w:val="center"/>
          </w:tcPr>
          <w:p w14:paraId="46FC9546"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34.772,41</w:t>
            </w:r>
          </w:p>
        </w:tc>
        <w:tc>
          <w:tcPr>
            <w:tcW w:w="1502" w:type="dxa"/>
            <w:shd w:val="clear" w:color="auto" w:fill="auto"/>
            <w:tcMar>
              <w:left w:w="108" w:type="dxa"/>
              <w:right w:w="108" w:type="dxa"/>
            </w:tcMar>
            <w:vAlign w:val="center"/>
          </w:tcPr>
          <w:p w14:paraId="62F78A53"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21.558,50</w:t>
            </w:r>
          </w:p>
        </w:tc>
        <w:tc>
          <w:tcPr>
            <w:tcW w:w="1506" w:type="dxa"/>
            <w:shd w:val="clear" w:color="auto" w:fill="auto"/>
            <w:tcMar>
              <w:left w:w="108" w:type="dxa"/>
              <w:right w:w="108" w:type="dxa"/>
            </w:tcMar>
            <w:vAlign w:val="center"/>
          </w:tcPr>
          <w:p w14:paraId="4D82819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25.277,98</w:t>
            </w:r>
          </w:p>
        </w:tc>
      </w:tr>
      <w:tr w:rsidR="00227458" w:rsidRPr="009C52C4" w14:paraId="1398F519" w14:textId="77777777" w:rsidTr="006130B9">
        <w:trPr>
          <w:trHeight w:val="20"/>
        </w:trPr>
        <w:tc>
          <w:tcPr>
            <w:tcW w:w="3110" w:type="dxa"/>
            <w:shd w:val="clear" w:color="auto" w:fill="auto"/>
            <w:tcMar>
              <w:left w:w="108" w:type="dxa"/>
              <w:right w:w="108" w:type="dxa"/>
            </w:tcMar>
            <w:vAlign w:val="center"/>
          </w:tcPr>
          <w:p w14:paraId="12AEFDD1"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39" w:type="dxa"/>
            <w:shd w:val="clear" w:color="auto" w:fill="auto"/>
            <w:tcMar>
              <w:left w:w="108" w:type="dxa"/>
              <w:right w:w="108" w:type="dxa"/>
            </w:tcMar>
            <w:vAlign w:val="center"/>
          </w:tcPr>
          <w:p w14:paraId="5E4C01F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33.932,53</w:t>
            </w:r>
          </w:p>
        </w:tc>
        <w:tc>
          <w:tcPr>
            <w:tcW w:w="1502" w:type="dxa"/>
            <w:shd w:val="clear" w:color="auto" w:fill="auto"/>
            <w:tcMar>
              <w:left w:w="108" w:type="dxa"/>
              <w:right w:w="108" w:type="dxa"/>
            </w:tcMar>
            <w:vAlign w:val="center"/>
          </w:tcPr>
          <w:p w14:paraId="24F3F556"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39.471,58</w:t>
            </w:r>
          </w:p>
        </w:tc>
        <w:tc>
          <w:tcPr>
            <w:tcW w:w="1502" w:type="dxa"/>
            <w:shd w:val="clear" w:color="auto" w:fill="auto"/>
            <w:tcMar>
              <w:left w:w="108" w:type="dxa"/>
              <w:right w:w="108" w:type="dxa"/>
            </w:tcMar>
            <w:vAlign w:val="center"/>
          </w:tcPr>
          <w:p w14:paraId="3E17BC3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26.540,50</w:t>
            </w:r>
          </w:p>
        </w:tc>
        <w:tc>
          <w:tcPr>
            <w:tcW w:w="1506" w:type="dxa"/>
            <w:shd w:val="clear" w:color="auto" w:fill="auto"/>
            <w:tcMar>
              <w:left w:w="108" w:type="dxa"/>
              <w:right w:w="108" w:type="dxa"/>
            </w:tcMar>
            <w:vAlign w:val="center"/>
          </w:tcPr>
          <w:p w14:paraId="2F9C208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29.879,69</w:t>
            </w:r>
          </w:p>
        </w:tc>
      </w:tr>
      <w:tr w:rsidR="00227458" w:rsidRPr="009C52C4" w14:paraId="3774A122" w14:textId="77777777" w:rsidTr="006130B9">
        <w:trPr>
          <w:trHeight w:val="20"/>
        </w:trPr>
        <w:tc>
          <w:tcPr>
            <w:tcW w:w="3110" w:type="dxa"/>
            <w:shd w:val="clear" w:color="auto" w:fill="auto"/>
            <w:tcMar>
              <w:left w:w="108" w:type="dxa"/>
              <w:right w:w="108" w:type="dxa"/>
            </w:tcMar>
            <w:vAlign w:val="center"/>
          </w:tcPr>
          <w:p w14:paraId="6DFF84F0"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aktivne gradnje</w:t>
            </w:r>
          </w:p>
        </w:tc>
        <w:tc>
          <w:tcPr>
            <w:tcW w:w="1639" w:type="dxa"/>
            <w:shd w:val="clear" w:color="auto" w:fill="auto"/>
            <w:tcMar>
              <w:left w:w="108" w:type="dxa"/>
              <w:right w:w="108" w:type="dxa"/>
            </w:tcMar>
            <w:vAlign w:val="center"/>
          </w:tcPr>
          <w:p w14:paraId="7E9BE89D"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20.537,31</w:t>
            </w:r>
          </w:p>
        </w:tc>
        <w:tc>
          <w:tcPr>
            <w:tcW w:w="1502" w:type="dxa"/>
            <w:shd w:val="clear" w:color="auto" w:fill="auto"/>
            <w:tcMar>
              <w:left w:w="108" w:type="dxa"/>
              <w:right w:w="108" w:type="dxa"/>
            </w:tcMar>
            <w:vAlign w:val="center"/>
          </w:tcPr>
          <w:p w14:paraId="3E37D1E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19.990,89</w:t>
            </w:r>
          </w:p>
        </w:tc>
        <w:tc>
          <w:tcPr>
            <w:tcW w:w="1502" w:type="dxa"/>
            <w:shd w:val="clear" w:color="auto" w:fill="auto"/>
            <w:tcMar>
              <w:left w:w="108" w:type="dxa"/>
              <w:right w:w="108" w:type="dxa"/>
            </w:tcMar>
            <w:vAlign w:val="center"/>
          </w:tcPr>
          <w:p w14:paraId="7E7DA43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22.687,29</w:t>
            </w:r>
          </w:p>
        </w:tc>
        <w:tc>
          <w:tcPr>
            <w:tcW w:w="1506" w:type="dxa"/>
            <w:shd w:val="clear" w:color="auto" w:fill="auto"/>
            <w:tcMar>
              <w:left w:w="108" w:type="dxa"/>
              <w:right w:w="108" w:type="dxa"/>
            </w:tcMar>
            <w:vAlign w:val="center"/>
          </w:tcPr>
          <w:p w14:paraId="351310B4"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20.953,12</w:t>
            </w:r>
          </w:p>
        </w:tc>
      </w:tr>
      <w:tr w:rsidR="00227458" w:rsidRPr="009C52C4" w14:paraId="5D3CB042" w14:textId="77777777" w:rsidTr="006130B9">
        <w:trPr>
          <w:trHeight w:val="20"/>
        </w:trPr>
        <w:tc>
          <w:tcPr>
            <w:tcW w:w="9261" w:type="dxa"/>
            <w:gridSpan w:val="5"/>
            <w:shd w:val="clear" w:color="auto" w:fill="D9D9D9"/>
            <w:tcMar>
              <w:left w:w="108" w:type="dxa"/>
              <w:right w:w="108" w:type="dxa"/>
            </w:tcMar>
            <w:vAlign w:val="center"/>
          </w:tcPr>
          <w:p w14:paraId="105663BB" w14:textId="77777777" w:rsidR="00227458" w:rsidRPr="009C52C4" w:rsidRDefault="00227458" w:rsidP="00887E64">
            <w:pPr>
              <w:widowControl w:val="0"/>
              <w:spacing w:line="276" w:lineRule="auto"/>
              <w:jc w:val="left"/>
              <w:rPr>
                <w:rFonts w:ascii="Times New Roman" w:hAnsi="Times New Roman" w:cs="Times New Roman"/>
                <w:sz w:val="24"/>
                <w:szCs w:val="24"/>
              </w:rPr>
            </w:pPr>
            <w:r w:rsidRPr="009C52C4">
              <w:rPr>
                <w:rFonts w:ascii="Times New Roman" w:hAnsi="Times New Roman" w:cs="Times New Roman"/>
                <w:b/>
                <w:sz w:val="24"/>
                <w:szCs w:val="24"/>
              </w:rPr>
              <w:t>Ukupni troškovi pet analiziranih modela obnove za razdoblje kalkulacije 70 godina [HRK/m</w:t>
            </w:r>
            <w:r w:rsidRPr="009C52C4">
              <w:rPr>
                <w:rFonts w:ascii="Times New Roman" w:hAnsi="Times New Roman" w:cs="Times New Roman"/>
                <w:b/>
                <w:sz w:val="24"/>
                <w:szCs w:val="24"/>
                <w:vertAlign w:val="superscript"/>
              </w:rPr>
              <w:t>2</w:t>
            </w:r>
            <w:r w:rsidRPr="009C52C4">
              <w:rPr>
                <w:rFonts w:ascii="Times New Roman" w:hAnsi="Times New Roman" w:cs="Times New Roman"/>
                <w:b/>
                <w:sz w:val="24"/>
                <w:szCs w:val="24"/>
              </w:rPr>
              <w:t>]</w:t>
            </w:r>
          </w:p>
        </w:tc>
      </w:tr>
      <w:tr w:rsidR="00227458" w:rsidRPr="009C52C4" w14:paraId="75C56264" w14:textId="77777777" w:rsidTr="006130B9">
        <w:trPr>
          <w:trHeight w:val="20"/>
        </w:trPr>
        <w:tc>
          <w:tcPr>
            <w:tcW w:w="3110" w:type="dxa"/>
            <w:shd w:val="clear" w:color="auto" w:fill="EAF1DD" w:themeFill="accent3" w:themeFillTint="33"/>
            <w:tcMar>
              <w:left w:w="108" w:type="dxa"/>
              <w:right w:w="108" w:type="dxa"/>
            </w:tcMar>
            <w:vAlign w:val="center"/>
          </w:tcPr>
          <w:p w14:paraId="7C42BE12"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minimalnim zahtjevima </w:t>
            </w:r>
            <w:r w:rsidRPr="009C52C4">
              <w:rPr>
                <w:rFonts w:ascii="Times New Roman" w:hAnsi="Times New Roman" w:cs="Times New Roman"/>
                <w:i/>
                <w:iCs/>
                <w:sz w:val="24"/>
                <w:szCs w:val="24"/>
              </w:rPr>
              <w:t>Tehničkog propisa</w:t>
            </w:r>
          </w:p>
        </w:tc>
        <w:tc>
          <w:tcPr>
            <w:tcW w:w="1639" w:type="dxa"/>
            <w:tcBorders>
              <w:bottom w:val="single" w:sz="4" w:space="0" w:color="000000"/>
              <w:right w:val="single" w:sz="4" w:space="0" w:color="000000"/>
            </w:tcBorders>
            <w:shd w:val="clear" w:color="auto" w:fill="EAF1DD" w:themeFill="accent3" w:themeFillTint="33"/>
            <w:tcMar>
              <w:left w:w="108" w:type="dxa"/>
              <w:right w:w="108" w:type="dxa"/>
            </w:tcMar>
            <w:vAlign w:val="center"/>
          </w:tcPr>
          <w:p w14:paraId="2782C08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60.876,34</w:t>
            </w:r>
          </w:p>
        </w:tc>
        <w:tc>
          <w:tcPr>
            <w:tcW w:w="1502" w:type="dxa"/>
            <w:tcBorders>
              <w:left w:val="single" w:sz="4" w:space="0" w:color="000000"/>
              <w:bottom w:val="single" w:sz="4" w:space="0" w:color="000000"/>
            </w:tcBorders>
            <w:shd w:val="clear" w:color="auto" w:fill="EAF1DD" w:themeFill="accent3" w:themeFillTint="33"/>
            <w:tcMar>
              <w:left w:w="108" w:type="dxa"/>
              <w:right w:w="108" w:type="dxa"/>
            </w:tcMar>
            <w:vAlign w:val="center"/>
          </w:tcPr>
          <w:p w14:paraId="5E211552"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75.590,25</w:t>
            </w:r>
          </w:p>
        </w:tc>
        <w:tc>
          <w:tcPr>
            <w:tcW w:w="1502" w:type="dxa"/>
            <w:tcBorders>
              <w:bottom w:val="single" w:sz="4" w:space="0" w:color="000000"/>
            </w:tcBorders>
            <w:shd w:val="clear" w:color="auto" w:fill="EAF1DD" w:themeFill="accent3" w:themeFillTint="33"/>
            <w:tcMar>
              <w:left w:w="108" w:type="dxa"/>
              <w:right w:w="108" w:type="dxa"/>
            </w:tcMar>
            <w:vAlign w:val="center"/>
          </w:tcPr>
          <w:p w14:paraId="363BC48E"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42.415,24</w:t>
            </w:r>
          </w:p>
        </w:tc>
        <w:tc>
          <w:tcPr>
            <w:tcW w:w="1506" w:type="dxa"/>
            <w:tcBorders>
              <w:bottom w:val="single" w:sz="4" w:space="0" w:color="000000"/>
            </w:tcBorders>
            <w:shd w:val="clear" w:color="auto" w:fill="EAF1DD" w:themeFill="accent3" w:themeFillTint="33"/>
            <w:tcMar>
              <w:left w:w="108" w:type="dxa"/>
              <w:right w:w="108" w:type="dxa"/>
            </w:tcMar>
            <w:vAlign w:val="center"/>
          </w:tcPr>
          <w:p w14:paraId="2DF0464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52.385,93</w:t>
            </w:r>
          </w:p>
        </w:tc>
      </w:tr>
      <w:tr w:rsidR="00227458" w:rsidRPr="009C52C4" w14:paraId="40C63740" w14:textId="77777777" w:rsidTr="006130B9">
        <w:trPr>
          <w:trHeight w:val="20"/>
        </w:trPr>
        <w:tc>
          <w:tcPr>
            <w:tcW w:w="3110" w:type="dxa"/>
            <w:tcBorders>
              <w:bottom w:val="single" w:sz="4" w:space="0" w:color="000000"/>
            </w:tcBorders>
            <w:shd w:val="clear" w:color="auto" w:fill="D6E3BC"/>
            <w:tcMar>
              <w:left w:w="108" w:type="dxa"/>
              <w:right w:w="108" w:type="dxa"/>
            </w:tcMar>
            <w:vAlign w:val="center"/>
          </w:tcPr>
          <w:p w14:paraId="305C8A8B"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zahtjevima </w:t>
            </w:r>
            <w:r w:rsidRPr="009C52C4">
              <w:rPr>
                <w:rFonts w:ascii="Times New Roman" w:hAnsi="Times New Roman" w:cs="Times New Roman"/>
                <w:i/>
                <w:iCs/>
                <w:sz w:val="24"/>
                <w:szCs w:val="24"/>
              </w:rPr>
              <w:t>Tehničkog propisa</w:t>
            </w:r>
            <w:r w:rsidRPr="009C52C4">
              <w:rPr>
                <w:rFonts w:ascii="Times New Roman" w:hAnsi="Times New Roman" w:cs="Times New Roman"/>
                <w:sz w:val="24"/>
                <w:szCs w:val="24"/>
              </w:rPr>
              <w:t xml:space="preserve"> za veliku rekonstrukciju</w:t>
            </w:r>
          </w:p>
        </w:tc>
        <w:tc>
          <w:tcPr>
            <w:tcW w:w="1639" w:type="dxa"/>
            <w:tcBorders>
              <w:bottom w:val="single" w:sz="4" w:space="0" w:color="000000"/>
            </w:tcBorders>
            <w:shd w:val="clear" w:color="auto" w:fill="D6E3BC" w:themeFill="accent3" w:themeFillTint="66"/>
            <w:tcMar>
              <w:left w:w="108" w:type="dxa"/>
              <w:right w:w="108" w:type="dxa"/>
            </w:tcMar>
            <w:vAlign w:val="center"/>
          </w:tcPr>
          <w:p w14:paraId="693BC5D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59.658,41</w:t>
            </w:r>
          </w:p>
        </w:tc>
        <w:tc>
          <w:tcPr>
            <w:tcW w:w="1502" w:type="dxa"/>
            <w:tcBorders>
              <w:bottom w:val="single" w:sz="4" w:space="0" w:color="000000"/>
            </w:tcBorders>
            <w:shd w:val="clear" w:color="auto" w:fill="D6E3BC" w:themeFill="accent3" w:themeFillTint="66"/>
            <w:tcMar>
              <w:left w:w="108" w:type="dxa"/>
              <w:right w:w="108" w:type="dxa"/>
            </w:tcMar>
            <w:vAlign w:val="center"/>
          </w:tcPr>
          <w:p w14:paraId="3521D70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74.378,19</w:t>
            </w:r>
          </w:p>
        </w:tc>
        <w:tc>
          <w:tcPr>
            <w:tcW w:w="1502" w:type="dxa"/>
            <w:tcBorders>
              <w:bottom w:val="single" w:sz="4" w:space="0" w:color="000000"/>
            </w:tcBorders>
            <w:shd w:val="clear" w:color="auto" w:fill="D6E3BC" w:themeFill="accent3" w:themeFillTint="66"/>
            <w:tcMar>
              <w:left w:w="108" w:type="dxa"/>
              <w:right w:w="108" w:type="dxa"/>
            </w:tcMar>
            <w:vAlign w:val="center"/>
          </w:tcPr>
          <w:p w14:paraId="6E42B5B4"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42.278,03</w:t>
            </w:r>
          </w:p>
        </w:tc>
        <w:tc>
          <w:tcPr>
            <w:tcW w:w="1506" w:type="dxa"/>
            <w:tcBorders>
              <w:bottom w:val="single" w:sz="4" w:space="0" w:color="000000"/>
            </w:tcBorders>
            <w:shd w:val="clear" w:color="auto" w:fill="D6E3BC" w:themeFill="accent3" w:themeFillTint="66"/>
            <w:tcMar>
              <w:left w:w="108" w:type="dxa"/>
              <w:right w:w="108" w:type="dxa"/>
            </w:tcMar>
            <w:vAlign w:val="center"/>
          </w:tcPr>
          <w:p w14:paraId="1041A0E5"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51.269,92</w:t>
            </w:r>
          </w:p>
        </w:tc>
      </w:tr>
      <w:tr w:rsidR="00227458" w:rsidRPr="009C52C4" w14:paraId="0BA07F78" w14:textId="77777777" w:rsidTr="006130B9">
        <w:trPr>
          <w:trHeight w:val="20"/>
        </w:trPr>
        <w:tc>
          <w:tcPr>
            <w:tcW w:w="3110" w:type="dxa"/>
            <w:shd w:val="clear" w:color="auto" w:fill="auto"/>
            <w:tcMar>
              <w:left w:w="108" w:type="dxa"/>
              <w:right w:w="108" w:type="dxa"/>
            </w:tcMar>
            <w:vAlign w:val="center"/>
          </w:tcPr>
          <w:p w14:paraId="0F4265B9"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nZEB standardu gradnje</w:t>
            </w:r>
          </w:p>
        </w:tc>
        <w:tc>
          <w:tcPr>
            <w:tcW w:w="1639" w:type="dxa"/>
            <w:tcBorders>
              <w:right w:val="single" w:sz="4" w:space="0" w:color="000000"/>
            </w:tcBorders>
            <w:shd w:val="clear" w:color="auto" w:fill="FFFFFF" w:themeFill="background1"/>
            <w:tcMar>
              <w:left w:w="108" w:type="dxa"/>
              <w:right w:w="108" w:type="dxa"/>
            </w:tcMar>
            <w:vAlign w:val="center"/>
          </w:tcPr>
          <w:p w14:paraId="01452B06"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61.346,14</w:t>
            </w:r>
          </w:p>
        </w:tc>
        <w:tc>
          <w:tcPr>
            <w:tcW w:w="1502" w:type="dxa"/>
            <w:tcBorders>
              <w:left w:val="single" w:sz="4" w:space="0" w:color="000000"/>
            </w:tcBorders>
            <w:shd w:val="clear" w:color="auto" w:fill="FFFFFF" w:themeFill="background1"/>
            <w:tcMar>
              <w:left w:w="108" w:type="dxa"/>
              <w:right w:w="108" w:type="dxa"/>
            </w:tcMar>
            <w:vAlign w:val="center"/>
          </w:tcPr>
          <w:p w14:paraId="55903D3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76.005,17</w:t>
            </w:r>
          </w:p>
        </w:tc>
        <w:tc>
          <w:tcPr>
            <w:tcW w:w="1502" w:type="dxa"/>
            <w:shd w:val="clear" w:color="auto" w:fill="FFFFFF" w:themeFill="background1"/>
            <w:tcMar>
              <w:left w:w="108" w:type="dxa"/>
              <w:right w:w="108" w:type="dxa"/>
            </w:tcMar>
            <w:vAlign w:val="center"/>
          </w:tcPr>
          <w:p w14:paraId="1989AED1"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43.882,05</w:t>
            </w:r>
          </w:p>
        </w:tc>
        <w:tc>
          <w:tcPr>
            <w:tcW w:w="1506" w:type="dxa"/>
            <w:shd w:val="clear" w:color="auto" w:fill="FFFFFF" w:themeFill="background1"/>
            <w:tcMar>
              <w:left w:w="108" w:type="dxa"/>
              <w:right w:w="108" w:type="dxa"/>
            </w:tcMar>
            <w:vAlign w:val="center"/>
          </w:tcPr>
          <w:p w14:paraId="52045793"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52.924,13</w:t>
            </w:r>
          </w:p>
        </w:tc>
      </w:tr>
      <w:tr w:rsidR="00227458" w:rsidRPr="009C52C4" w14:paraId="5423D0F1" w14:textId="77777777" w:rsidTr="006130B9">
        <w:trPr>
          <w:trHeight w:val="20"/>
        </w:trPr>
        <w:tc>
          <w:tcPr>
            <w:tcW w:w="3110" w:type="dxa"/>
            <w:shd w:val="clear" w:color="auto" w:fill="auto"/>
            <w:tcMar>
              <w:left w:w="108" w:type="dxa"/>
              <w:right w:w="108" w:type="dxa"/>
            </w:tcMar>
            <w:vAlign w:val="center"/>
          </w:tcPr>
          <w:p w14:paraId="2746C2A3"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Obnova zgrade prema standardu pasivne gradnje</w:t>
            </w:r>
          </w:p>
        </w:tc>
        <w:tc>
          <w:tcPr>
            <w:tcW w:w="1639" w:type="dxa"/>
            <w:shd w:val="clear" w:color="auto" w:fill="auto"/>
            <w:tcMar>
              <w:left w:w="108" w:type="dxa"/>
              <w:right w:w="108" w:type="dxa"/>
            </w:tcMar>
            <w:vAlign w:val="center"/>
          </w:tcPr>
          <w:p w14:paraId="60A5A8D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70.069,71</w:t>
            </w:r>
          </w:p>
        </w:tc>
        <w:tc>
          <w:tcPr>
            <w:tcW w:w="1502" w:type="dxa"/>
            <w:shd w:val="clear" w:color="auto" w:fill="auto"/>
            <w:tcMar>
              <w:left w:w="108" w:type="dxa"/>
              <w:right w:w="108" w:type="dxa"/>
            </w:tcMar>
            <w:vAlign w:val="center"/>
          </w:tcPr>
          <w:p w14:paraId="4E4B918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83.535,18</w:t>
            </w:r>
          </w:p>
        </w:tc>
        <w:tc>
          <w:tcPr>
            <w:tcW w:w="1502" w:type="dxa"/>
            <w:shd w:val="clear" w:color="auto" w:fill="auto"/>
            <w:tcMar>
              <w:left w:w="108" w:type="dxa"/>
              <w:right w:w="108" w:type="dxa"/>
            </w:tcMar>
            <w:vAlign w:val="center"/>
          </w:tcPr>
          <w:p w14:paraId="441ADC2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52.099,62</w:t>
            </w:r>
          </w:p>
        </w:tc>
        <w:tc>
          <w:tcPr>
            <w:tcW w:w="1506" w:type="dxa"/>
            <w:shd w:val="clear" w:color="auto" w:fill="auto"/>
            <w:tcMar>
              <w:left w:w="108" w:type="dxa"/>
              <w:right w:w="108" w:type="dxa"/>
            </w:tcMar>
            <w:vAlign w:val="center"/>
          </w:tcPr>
          <w:p w14:paraId="557DBF61"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60.217,23</w:t>
            </w:r>
          </w:p>
        </w:tc>
      </w:tr>
      <w:tr w:rsidR="00227458" w:rsidRPr="009C52C4" w14:paraId="784860C2" w14:textId="77777777" w:rsidTr="006130B9">
        <w:trPr>
          <w:trHeight w:val="20"/>
        </w:trPr>
        <w:tc>
          <w:tcPr>
            <w:tcW w:w="3110" w:type="dxa"/>
            <w:shd w:val="clear" w:color="auto" w:fill="auto"/>
            <w:tcMar>
              <w:left w:w="108" w:type="dxa"/>
              <w:right w:w="108" w:type="dxa"/>
            </w:tcMar>
            <w:vAlign w:val="center"/>
          </w:tcPr>
          <w:p w14:paraId="7D138C2F" w14:textId="77777777" w:rsidR="00227458" w:rsidRPr="009C52C4" w:rsidRDefault="00227458" w:rsidP="00887E64">
            <w:pPr>
              <w:rPr>
                <w:rFonts w:ascii="Times New Roman" w:hAnsi="Times New Roman" w:cs="Times New Roman"/>
                <w:sz w:val="24"/>
                <w:szCs w:val="24"/>
              </w:rPr>
            </w:pPr>
            <w:r w:rsidRPr="009C52C4">
              <w:rPr>
                <w:rFonts w:ascii="Times New Roman" w:hAnsi="Times New Roman" w:cs="Times New Roman"/>
                <w:sz w:val="24"/>
                <w:szCs w:val="24"/>
              </w:rPr>
              <w:t xml:space="preserve">Obnova zgrade prema </w:t>
            </w:r>
            <w:r w:rsidRPr="009C52C4">
              <w:rPr>
                <w:rFonts w:ascii="Times New Roman" w:hAnsi="Times New Roman" w:cs="Times New Roman"/>
                <w:sz w:val="24"/>
                <w:szCs w:val="24"/>
              </w:rPr>
              <w:lastRenderedPageBreak/>
              <w:t>standardu aktivne gradnje</w:t>
            </w:r>
          </w:p>
        </w:tc>
        <w:tc>
          <w:tcPr>
            <w:tcW w:w="1639" w:type="dxa"/>
            <w:shd w:val="clear" w:color="auto" w:fill="auto"/>
            <w:tcMar>
              <w:left w:w="108" w:type="dxa"/>
              <w:right w:w="108" w:type="dxa"/>
            </w:tcMar>
            <w:vAlign w:val="center"/>
          </w:tcPr>
          <w:p w14:paraId="71F5D0B8"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37.644,90</w:t>
            </w:r>
          </w:p>
        </w:tc>
        <w:tc>
          <w:tcPr>
            <w:tcW w:w="1502" w:type="dxa"/>
            <w:shd w:val="clear" w:color="auto" w:fill="auto"/>
            <w:tcMar>
              <w:left w:w="108" w:type="dxa"/>
              <w:right w:w="108" w:type="dxa"/>
            </w:tcMar>
            <w:vAlign w:val="center"/>
          </w:tcPr>
          <w:p w14:paraId="7E55278A"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36.970,09</w:t>
            </w:r>
          </w:p>
        </w:tc>
        <w:tc>
          <w:tcPr>
            <w:tcW w:w="1502" w:type="dxa"/>
            <w:shd w:val="clear" w:color="auto" w:fill="auto"/>
            <w:tcMar>
              <w:left w:w="108" w:type="dxa"/>
              <w:right w:w="108" w:type="dxa"/>
            </w:tcMar>
            <w:vAlign w:val="center"/>
          </w:tcPr>
          <w:p w14:paraId="23DACD59"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41.846,82</w:t>
            </w:r>
          </w:p>
        </w:tc>
        <w:tc>
          <w:tcPr>
            <w:tcW w:w="1506" w:type="dxa"/>
            <w:shd w:val="clear" w:color="auto" w:fill="auto"/>
            <w:tcMar>
              <w:left w:w="108" w:type="dxa"/>
              <w:right w:w="108" w:type="dxa"/>
            </w:tcMar>
            <w:vAlign w:val="center"/>
          </w:tcPr>
          <w:p w14:paraId="1C049EAF" w14:textId="77777777" w:rsidR="00227458" w:rsidRPr="009C52C4" w:rsidRDefault="00227458" w:rsidP="00227458">
            <w:pPr>
              <w:jc w:val="center"/>
              <w:rPr>
                <w:rFonts w:ascii="Times New Roman" w:hAnsi="Times New Roman" w:cs="Times New Roman"/>
                <w:sz w:val="24"/>
                <w:szCs w:val="24"/>
              </w:rPr>
            </w:pPr>
            <w:r w:rsidRPr="009C52C4">
              <w:rPr>
                <w:rFonts w:ascii="Times New Roman" w:hAnsi="Times New Roman" w:cs="Times New Roman"/>
                <w:sz w:val="24"/>
                <w:szCs w:val="24"/>
              </w:rPr>
              <w:t>38.175,78</w:t>
            </w:r>
          </w:p>
        </w:tc>
      </w:tr>
    </w:tbl>
    <w:p w14:paraId="0BB4F3BB" w14:textId="77777777" w:rsidR="00227458" w:rsidRPr="009C52C4" w:rsidRDefault="00227458" w:rsidP="0022745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37F70D26" w14:textId="77777777" w:rsidR="00227458" w:rsidRPr="009C52C4" w:rsidRDefault="00227458" w:rsidP="00227458">
      <w:pPr>
        <w:rPr>
          <w:rFonts w:ascii="Times New Roman" w:hAnsi="Times New Roman" w:cs="Times New Roman"/>
          <w:sz w:val="24"/>
          <w:szCs w:val="24"/>
        </w:rPr>
      </w:pPr>
    </w:p>
    <w:p w14:paraId="1BC037D5" w14:textId="1C683C89" w:rsidR="00F01CAF"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Na temelju prikazanih grafikona</w:t>
      </w:r>
      <w:r w:rsidR="00F01CAF" w:rsidRPr="009C52C4">
        <w:rPr>
          <w:rFonts w:ascii="Times New Roman" w:hAnsi="Times New Roman" w:cs="Times New Roman"/>
          <w:sz w:val="24"/>
          <w:szCs w:val="24"/>
        </w:rPr>
        <w:t xml:space="preserve"> u prilozima (Prilog 3, Prilog 5, Prilog 7, Prilog 9, Prilog 11, Prilog 13, Prilog 15 i Prilog 17) te podataka prikazanih u tablicama (</w:t>
      </w:r>
      <w:r w:rsidR="00F01CAF" w:rsidRPr="009C52C4">
        <w:rPr>
          <w:rFonts w:ascii="Times New Roman" w:hAnsi="Times New Roman" w:cs="Times New Roman"/>
          <w:sz w:val="24"/>
          <w:szCs w:val="24"/>
        </w:rPr>
        <w:fldChar w:fldCharType="begin"/>
      </w:r>
      <w:r w:rsidR="00F01CAF" w:rsidRPr="009C52C4">
        <w:rPr>
          <w:rFonts w:ascii="Times New Roman" w:hAnsi="Times New Roman" w:cs="Times New Roman"/>
          <w:sz w:val="24"/>
          <w:szCs w:val="24"/>
        </w:rPr>
        <w:instrText xml:space="preserve"> REF _Ref484780294 \h </w:instrText>
      </w:r>
      <w:r w:rsidR="00873572" w:rsidRPr="009C52C4">
        <w:rPr>
          <w:rFonts w:ascii="Times New Roman" w:hAnsi="Times New Roman" w:cs="Times New Roman"/>
          <w:sz w:val="24"/>
          <w:szCs w:val="24"/>
        </w:rPr>
        <w:instrText xml:space="preserve"> \* MERGEFORMAT </w:instrText>
      </w:r>
      <w:r w:rsidR="00F01CAF" w:rsidRPr="009C52C4">
        <w:rPr>
          <w:rFonts w:ascii="Times New Roman" w:hAnsi="Times New Roman" w:cs="Times New Roman"/>
          <w:sz w:val="24"/>
          <w:szCs w:val="24"/>
        </w:rPr>
      </w:r>
      <w:r w:rsidR="00F01CAF"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F01CAF" w:rsidRPr="009C52C4">
        <w:rPr>
          <w:rFonts w:ascii="Times New Roman" w:hAnsi="Times New Roman" w:cs="Times New Roman"/>
          <w:sz w:val="24"/>
          <w:szCs w:val="24"/>
        </w:rPr>
        <w:fldChar w:fldCharType="end"/>
      </w:r>
      <w:r w:rsidR="00F01CAF" w:rsidRPr="009C52C4">
        <w:rPr>
          <w:rFonts w:ascii="Times New Roman" w:hAnsi="Times New Roman" w:cs="Times New Roman"/>
          <w:sz w:val="24"/>
          <w:szCs w:val="24"/>
        </w:rPr>
        <w:t xml:space="preserve"> i </w:t>
      </w:r>
      <w:r w:rsidR="00F01CAF" w:rsidRPr="009C52C4">
        <w:rPr>
          <w:rFonts w:ascii="Times New Roman" w:hAnsi="Times New Roman" w:cs="Times New Roman"/>
          <w:sz w:val="24"/>
          <w:szCs w:val="24"/>
        </w:rPr>
        <w:fldChar w:fldCharType="begin"/>
      </w:r>
      <w:r w:rsidR="00F01CAF" w:rsidRPr="009C52C4">
        <w:rPr>
          <w:rFonts w:ascii="Times New Roman" w:hAnsi="Times New Roman" w:cs="Times New Roman"/>
          <w:sz w:val="24"/>
          <w:szCs w:val="24"/>
        </w:rPr>
        <w:instrText xml:space="preserve"> REF _Ref484780302 \h </w:instrText>
      </w:r>
      <w:r w:rsidR="00873572" w:rsidRPr="009C52C4">
        <w:rPr>
          <w:rFonts w:ascii="Times New Roman" w:hAnsi="Times New Roman" w:cs="Times New Roman"/>
          <w:sz w:val="24"/>
          <w:szCs w:val="24"/>
        </w:rPr>
        <w:instrText xml:space="preserve"> \* MERGEFORMAT </w:instrText>
      </w:r>
      <w:r w:rsidR="00F01CAF" w:rsidRPr="009C52C4">
        <w:rPr>
          <w:rFonts w:ascii="Times New Roman" w:hAnsi="Times New Roman" w:cs="Times New Roman"/>
          <w:sz w:val="24"/>
          <w:szCs w:val="24"/>
        </w:rPr>
      </w:r>
      <w:r w:rsidR="00F01CAF"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F01CAF" w:rsidRPr="009C52C4">
        <w:rPr>
          <w:rFonts w:ascii="Times New Roman" w:hAnsi="Times New Roman" w:cs="Times New Roman"/>
          <w:sz w:val="24"/>
          <w:szCs w:val="24"/>
        </w:rPr>
        <w:fldChar w:fldCharType="end"/>
      </w:r>
      <w:r w:rsidR="00F01CAF" w:rsidRPr="009C52C4">
        <w:rPr>
          <w:rFonts w:ascii="Times New Roman" w:hAnsi="Times New Roman" w:cs="Times New Roman"/>
          <w:sz w:val="24"/>
          <w:szCs w:val="24"/>
        </w:rPr>
        <w:t>)</w:t>
      </w:r>
      <w:r w:rsidRPr="009C52C4">
        <w:rPr>
          <w:rFonts w:ascii="Times New Roman" w:hAnsi="Times New Roman" w:cs="Times New Roman"/>
          <w:sz w:val="24"/>
          <w:szCs w:val="24"/>
        </w:rPr>
        <w:t>, model aktivne gradnje pokazuje se najisplativijim, međutim njime je obuhvaćen i postupak stjecanja statusa povlaštenog proizvođača iz obnovljivih izvora energije i kogeneracije</w:t>
      </w:r>
      <w:r w:rsidR="00A10521" w:rsidRPr="009C52C4">
        <w:rPr>
          <w:rFonts w:ascii="Times New Roman" w:hAnsi="Times New Roman" w:cs="Times New Roman"/>
          <w:sz w:val="24"/>
          <w:szCs w:val="24"/>
        </w:rPr>
        <w:t xml:space="preserve"> odnosno statusa povlaštene otkupne cijene energije</w:t>
      </w:r>
      <w:r w:rsidR="00EB67B0" w:rsidRPr="009C52C4">
        <w:rPr>
          <w:rFonts w:ascii="Times New Roman" w:hAnsi="Times New Roman" w:cs="Times New Roman"/>
          <w:sz w:val="24"/>
          <w:szCs w:val="24"/>
        </w:rPr>
        <w:t xml:space="preserve"> (definirano u </w:t>
      </w:r>
      <w:r w:rsidR="00102B4C" w:rsidRPr="009C52C4">
        <w:rPr>
          <w:rFonts w:ascii="Times New Roman" w:hAnsi="Times New Roman" w:cs="Times New Roman"/>
          <w:sz w:val="24"/>
          <w:szCs w:val="24"/>
        </w:rPr>
        <w:t>č</w:t>
      </w:r>
      <w:r w:rsidR="00EB67B0" w:rsidRPr="009C52C4">
        <w:rPr>
          <w:rFonts w:ascii="Times New Roman" w:hAnsi="Times New Roman" w:cs="Times New Roman"/>
          <w:sz w:val="24"/>
          <w:szCs w:val="24"/>
        </w:rPr>
        <w:t>lanku 44. Zakona o obnovljivim izvorima energije</w:t>
      </w:r>
      <w:r w:rsidR="0096247B" w:rsidRPr="009C52C4">
        <w:rPr>
          <w:rFonts w:ascii="Times New Roman" w:hAnsi="Times New Roman" w:cs="Times New Roman"/>
          <w:sz w:val="24"/>
          <w:szCs w:val="24"/>
        </w:rPr>
        <w:t xml:space="preserve"> </w:t>
      </w:r>
      <w:r w:rsidR="00EB67B0" w:rsidRPr="009C52C4">
        <w:rPr>
          <w:rFonts w:ascii="Times New Roman" w:hAnsi="Times New Roman" w:cs="Times New Roman"/>
          <w:sz w:val="24"/>
          <w:szCs w:val="24"/>
        </w:rPr>
        <w:t>i visokoučinkovitoj kogeneraciji</w:t>
      </w:r>
      <w:r w:rsidRPr="009C52C4">
        <w:rPr>
          <w:rFonts w:ascii="Times New Roman" w:hAnsi="Times New Roman" w:cs="Times New Roman"/>
          <w:sz w:val="24"/>
          <w:szCs w:val="24"/>
        </w:rPr>
        <w:t>. S obzirom na navedeno, navedeni model aktivne gradnje može se odabrati za manji postotak zgrada</w:t>
      </w:r>
      <w:r w:rsidR="00F01CAF" w:rsidRPr="009C52C4">
        <w:rPr>
          <w:rFonts w:ascii="Times New Roman" w:hAnsi="Times New Roman" w:cs="Times New Roman"/>
          <w:sz w:val="24"/>
          <w:szCs w:val="24"/>
        </w:rPr>
        <w:t>. U prethodnim tablicama troškovno optimalan model označen je tamnijom nijansom zelene boje, dok je sljedeći troškovno najpovoljniji model označen svjetlijom nijansom zelene boje. K</w:t>
      </w:r>
      <w:r w:rsidRPr="009C52C4">
        <w:rPr>
          <w:rFonts w:ascii="Times New Roman" w:hAnsi="Times New Roman" w:cs="Times New Roman"/>
          <w:sz w:val="24"/>
          <w:szCs w:val="24"/>
        </w:rPr>
        <w:t xml:space="preserve">ao troškovno optimalan odabran </w:t>
      </w:r>
      <w:r w:rsidR="00F01CAF" w:rsidRPr="009C52C4">
        <w:rPr>
          <w:rFonts w:ascii="Times New Roman" w:hAnsi="Times New Roman" w:cs="Times New Roman"/>
          <w:sz w:val="24"/>
          <w:szCs w:val="24"/>
        </w:rPr>
        <w:t xml:space="preserve">je model obnove zgrade prema zahtjevima </w:t>
      </w:r>
      <w:r w:rsidR="00F01CAF" w:rsidRPr="009C52C4">
        <w:rPr>
          <w:rFonts w:ascii="Times New Roman" w:hAnsi="Times New Roman" w:cs="Times New Roman"/>
          <w:i/>
          <w:sz w:val="24"/>
          <w:szCs w:val="24"/>
        </w:rPr>
        <w:t>Tehničkog propisa</w:t>
      </w:r>
      <w:r w:rsidR="00F01CAF" w:rsidRPr="009C52C4">
        <w:rPr>
          <w:rFonts w:ascii="Times New Roman" w:hAnsi="Times New Roman" w:cs="Times New Roman"/>
          <w:sz w:val="24"/>
          <w:szCs w:val="24"/>
        </w:rPr>
        <w:t xml:space="preserve"> za veliku rekonstrukciju (u prethodnim tablicama označen tamnijom nijansom zelene boje) pri čemu je potrebno napomenuti da ga je gotovo nemoguće realizirati pri obnovi zgrada javne namjene kontinentalne Hrvatske, s obzirom na ograničenja za godišnju isporučenu energiju E</w:t>
      </w:r>
      <w:r w:rsidR="00F01CAF" w:rsidRPr="009C52C4">
        <w:rPr>
          <w:rFonts w:ascii="Times New Roman" w:hAnsi="Times New Roman" w:cs="Times New Roman"/>
          <w:sz w:val="24"/>
          <w:szCs w:val="24"/>
          <w:vertAlign w:val="subscript"/>
        </w:rPr>
        <w:t>del</w:t>
      </w:r>
      <w:r w:rsidR="00F01CAF" w:rsidRPr="009C52C4">
        <w:rPr>
          <w:rFonts w:ascii="Times New Roman" w:hAnsi="Times New Roman" w:cs="Times New Roman"/>
          <w:sz w:val="24"/>
          <w:szCs w:val="24"/>
        </w:rPr>
        <w:t xml:space="preserve"> te godišnju primarnu energiju E</w:t>
      </w:r>
      <w:r w:rsidR="00F01CAF" w:rsidRPr="009C52C4">
        <w:rPr>
          <w:rFonts w:ascii="Times New Roman" w:hAnsi="Times New Roman" w:cs="Times New Roman"/>
          <w:sz w:val="24"/>
          <w:szCs w:val="24"/>
          <w:vertAlign w:val="subscript"/>
        </w:rPr>
        <w:t>prim</w:t>
      </w:r>
      <w:r w:rsidRPr="009C52C4">
        <w:rPr>
          <w:rFonts w:ascii="Times New Roman" w:hAnsi="Times New Roman" w:cs="Times New Roman"/>
          <w:sz w:val="24"/>
          <w:szCs w:val="24"/>
        </w:rPr>
        <w:t>.</w:t>
      </w:r>
      <w:r w:rsidR="005A16ED" w:rsidRPr="009C52C4">
        <w:rPr>
          <w:rFonts w:ascii="Times New Roman" w:hAnsi="Times New Roman" w:cs="Times New Roman"/>
          <w:sz w:val="24"/>
          <w:szCs w:val="24"/>
        </w:rPr>
        <w:t xml:space="preserve"> Navedeni model ne pokazuje se optimalnim jedino u kategoriji višestambenih zgrada primorske Hrvatske gdje kao troškovno optimalan model rezultira model obnove prema minimalnim zahtjevima </w:t>
      </w:r>
      <w:r w:rsidR="005A16ED" w:rsidRPr="009C52C4">
        <w:rPr>
          <w:rFonts w:ascii="Times New Roman" w:hAnsi="Times New Roman" w:cs="Times New Roman"/>
          <w:i/>
          <w:sz w:val="24"/>
          <w:szCs w:val="24"/>
        </w:rPr>
        <w:t>Tehničkog propisa</w:t>
      </w:r>
      <w:r w:rsidR="005A16ED" w:rsidRPr="009C52C4">
        <w:rPr>
          <w:rFonts w:ascii="Times New Roman" w:hAnsi="Times New Roman" w:cs="Times New Roman"/>
          <w:sz w:val="24"/>
          <w:szCs w:val="24"/>
        </w:rPr>
        <w:t>. Model obnove prema nZEB standardu nemoguće je realizirati s obzirom na ograničenja za godišnju isporučenu energiju E</w:t>
      </w:r>
      <w:r w:rsidR="005A16ED" w:rsidRPr="009C52C4">
        <w:rPr>
          <w:rFonts w:ascii="Times New Roman" w:hAnsi="Times New Roman" w:cs="Times New Roman"/>
          <w:sz w:val="24"/>
          <w:szCs w:val="24"/>
          <w:vertAlign w:val="subscript"/>
        </w:rPr>
        <w:t>del</w:t>
      </w:r>
      <w:r w:rsidR="005A16ED" w:rsidRPr="009C52C4">
        <w:rPr>
          <w:rFonts w:ascii="Times New Roman" w:hAnsi="Times New Roman" w:cs="Times New Roman"/>
          <w:sz w:val="24"/>
          <w:szCs w:val="24"/>
        </w:rPr>
        <w:t xml:space="preserve"> za zgrade javne namjene kontinentalne Hrvatske te godišnju primarnu energiju E</w:t>
      </w:r>
      <w:r w:rsidR="005A16ED" w:rsidRPr="009C52C4">
        <w:rPr>
          <w:rFonts w:ascii="Times New Roman" w:hAnsi="Times New Roman" w:cs="Times New Roman"/>
          <w:sz w:val="24"/>
          <w:szCs w:val="24"/>
          <w:vertAlign w:val="subscript"/>
        </w:rPr>
        <w:t>prim</w:t>
      </w:r>
      <w:r w:rsidR="005A16ED" w:rsidRPr="009C52C4">
        <w:rPr>
          <w:rFonts w:ascii="Times New Roman" w:hAnsi="Times New Roman" w:cs="Times New Roman"/>
          <w:sz w:val="24"/>
          <w:szCs w:val="24"/>
        </w:rPr>
        <w:t xml:space="preserve"> za gotovo sve kategorije zgrada (iznimke su zgrade komercijalne namjene kontinentalne Hrvatske i primorske Hrvatske), no ukoliko bi ga bilo moguće realizirati postavljanjem blažih kriterija, njegova troškovna isplativost bi rasla s duljinom razdoblja kalkulacije za zgrade kontinentalne Hrvatske. Model obnove zgrade prema minimalnim zahtjevima </w:t>
      </w:r>
      <w:r w:rsidR="005A16ED" w:rsidRPr="009C52C4">
        <w:rPr>
          <w:rFonts w:ascii="Times New Roman" w:hAnsi="Times New Roman" w:cs="Times New Roman"/>
          <w:i/>
          <w:sz w:val="24"/>
          <w:szCs w:val="24"/>
        </w:rPr>
        <w:t>Tehničkog propisa</w:t>
      </w:r>
      <w:r w:rsidR="005A16ED" w:rsidRPr="009C52C4">
        <w:rPr>
          <w:rFonts w:ascii="Times New Roman" w:hAnsi="Times New Roman" w:cs="Times New Roman"/>
          <w:sz w:val="24"/>
          <w:szCs w:val="24"/>
        </w:rPr>
        <w:t xml:space="preserve"> troškovno je nepovoljniji od model</w:t>
      </w:r>
      <w:r w:rsidR="000C7D89" w:rsidRPr="009C52C4">
        <w:rPr>
          <w:rFonts w:ascii="Times New Roman" w:hAnsi="Times New Roman" w:cs="Times New Roman"/>
          <w:sz w:val="24"/>
          <w:szCs w:val="24"/>
        </w:rPr>
        <w:t>a</w:t>
      </w:r>
      <w:r w:rsidR="005A16ED" w:rsidRPr="009C52C4">
        <w:rPr>
          <w:rFonts w:ascii="Times New Roman" w:hAnsi="Times New Roman" w:cs="Times New Roman"/>
          <w:sz w:val="24"/>
          <w:szCs w:val="24"/>
        </w:rPr>
        <w:t xml:space="preserve"> obnove zgrade prema zahtjevima </w:t>
      </w:r>
      <w:r w:rsidR="005A16ED" w:rsidRPr="009C52C4">
        <w:rPr>
          <w:rFonts w:ascii="Times New Roman" w:hAnsi="Times New Roman" w:cs="Times New Roman"/>
          <w:i/>
          <w:sz w:val="24"/>
          <w:szCs w:val="24"/>
        </w:rPr>
        <w:t>Tehničkog propisa</w:t>
      </w:r>
      <w:r w:rsidR="005A16ED" w:rsidRPr="009C52C4">
        <w:rPr>
          <w:rFonts w:ascii="Times New Roman" w:hAnsi="Times New Roman" w:cs="Times New Roman"/>
          <w:sz w:val="24"/>
          <w:szCs w:val="24"/>
        </w:rPr>
        <w:t xml:space="preserve"> za veliku rekonstrukciju</w:t>
      </w:r>
      <w:r w:rsidR="000C7D89" w:rsidRPr="009C52C4">
        <w:rPr>
          <w:rFonts w:ascii="Times New Roman" w:hAnsi="Times New Roman" w:cs="Times New Roman"/>
          <w:sz w:val="24"/>
          <w:szCs w:val="24"/>
        </w:rPr>
        <w:t xml:space="preserve"> i to u većoj mjeri u kontinentalnoj Hrvatskoj te s produljenjem razdoblja kalkulacije.</w:t>
      </w:r>
    </w:p>
    <w:p w14:paraId="382AB5BB" w14:textId="77777777" w:rsidR="00AC5AC8" w:rsidRPr="009C52C4" w:rsidRDefault="00AC5AC8">
      <w:pPr>
        <w:rPr>
          <w:rFonts w:ascii="Times New Roman" w:hAnsi="Times New Roman" w:cs="Times New Roman"/>
          <w:sz w:val="24"/>
          <w:szCs w:val="24"/>
        </w:rPr>
      </w:pPr>
      <w:r w:rsidRPr="009C52C4">
        <w:rPr>
          <w:rFonts w:ascii="Times New Roman" w:hAnsi="Times New Roman" w:cs="Times New Roman"/>
          <w:sz w:val="24"/>
          <w:szCs w:val="24"/>
        </w:rPr>
        <w:br w:type="page"/>
      </w:r>
    </w:p>
    <w:p w14:paraId="598A881F" w14:textId="77777777" w:rsidR="00B122B4" w:rsidRPr="009C52C4" w:rsidRDefault="00F54CC3" w:rsidP="004F09F1">
      <w:pPr>
        <w:pStyle w:val="Heading2"/>
        <w:numPr>
          <w:ilvl w:val="1"/>
          <w:numId w:val="20"/>
        </w:numPr>
        <w:ind w:hanging="719"/>
        <w:rPr>
          <w:rFonts w:ascii="Times New Roman" w:hAnsi="Times New Roman" w:cs="Times New Roman"/>
          <w:sz w:val="24"/>
          <w:szCs w:val="24"/>
        </w:rPr>
      </w:pPr>
      <w:bookmarkStart w:id="144" w:name="h.3cqmetx" w:colFirst="0" w:colLast="0"/>
      <w:bookmarkStart w:id="145" w:name="_Toc3277917"/>
      <w:bookmarkEnd w:id="144"/>
      <w:r w:rsidRPr="009C52C4">
        <w:rPr>
          <w:rFonts w:ascii="Times New Roman" w:hAnsi="Times New Roman" w:cs="Times New Roman"/>
          <w:sz w:val="24"/>
          <w:szCs w:val="24"/>
        </w:rPr>
        <w:lastRenderedPageBreak/>
        <w:t>Opis metode korištene za troškovno učinkovitu analizu</w:t>
      </w:r>
      <w:bookmarkEnd w:id="145"/>
    </w:p>
    <w:p w14:paraId="3294E827" w14:textId="77777777" w:rsidR="00B122B4" w:rsidRPr="009C52C4" w:rsidRDefault="00B122B4">
      <w:pPr>
        <w:rPr>
          <w:rFonts w:ascii="Times New Roman" w:hAnsi="Times New Roman" w:cs="Times New Roman"/>
          <w:sz w:val="24"/>
          <w:szCs w:val="24"/>
        </w:rPr>
      </w:pPr>
    </w:p>
    <w:p w14:paraId="159AE04F" w14:textId="77777777" w:rsidR="00634901" w:rsidRPr="009C52C4" w:rsidRDefault="00634901" w:rsidP="00634901">
      <w:pPr>
        <w:rPr>
          <w:rFonts w:ascii="Times New Roman" w:hAnsi="Times New Roman" w:cs="Times New Roman"/>
          <w:sz w:val="24"/>
          <w:szCs w:val="24"/>
        </w:rPr>
      </w:pPr>
      <w:bookmarkStart w:id="146" w:name="h.1rvwp1q" w:colFirst="0" w:colLast="0"/>
      <w:bookmarkEnd w:id="146"/>
      <w:r w:rsidRPr="009C52C4">
        <w:rPr>
          <w:rFonts w:ascii="Times New Roman" w:hAnsi="Times New Roman" w:cs="Times New Roman"/>
          <w:sz w:val="24"/>
          <w:szCs w:val="24"/>
        </w:rPr>
        <w:t>Troškovno učinkovita analiza temelji se na metodi optimalnih troškova sukladnoj normi HRN EN 15459/2008:</w:t>
      </w:r>
      <w:r w:rsidRPr="009C52C4">
        <w:rPr>
          <w:rFonts w:ascii="Times New Roman" w:eastAsiaTheme="minorHAnsi" w:hAnsi="Times New Roman" w:cs="Times New Roman"/>
          <w:color w:val="auto"/>
          <w:sz w:val="24"/>
          <w:szCs w:val="24"/>
          <w:lang w:eastAsia="en-US"/>
        </w:rPr>
        <w:t xml:space="preserve"> </w:t>
      </w:r>
      <w:r w:rsidRPr="009C52C4">
        <w:rPr>
          <w:rFonts w:ascii="Times New Roman" w:hAnsi="Times New Roman" w:cs="Times New Roman"/>
          <w:sz w:val="24"/>
          <w:szCs w:val="24"/>
        </w:rPr>
        <w:t xml:space="preserve">Energy performance of buildings </w:t>
      </w:r>
      <w:r w:rsidR="00170CB0"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Economic evaluation procedure for energy systems in buildings (u skladu sa zahtjevima </w:t>
      </w:r>
      <w:r w:rsidR="0037119E" w:rsidRPr="009C52C4">
        <w:rPr>
          <w:rFonts w:ascii="Times New Roman" w:hAnsi="Times New Roman" w:cs="Times New Roman"/>
          <w:sz w:val="24"/>
          <w:szCs w:val="24"/>
        </w:rPr>
        <w:t xml:space="preserve">Direktive 2002/91/EZ Europskog parlamenta i Vijeća od 16. prosinca 2002. o </w:t>
      </w:r>
      <w:r w:rsidR="00442E3D" w:rsidRPr="009C52C4">
        <w:rPr>
          <w:rFonts w:ascii="Times New Roman" w:hAnsi="Times New Roman" w:cs="Times New Roman"/>
          <w:sz w:val="24"/>
          <w:szCs w:val="24"/>
        </w:rPr>
        <w:t>energetskim svojstvima</w:t>
      </w:r>
      <w:r w:rsidR="0037119E" w:rsidRPr="009C52C4">
        <w:rPr>
          <w:rFonts w:ascii="Times New Roman" w:hAnsi="Times New Roman" w:cs="Times New Roman"/>
          <w:sz w:val="24"/>
          <w:szCs w:val="24"/>
        </w:rPr>
        <w:t xml:space="preserve"> zgrada</w:t>
      </w:r>
      <w:r w:rsidR="0037119E" w:rsidRPr="009C52C4">
        <w:rPr>
          <w:rStyle w:val="FootnoteReference"/>
          <w:rFonts w:ascii="Times New Roman" w:hAnsi="Times New Roman" w:cs="Times New Roman"/>
          <w:sz w:val="24"/>
          <w:szCs w:val="24"/>
        </w:rPr>
        <w:footnoteReference w:id="43"/>
      </w:r>
      <w:r w:rsidRPr="009C52C4">
        <w:rPr>
          <w:rFonts w:ascii="Times New Roman" w:hAnsi="Times New Roman" w:cs="Times New Roman"/>
          <w:sz w:val="24"/>
          <w:szCs w:val="24"/>
        </w:rPr>
        <w:t xml:space="preserve">), kao i </w:t>
      </w:r>
      <w:r w:rsidR="00F40DE2" w:rsidRPr="009C52C4">
        <w:rPr>
          <w:rFonts w:ascii="Times New Roman" w:hAnsi="Times New Roman" w:cs="Times New Roman"/>
          <w:sz w:val="24"/>
          <w:szCs w:val="24"/>
        </w:rPr>
        <w:t>na Delegiranoj uredbi Komisije (EU)</w:t>
      </w:r>
      <w:r w:rsidRPr="009C52C4">
        <w:rPr>
          <w:rFonts w:ascii="Times New Roman" w:hAnsi="Times New Roman" w:cs="Times New Roman"/>
          <w:sz w:val="24"/>
          <w:szCs w:val="24"/>
        </w:rPr>
        <w:t xml:space="preserve"> </w:t>
      </w:r>
      <w:r w:rsidR="00F40DE2" w:rsidRPr="009C52C4">
        <w:rPr>
          <w:rFonts w:ascii="Times New Roman" w:hAnsi="Times New Roman" w:cs="Times New Roman"/>
          <w:sz w:val="24"/>
          <w:szCs w:val="24"/>
        </w:rPr>
        <w:t>br.</w:t>
      </w:r>
      <w:r w:rsidRPr="009C52C4">
        <w:rPr>
          <w:rFonts w:ascii="Times New Roman" w:hAnsi="Times New Roman" w:cs="Times New Roman"/>
          <w:sz w:val="24"/>
          <w:szCs w:val="24"/>
        </w:rPr>
        <w:t xml:space="preserve"> 244/2012 </w:t>
      </w:r>
      <w:r w:rsidR="00F40DE2" w:rsidRPr="009C52C4">
        <w:rPr>
          <w:rFonts w:ascii="Times New Roman" w:hAnsi="Times New Roman" w:cs="Times New Roman"/>
          <w:sz w:val="24"/>
          <w:szCs w:val="24"/>
        </w:rPr>
        <w:t xml:space="preserve">od 16 siječnja 2012. o dopuni Direktive 2010/31/EU Europskog parlamenta i Vijeća </w:t>
      </w:r>
      <w:r w:rsidR="007A2F18" w:rsidRPr="009C52C4">
        <w:rPr>
          <w:rFonts w:ascii="Times New Roman" w:hAnsi="Times New Roman" w:cs="Times New Roman"/>
          <w:sz w:val="24"/>
          <w:szCs w:val="24"/>
        </w:rPr>
        <w:t xml:space="preserve">od 19. svibnja 2010. </w:t>
      </w:r>
      <w:r w:rsidR="00F40DE2" w:rsidRPr="009C52C4">
        <w:rPr>
          <w:rFonts w:ascii="Times New Roman" w:hAnsi="Times New Roman" w:cs="Times New Roman"/>
          <w:sz w:val="24"/>
          <w:szCs w:val="24"/>
        </w:rPr>
        <w:t xml:space="preserve">o energetskim svojstvima zgrada utvrđivanjem usporednog metodološkog okvira za izračunavanje troškovno optimalnih razina za minimalne zahtjeve energetskih svojstava zgrada i dijelova zgrada (Tekst značajan za EGP) </w:t>
      </w:r>
      <w:r w:rsidRPr="009C52C4">
        <w:rPr>
          <w:rFonts w:ascii="Times New Roman" w:hAnsi="Times New Roman" w:cs="Times New Roman"/>
          <w:sz w:val="24"/>
          <w:szCs w:val="24"/>
        </w:rPr>
        <w:t>i pripadajućim smjernicama</w:t>
      </w:r>
      <w:r w:rsidRPr="009C52C4">
        <w:rPr>
          <w:rFonts w:ascii="Times New Roman" w:hAnsi="Times New Roman" w:cs="Times New Roman"/>
          <w:sz w:val="24"/>
          <w:szCs w:val="24"/>
          <w:vertAlign w:val="superscript"/>
        </w:rPr>
        <w:footnoteReference w:id="44"/>
      </w:r>
      <w:r w:rsidRPr="009C52C4">
        <w:rPr>
          <w:rFonts w:ascii="Times New Roman" w:hAnsi="Times New Roman" w:cs="Times New Roman"/>
          <w:sz w:val="24"/>
          <w:szCs w:val="24"/>
        </w:rPr>
        <w:t xml:space="preserve">. Navedena norma definira metodologiju izračuna energetskog svojstva zgrada s obzirom na funkcionalnost energetskih sustava u zgradi, s naglaskom na metodu ekonomskog parametriziranja sustava grijanja. </w:t>
      </w:r>
    </w:p>
    <w:p w14:paraId="719BFCC1" w14:textId="77777777" w:rsidR="00634901" w:rsidRPr="009C52C4" w:rsidRDefault="00634901" w:rsidP="00634901">
      <w:pPr>
        <w:rPr>
          <w:rFonts w:ascii="Times New Roman" w:hAnsi="Times New Roman" w:cs="Times New Roman"/>
          <w:sz w:val="24"/>
          <w:szCs w:val="24"/>
        </w:rPr>
      </w:pPr>
    </w:p>
    <w:p w14:paraId="083C71F3"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Metodologija definira izračun ekonomske isplativosti pojedine metode energetskih ušteda te na taj način i usporedbu različitih metoda energetskih ušteda. Također omogućuje i procjenu ekonomskog parametra, odnosno svojstva zgrade u cjelini uz parametrizaciju pojedine mjere uštede energije koja se primjenjuje na postojeći sustav, s obzirom na proračun početnog i konačnog stanja. </w:t>
      </w:r>
    </w:p>
    <w:p w14:paraId="11EC383E" w14:textId="77777777" w:rsidR="00634901" w:rsidRPr="009C52C4" w:rsidRDefault="00634901" w:rsidP="00634901">
      <w:pPr>
        <w:rPr>
          <w:rFonts w:ascii="Times New Roman" w:hAnsi="Times New Roman" w:cs="Times New Roman"/>
          <w:sz w:val="24"/>
          <w:szCs w:val="24"/>
        </w:rPr>
      </w:pPr>
    </w:p>
    <w:p w14:paraId="2E366882"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Na temelju norme, </w:t>
      </w:r>
      <w:r w:rsidR="00170CB0" w:rsidRPr="009C52C4">
        <w:rPr>
          <w:rFonts w:ascii="Times New Roman" w:hAnsi="Times New Roman" w:cs="Times New Roman"/>
          <w:sz w:val="24"/>
          <w:szCs w:val="24"/>
        </w:rPr>
        <w:t xml:space="preserve">a </w:t>
      </w:r>
      <w:r w:rsidRPr="009C52C4">
        <w:rPr>
          <w:rFonts w:ascii="Times New Roman" w:hAnsi="Times New Roman" w:cs="Times New Roman"/>
          <w:sz w:val="24"/>
          <w:szCs w:val="24"/>
        </w:rPr>
        <w:t xml:space="preserve">s obzirom na dane smjernice za definiciju i strukturu vrsta troškova pri ekonomskom ili financijskom proračunu energetskih ušteda, parametre potrebne za definiciju troškova, samu metodu ekonomskog ili financijskog proračuna, način prikaza rezultata ekonomskog ili financijskog proračuna te parametre životnog vijeka različitih komponenti tehničkih sustava, moguće je izvršiti odabir troškovno optimalnih mjera povećanja energetske učinkovitosti kod svake od pojedinih kategorija zgrada. </w:t>
      </w:r>
    </w:p>
    <w:p w14:paraId="78540FBA" w14:textId="77777777" w:rsidR="00634901" w:rsidRPr="009C52C4" w:rsidRDefault="00634901" w:rsidP="00634901">
      <w:pPr>
        <w:rPr>
          <w:rFonts w:ascii="Times New Roman" w:hAnsi="Times New Roman" w:cs="Times New Roman"/>
          <w:sz w:val="24"/>
          <w:szCs w:val="24"/>
        </w:rPr>
      </w:pPr>
    </w:p>
    <w:p w14:paraId="4BEC3DDE" w14:textId="197A3E76"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Iako se norma temelji na </w:t>
      </w:r>
      <w:r w:rsidR="00D54D4D" w:rsidRPr="009C52C4">
        <w:rPr>
          <w:rFonts w:ascii="Times New Roman" w:hAnsi="Times New Roman" w:cs="Times New Roman"/>
          <w:sz w:val="24"/>
          <w:szCs w:val="24"/>
        </w:rPr>
        <w:t>Direktivi</w:t>
      </w:r>
      <w:r w:rsidRPr="009C52C4">
        <w:rPr>
          <w:rFonts w:ascii="Times New Roman" w:hAnsi="Times New Roman" w:cs="Times New Roman"/>
          <w:sz w:val="24"/>
          <w:szCs w:val="24"/>
        </w:rPr>
        <w:t xml:space="preserve"> 2002/91/E</w:t>
      </w:r>
      <w:r w:rsidR="00327450" w:rsidRPr="009C52C4">
        <w:rPr>
          <w:rFonts w:ascii="Times New Roman" w:hAnsi="Times New Roman" w:cs="Times New Roman"/>
          <w:sz w:val="24"/>
          <w:szCs w:val="24"/>
        </w:rPr>
        <w:t>Z</w:t>
      </w:r>
      <w:r w:rsidR="00442E3D" w:rsidRPr="009C52C4">
        <w:rPr>
          <w:rFonts w:ascii="Times New Roman" w:hAnsi="Times New Roman" w:cs="Times New Roman"/>
          <w:sz w:val="24"/>
          <w:szCs w:val="24"/>
        </w:rPr>
        <w:t xml:space="preserve"> Europskog parlamenta i Vijeća od 16. prosinca 2002. o energetskim svojstvima zgrada</w:t>
      </w:r>
      <w:r w:rsidRPr="009C52C4">
        <w:rPr>
          <w:rFonts w:ascii="Times New Roman" w:hAnsi="Times New Roman" w:cs="Times New Roman"/>
          <w:sz w:val="24"/>
          <w:szCs w:val="24"/>
        </w:rPr>
        <w:t xml:space="preserve">, s obzirom da je navedena Direktiva zamijenjena novom </w:t>
      </w:r>
      <w:r w:rsidR="00D54D4D" w:rsidRPr="009C52C4">
        <w:rPr>
          <w:rFonts w:ascii="Times New Roman" w:hAnsi="Times New Roman" w:cs="Times New Roman"/>
          <w:sz w:val="24"/>
          <w:szCs w:val="24"/>
        </w:rPr>
        <w:t>Direktivom 2010/31/EU</w:t>
      </w:r>
      <w:r w:rsidR="00190A38" w:rsidRPr="009C52C4">
        <w:rPr>
          <w:rFonts w:ascii="Times New Roman" w:hAnsi="Times New Roman" w:cs="Times New Roman"/>
          <w:sz w:val="24"/>
          <w:szCs w:val="24"/>
        </w:rPr>
        <w:t xml:space="preserve"> Europskog parlamenta i Vijeća od 19. svibnja 2010. o energetskoj učinkovitosti zgrada (preinaka)</w:t>
      </w:r>
      <w:r w:rsidRPr="009C52C4">
        <w:rPr>
          <w:rFonts w:ascii="Times New Roman" w:hAnsi="Times New Roman" w:cs="Times New Roman"/>
          <w:sz w:val="24"/>
          <w:szCs w:val="24"/>
        </w:rPr>
        <w:t xml:space="preserve">, za metodu korištenu pri troškovno učinkovitoj analizi u obzir se uzima i </w:t>
      </w:r>
      <w:r w:rsidR="00F40DE2" w:rsidRPr="009C52C4">
        <w:rPr>
          <w:rFonts w:ascii="Times New Roman" w:hAnsi="Times New Roman" w:cs="Times New Roman"/>
          <w:sz w:val="24"/>
          <w:szCs w:val="24"/>
        </w:rPr>
        <w:t>Delegirana uredba Komisije (EU) br. 244/2012</w:t>
      </w:r>
      <w:r w:rsidR="00E74838" w:rsidRPr="009C52C4">
        <w:rPr>
          <w:rFonts w:ascii="Times New Roman" w:hAnsi="Times New Roman" w:cs="Times New Roman"/>
          <w:sz w:val="24"/>
          <w:szCs w:val="24"/>
        </w:rPr>
        <w:t xml:space="preserve"> od 16 siječnja 2012. o dopuni Direktive 2010/31/EU Europskog parlamenta i Vijeća od 19. svibnja 2010. o energetskim svojstvima zgrada utvrđivanjem usporednog metodološkog okvira za izračunavanje troškovno optimalnih razina za minimalne zahtjeve energetskih svojstava zgrada i dijelova zgrada (Tekst značajan za EGP) i pripadajućim smjernicama</w:t>
      </w:r>
      <w:r w:rsidRPr="009C52C4">
        <w:rPr>
          <w:rFonts w:ascii="Times New Roman" w:hAnsi="Times New Roman" w:cs="Times New Roman"/>
          <w:i/>
          <w:sz w:val="24"/>
          <w:szCs w:val="24"/>
        </w:rPr>
        <w:t xml:space="preserve"> </w:t>
      </w:r>
      <w:r w:rsidRPr="009C52C4">
        <w:rPr>
          <w:rFonts w:ascii="Times New Roman" w:hAnsi="Times New Roman" w:cs="Times New Roman"/>
          <w:sz w:val="24"/>
          <w:szCs w:val="24"/>
        </w:rPr>
        <w:t>koj</w:t>
      </w:r>
      <w:r w:rsidR="00F40DE2" w:rsidRPr="009C52C4">
        <w:rPr>
          <w:rFonts w:ascii="Times New Roman" w:hAnsi="Times New Roman" w:cs="Times New Roman"/>
          <w:sz w:val="24"/>
          <w:szCs w:val="24"/>
        </w:rPr>
        <w:t>a</w:t>
      </w:r>
      <w:r w:rsidRPr="009C52C4">
        <w:rPr>
          <w:rFonts w:ascii="Times New Roman" w:hAnsi="Times New Roman" w:cs="Times New Roman"/>
          <w:sz w:val="24"/>
          <w:szCs w:val="24"/>
        </w:rPr>
        <w:t xml:space="preserve"> pobliže opisuje dio </w:t>
      </w:r>
      <w:r w:rsidR="00D54D4D" w:rsidRPr="009C52C4">
        <w:rPr>
          <w:rFonts w:ascii="Times New Roman" w:hAnsi="Times New Roman" w:cs="Times New Roman"/>
          <w:sz w:val="24"/>
          <w:szCs w:val="24"/>
        </w:rPr>
        <w:t>Direktive 2010/31/EU</w:t>
      </w:r>
      <w:r w:rsidR="00190A38" w:rsidRPr="009C52C4">
        <w:rPr>
          <w:rFonts w:ascii="Times New Roman" w:hAnsi="Times New Roman" w:cs="Times New Roman"/>
          <w:sz w:val="24"/>
          <w:szCs w:val="24"/>
        </w:rPr>
        <w:t xml:space="preserve"> Europskog parlamenta i Vijeća od 19. svibnja 2010. o energetskoj učinkovitosti zgrada (preinaka)</w:t>
      </w:r>
      <w:r w:rsidRPr="009C52C4">
        <w:rPr>
          <w:rFonts w:ascii="Times New Roman" w:hAnsi="Times New Roman" w:cs="Times New Roman"/>
          <w:sz w:val="24"/>
          <w:szCs w:val="24"/>
        </w:rPr>
        <w:t xml:space="preserve">, točnije na izradu komparativne metodologije proračuna troškovno optimalne razine energetskih svojstava zgrade i njenih elemenata. Direktiva obvezuje države članice EU na odluku koji će od dva načina proračuna ukupnih troškova odabrati (makroekonomski gledani kroz cijeli životni vijek zgrade ili financijski koji uzimaju u obzir jedino početnu investiciju). RH u ovom trenutku nije službeno opredijeljena </w:t>
      </w:r>
      <w:r w:rsidRPr="009C52C4">
        <w:rPr>
          <w:rFonts w:ascii="Times New Roman" w:hAnsi="Times New Roman" w:cs="Times New Roman"/>
          <w:sz w:val="24"/>
          <w:szCs w:val="24"/>
        </w:rPr>
        <w:lastRenderedPageBreak/>
        <w:t xml:space="preserve">za jednu od navedenih metoda proračuna te se metodologija izračuna pojedine mjere ili kombinacije više mjera bazira na financijskom modelu. </w:t>
      </w:r>
    </w:p>
    <w:p w14:paraId="410E4BAF" w14:textId="77777777" w:rsidR="00634901" w:rsidRPr="009C52C4" w:rsidRDefault="00634901" w:rsidP="00634901">
      <w:pPr>
        <w:rPr>
          <w:rFonts w:ascii="Times New Roman" w:hAnsi="Times New Roman" w:cs="Times New Roman"/>
          <w:sz w:val="24"/>
          <w:szCs w:val="24"/>
        </w:rPr>
      </w:pPr>
    </w:p>
    <w:p w14:paraId="5C7A50D7" w14:textId="01BAE7E6"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Pri odabiru mjera povećanja energetske učinkovitosti paralelno se u najvećoj mogućoj mjeri razmatralo i uvođenje sustava koji koriste OIE, kako bi s</w:t>
      </w:r>
      <w:r w:rsidR="00E859FB" w:rsidRPr="009C52C4">
        <w:rPr>
          <w:rFonts w:ascii="Times New Roman" w:hAnsi="Times New Roman" w:cs="Times New Roman"/>
          <w:sz w:val="24"/>
          <w:szCs w:val="24"/>
        </w:rPr>
        <w:t xml:space="preserve">e zadovoljili uvjeti </w:t>
      </w:r>
      <w:r w:rsidR="00D54D4D" w:rsidRPr="009C52C4">
        <w:rPr>
          <w:rFonts w:ascii="Times New Roman" w:hAnsi="Times New Roman" w:cs="Times New Roman"/>
          <w:sz w:val="24"/>
          <w:szCs w:val="24"/>
        </w:rPr>
        <w:t>Direktive 2010/31/EU</w:t>
      </w:r>
      <w:r w:rsidR="00190A38" w:rsidRPr="009C52C4">
        <w:rPr>
          <w:rFonts w:ascii="Times New Roman" w:hAnsi="Times New Roman" w:cs="Times New Roman"/>
          <w:sz w:val="24"/>
          <w:szCs w:val="24"/>
        </w:rPr>
        <w:t xml:space="preserve"> Europskog parlamenta i Vijeća od 19. svibnja 2010. o energetskoj učinkovitosti zgrada (preinaka)</w:t>
      </w:r>
      <w:r w:rsidR="00536C5E" w:rsidRPr="009C52C4">
        <w:rPr>
          <w:rStyle w:val="FootnoteReference"/>
          <w:rFonts w:ascii="Times New Roman" w:hAnsi="Times New Roman" w:cs="Times New Roman"/>
          <w:sz w:val="24"/>
          <w:szCs w:val="24"/>
        </w:rPr>
        <w:t>6</w:t>
      </w:r>
      <w:r w:rsidR="00E859FB" w:rsidRPr="009C52C4">
        <w:rPr>
          <w:rFonts w:ascii="Times New Roman" w:hAnsi="Times New Roman" w:cs="Times New Roman"/>
          <w:sz w:val="24"/>
          <w:szCs w:val="24"/>
        </w:rPr>
        <w:t xml:space="preserve"> i </w:t>
      </w:r>
      <w:r w:rsidR="00327450" w:rsidRPr="009C52C4">
        <w:rPr>
          <w:rFonts w:ascii="Times New Roman" w:hAnsi="Times New Roman" w:cs="Times New Roman"/>
          <w:sz w:val="24"/>
          <w:szCs w:val="24"/>
        </w:rPr>
        <w:t>Direktive 2009/28/EU</w:t>
      </w:r>
      <w:r w:rsidR="00E859FB" w:rsidRPr="009C52C4">
        <w:rPr>
          <w:rFonts w:ascii="Times New Roman" w:hAnsi="Times New Roman" w:cs="Times New Roman"/>
          <w:sz w:val="24"/>
          <w:szCs w:val="24"/>
        </w:rPr>
        <w:t>,</w:t>
      </w:r>
      <w:r w:rsidRPr="009C52C4">
        <w:rPr>
          <w:rFonts w:ascii="Times New Roman" w:hAnsi="Times New Roman" w:cs="Times New Roman"/>
          <w:sz w:val="24"/>
          <w:szCs w:val="24"/>
        </w:rPr>
        <w:t xml:space="preserve"> kao i Četvrtog nacionalnog akcijskog plana energetske učinkovitosti za razdoblje </w:t>
      </w:r>
      <w:r w:rsidR="00124387" w:rsidRPr="009C52C4">
        <w:rPr>
          <w:rFonts w:ascii="Times New Roman" w:hAnsi="Times New Roman" w:cs="Times New Roman"/>
          <w:sz w:val="24"/>
          <w:szCs w:val="24"/>
        </w:rPr>
        <w:t xml:space="preserve">do kraja </w:t>
      </w:r>
      <w:r w:rsidRPr="009C52C4">
        <w:rPr>
          <w:rFonts w:ascii="Times New Roman" w:hAnsi="Times New Roman" w:cs="Times New Roman"/>
          <w:sz w:val="24"/>
          <w:szCs w:val="24"/>
        </w:rPr>
        <w:t xml:space="preserve">2019. koji </w:t>
      </w:r>
      <w:r w:rsidR="009E33E4" w:rsidRPr="009C52C4">
        <w:rPr>
          <w:rFonts w:ascii="Times New Roman" w:hAnsi="Times New Roman" w:cs="Times New Roman"/>
          <w:sz w:val="24"/>
          <w:szCs w:val="24"/>
        </w:rPr>
        <w:t>u slučaju provedbe značajne obnove postojeće zgrade propisuju obvezu poduzimanja mjera razmatranja ugradnje visokoučinkovitih alternativnih sustava u mjeri u kojoj je to tehnički, funkcionalno i gospodarski izvedivo</w:t>
      </w:r>
      <w:r w:rsidRPr="009C52C4">
        <w:rPr>
          <w:rFonts w:ascii="Times New Roman" w:hAnsi="Times New Roman" w:cs="Times New Roman"/>
          <w:sz w:val="24"/>
          <w:szCs w:val="24"/>
        </w:rPr>
        <w:t>.</w:t>
      </w:r>
    </w:p>
    <w:p w14:paraId="5B7C20E5" w14:textId="77777777" w:rsidR="00634901" w:rsidRPr="009C52C4" w:rsidRDefault="00634901" w:rsidP="00634901">
      <w:pPr>
        <w:rPr>
          <w:rFonts w:ascii="Times New Roman" w:hAnsi="Times New Roman" w:cs="Times New Roman"/>
          <w:sz w:val="24"/>
          <w:szCs w:val="24"/>
        </w:rPr>
      </w:pPr>
    </w:p>
    <w:p w14:paraId="4406D466" w14:textId="12E6175E"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Odabir paketa mjera povećanja energetske učinkovitosti i korištenja obnovljivih izvora energije vrši se troškovnim optimiranjem mjera odnosno odabirom među više postojećih opcija paketa mjera koji s obzirom na ukupne troškove uzrokuju najveći učinak u uštedi primarne energije za pojedinu zgradu. </w:t>
      </w:r>
      <w:r w:rsidRPr="009C52C4">
        <w:rPr>
          <w:rFonts w:ascii="Times New Roman" w:hAnsi="Times New Roman" w:cs="Times New Roman"/>
          <w:color w:val="auto"/>
          <w:sz w:val="24"/>
          <w:szCs w:val="24"/>
        </w:rPr>
        <w:t xml:space="preserve">U svrhu troškovnog optimiranja potrebno je u obzir uzeti brojne parametre prilagođene nacionalnim uvjetima, kao što su životni vijek zgrade, sve vrste troškova kroz životni vijek zgrade (energenti, materijal, sustavi, održavanje, operativni troškovi i troškovi rada), faktori konverzije isporučene energije u primarnu energiju, varijacije cijene energenata itd. Odabir i parametrizacija varijanti paketa mjera povećanja EnU i korištenja OIE za svaku od kategorija </w:t>
      </w:r>
      <w:r w:rsidRPr="009C52C4">
        <w:rPr>
          <w:rFonts w:ascii="Times New Roman" w:hAnsi="Times New Roman" w:cs="Times New Roman"/>
          <w:sz w:val="24"/>
          <w:szCs w:val="24"/>
        </w:rPr>
        <w:t>zgrada, uz prethodno navedenu europsku legislativu u obzir uzima i nacionalnu legislativu. Sukladno normi HRN EN 15459/2008, s obzirom na predložene modele obnove zgrada razrađene su sljedeće mjere povećanja EnU i OIE:</w:t>
      </w:r>
    </w:p>
    <w:p w14:paraId="550F1369" w14:textId="66E6BD18" w:rsidR="00634901" w:rsidRPr="009C52C4" w:rsidRDefault="00102B4C" w:rsidP="00853BC8">
      <w:pPr>
        <w:numPr>
          <w:ilvl w:val="0"/>
          <w:numId w:val="17"/>
        </w:numPr>
        <w:ind w:hanging="359"/>
        <w:rPr>
          <w:rFonts w:ascii="Times New Roman" w:hAnsi="Times New Roman" w:cs="Times New Roman"/>
          <w:sz w:val="24"/>
          <w:szCs w:val="24"/>
        </w:rPr>
      </w:pPr>
      <w:r w:rsidRPr="009C52C4">
        <w:rPr>
          <w:rFonts w:ascii="Times New Roman" w:hAnsi="Times New Roman" w:cs="Times New Roman"/>
          <w:sz w:val="24"/>
          <w:szCs w:val="24"/>
        </w:rPr>
        <w:t>o</w:t>
      </w:r>
      <w:r w:rsidR="00634901" w:rsidRPr="009C52C4">
        <w:rPr>
          <w:rFonts w:ascii="Times New Roman" w:hAnsi="Times New Roman" w:cs="Times New Roman"/>
          <w:sz w:val="24"/>
          <w:szCs w:val="24"/>
        </w:rPr>
        <w:t xml:space="preserve">bnova vanjske ovojnice zgrade </w:t>
      </w:r>
      <w:r w:rsidR="00866CBC" w:rsidRPr="009C52C4">
        <w:rPr>
          <w:rFonts w:ascii="Times New Roman" w:hAnsi="Times New Roman" w:cs="Times New Roman"/>
          <w:sz w:val="24"/>
          <w:szCs w:val="24"/>
        </w:rPr>
        <w:t xml:space="preserve">sukladno zahtjevima </w:t>
      </w:r>
      <w:r w:rsidR="00866CBC" w:rsidRPr="009C52C4">
        <w:rPr>
          <w:rFonts w:ascii="Times New Roman" w:hAnsi="Times New Roman" w:cs="Times New Roman"/>
          <w:i/>
          <w:sz w:val="24"/>
          <w:szCs w:val="24"/>
        </w:rPr>
        <w:t>Tehničkog propisa</w:t>
      </w:r>
      <w:r w:rsidR="00866CBC" w:rsidRPr="009C52C4">
        <w:rPr>
          <w:rFonts w:ascii="Times New Roman" w:hAnsi="Times New Roman" w:cs="Times New Roman"/>
          <w:sz w:val="24"/>
          <w:szCs w:val="24"/>
        </w:rPr>
        <w:t>,</w:t>
      </w:r>
      <w:r w:rsidR="00634901" w:rsidRPr="009C52C4">
        <w:rPr>
          <w:rFonts w:ascii="Times New Roman" w:hAnsi="Times New Roman" w:cs="Times New Roman"/>
          <w:sz w:val="24"/>
          <w:szCs w:val="24"/>
        </w:rPr>
        <w:t xml:space="preserve"> pri čemu su za proračun korišteni realni modeli za svaku kategoriju zgrade</w:t>
      </w:r>
      <w:r w:rsidR="00634901" w:rsidRPr="009C52C4">
        <w:rPr>
          <w:rFonts w:ascii="Times New Roman" w:hAnsi="Times New Roman" w:cs="Times New Roman"/>
          <w:sz w:val="24"/>
          <w:szCs w:val="24"/>
          <w:vertAlign w:val="superscript"/>
        </w:rPr>
        <w:footnoteReference w:id="45"/>
      </w:r>
    </w:p>
    <w:p w14:paraId="3E68927D" w14:textId="3CF130C3" w:rsidR="00634901" w:rsidRPr="009C52C4" w:rsidRDefault="00102B4C" w:rsidP="00853BC8">
      <w:pPr>
        <w:numPr>
          <w:ilvl w:val="0"/>
          <w:numId w:val="17"/>
        </w:numPr>
        <w:ind w:hanging="359"/>
        <w:rPr>
          <w:rFonts w:ascii="Times New Roman" w:hAnsi="Times New Roman" w:cs="Times New Roman"/>
          <w:sz w:val="24"/>
          <w:szCs w:val="24"/>
        </w:rPr>
      </w:pPr>
      <w:r w:rsidRPr="009C52C4">
        <w:rPr>
          <w:rFonts w:ascii="Times New Roman" w:hAnsi="Times New Roman" w:cs="Times New Roman"/>
          <w:sz w:val="24"/>
          <w:szCs w:val="24"/>
        </w:rPr>
        <w:t>u</w:t>
      </w:r>
      <w:r w:rsidR="00634901" w:rsidRPr="009C52C4">
        <w:rPr>
          <w:rFonts w:ascii="Times New Roman" w:hAnsi="Times New Roman" w:cs="Times New Roman"/>
          <w:sz w:val="24"/>
          <w:szCs w:val="24"/>
        </w:rPr>
        <w:t>vođenje centralnih sustava grijanja koji koriste kotao na drvnu biomasu (peleti, sječka), dizalicu topline koja koristi temperaturu okolišnog zraka ili, u slučaju da navedeno nije moguće, kondenzacijski kotao s prirodnim plinom kao energentom</w:t>
      </w:r>
    </w:p>
    <w:p w14:paraId="4CC89C1A" w14:textId="0BE88A06" w:rsidR="00634901" w:rsidRPr="009C52C4" w:rsidRDefault="00102B4C" w:rsidP="00853BC8">
      <w:pPr>
        <w:numPr>
          <w:ilvl w:val="0"/>
          <w:numId w:val="17"/>
        </w:numPr>
        <w:ind w:hanging="359"/>
        <w:rPr>
          <w:rFonts w:ascii="Times New Roman" w:hAnsi="Times New Roman" w:cs="Times New Roman"/>
          <w:sz w:val="24"/>
          <w:szCs w:val="24"/>
        </w:rPr>
      </w:pPr>
      <w:r w:rsidRPr="009C52C4">
        <w:rPr>
          <w:rFonts w:ascii="Times New Roman" w:hAnsi="Times New Roman" w:cs="Times New Roman"/>
          <w:sz w:val="24"/>
          <w:szCs w:val="24"/>
        </w:rPr>
        <w:t>u</w:t>
      </w:r>
      <w:r w:rsidR="00634901" w:rsidRPr="009C52C4">
        <w:rPr>
          <w:rFonts w:ascii="Times New Roman" w:hAnsi="Times New Roman" w:cs="Times New Roman"/>
          <w:sz w:val="24"/>
          <w:szCs w:val="24"/>
        </w:rPr>
        <w:t>vođenje centralnog sustava pripreme potrošne tople vode putem solarnog kolektorskog sustava</w:t>
      </w:r>
    </w:p>
    <w:p w14:paraId="4719715A" w14:textId="7303D235" w:rsidR="00634901" w:rsidRPr="009C52C4" w:rsidRDefault="00102B4C" w:rsidP="00853BC8">
      <w:pPr>
        <w:numPr>
          <w:ilvl w:val="0"/>
          <w:numId w:val="17"/>
        </w:numPr>
        <w:ind w:hanging="359"/>
        <w:rPr>
          <w:rFonts w:ascii="Times New Roman" w:hAnsi="Times New Roman" w:cs="Times New Roman"/>
          <w:sz w:val="24"/>
          <w:szCs w:val="24"/>
        </w:rPr>
      </w:pPr>
      <w:r w:rsidRPr="009C52C4">
        <w:rPr>
          <w:rFonts w:ascii="Times New Roman" w:hAnsi="Times New Roman" w:cs="Times New Roman"/>
          <w:sz w:val="24"/>
          <w:szCs w:val="24"/>
        </w:rPr>
        <w:t>u</w:t>
      </w:r>
      <w:r w:rsidR="00634901" w:rsidRPr="009C52C4">
        <w:rPr>
          <w:rFonts w:ascii="Times New Roman" w:hAnsi="Times New Roman" w:cs="Times New Roman"/>
          <w:sz w:val="24"/>
          <w:szCs w:val="24"/>
        </w:rPr>
        <w:t>vođenje centralnog sustava hlađenja putem dizalice topline</w:t>
      </w:r>
    </w:p>
    <w:p w14:paraId="361E76B8" w14:textId="74A426C6" w:rsidR="00634901" w:rsidRPr="009C52C4" w:rsidRDefault="00102B4C" w:rsidP="00853BC8">
      <w:pPr>
        <w:numPr>
          <w:ilvl w:val="0"/>
          <w:numId w:val="17"/>
        </w:numPr>
        <w:ind w:hanging="359"/>
        <w:rPr>
          <w:rFonts w:ascii="Times New Roman" w:hAnsi="Times New Roman" w:cs="Times New Roman"/>
          <w:sz w:val="24"/>
          <w:szCs w:val="24"/>
        </w:rPr>
      </w:pPr>
      <w:r w:rsidRPr="009C52C4">
        <w:rPr>
          <w:rFonts w:ascii="Times New Roman" w:hAnsi="Times New Roman" w:cs="Times New Roman"/>
          <w:sz w:val="24"/>
          <w:szCs w:val="24"/>
        </w:rPr>
        <w:t>z</w:t>
      </w:r>
      <w:r w:rsidR="00634901" w:rsidRPr="009C52C4">
        <w:rPr>
          <w:rFonts w:ascii="Times New Roman" w:hAnsi="Times New Roman" w:cs="Times New Roman"/>
          <w:sz w:val="24"/>
          <w:szCs w:val="24"/>
        </w:rPr>
        <w:t>amjena postojećeg sustava rasvjete energetski učinkovitijim</w:t>
      </w:r>
    </w:p>
    <w:p w14:paraId="49BD2F55" w14:textId="77777777" w:rsidR="00634901" w:rsidRPr="009C52C4" w:rsidRDefault="00634901" w:rsidP="00634901">
      <w:pPr>
        <w:rPr>
          <w:rFonts w:ascii="Times New Roman" w:hAnsi="Times New Roman" w:cs="Times New Roman"/>
          <w:sz w:val="24"/>
          <w:szCs w:val="24"/>
        </w:rPr>
      </w:pPr>
    </w:p>
    <w:p w14:paraId="79CDBC72" w14:textId="12CED589"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Budući da </w:t>
      </w:r>
      <w:r w:rsidR="00AC5EC2" w:rsidRPr="009C52C4">
        <w:rPr>
          <w:rFonts w:ascii="Times New Roman" w:hAnsi="Times New Roman" w:cs="Times New Roman"/>
          <w:sz w:val="24"/>
          <w:szCs w:val="24"/>
        </w:rPr>
        <w:t xml:space="preserve">je </w:t>
      </w:r>
      <w:r w:rsidR="00102B4C" w:rsidRPr="009C52C4">
        <w:rPr>
          <w:rFonts w:ascii="Times New Roman" w:hAnsi="Times New Roman" w:cs="Times New Roman"/>
          <w:sz w:val="24"/>
          <w:szCs w:val="24"/>
        </w:rPr>
        <w:t>p</w:t>
      </w:r>
      <w:r w:rsidR="00AC5EC2" w:rsidRPr="009C52C4">
        <w:rPr>
          <w:rFonts w:ascii="Times New Roman" w:hAnsi="Times New Roman" w:cs="Times New Roman"/>
          <w:sz w:val="24"/>
          <w:szCs w:val="24"/>
        </w:rPr>
        <w:t>rogramima obnove za javne, komercijalne i višestambene zgrade te obiteljske kuće</w:t>
      </w:r>
      <w:r w:rsidR="00536C5E" w:rsidRPr="009C52C4">
        <w:rPr>
          <w:rFonts w:ascii="Times New Roman" w:hAnsi="Times New Roman" w:cs="Times New Roman"/>
          <w:sz w:val="24"/>
          <w:szCs w:val="24"/>
          <w:vertAlign w:val="superscript"/>
        </w:rPr>
        <w:t xml:space="preserve"> </w:t>
      </w:r>
      <w:r w:rsidR="00AC5EC2" w:rsidRPr="009C52C4">
        <w:rPr>
          <w:rFonts w:ascii="Times New Roman" w:hAnsi="Times New Roman" w:cs="Times New Roman"/>
          <w:sz w:val="24"/>
          <w:szCs w:val="24"/>
        </w:rPr>
        <w:t xml:space="preserve">pokriveno razdoblje obnove zgrada do 2020. godine, nakon 2020. godine pretpostavlja se primjena cjelovite energetske obnove sukladno zahtjevima </w:t>
      </w:r>
      <w:r w:rsidR="00AC5EC2" w:rsidRPr="009C52C4">
        <w:rPr>
          <w:rFonts w:ascii="Times New Roman" w:hAnsi="Times New Roman" w:cs="Times New Roman"/>
          <w:i/>
          <w:sz w:val="24"/>
          <w:szCs w:val="24"/>
        </w:rPr>
        <w:t>Tehničkog propisa</w:t>
      </w:r>
      <w:r w:rsidR="00AC5EC2" w:rsidRPr="009C52C4">
        <w:rPr>
          <w:rFonts w:ascii="Times New Roman" w:hAnsi="Times New Roman" w:cs="Times New Roman"/>
          <w:sz w:val="24"/>
          <w:szCs w:val="24"/>
        </w:rPr>
        <w:t xml:space="preserve"> za veliku rekonstrukciju. </w:t>
      </w:r>
      <w:r w:rsidR="00D420CF" w:rsidRPr="009C52C4">
        <w:rPr>
          <w:rFonts w:ascii="Times New Roman" w:hAnsi="Times New Roman" w:cs="Times New Roman"/>
          <w:sz w:val="24"/>
          <w:szCs w:val="24"/>
        </w:rPr>
        <w:t xml:space="preserve">U slučaju provedbe značajne obnove zgrade, </w:t>
      </w:r>
      <w:r w:rsidR="00D54D4D" w:rsidRPr="009C52C4">
        <w:rPr>
          <w:rFonts w:ascii="Times New Roman" w:hAnsi="Times New Roman" w:cs="Times New Roman"/>
          <w:sz w:val="24"/>
          <w:szCs w:val="24"/>
        </w:rPr>
        <w:t>Direktiva 2010/31/EU</w:t>
      </w:r>
      <w:r w:rsidR="00190A38" w:rsidRPr="009C52C4">
        <w:rPr>
          <w:rFonts w:ascii="Times New Roman" w:hAnsi="Times New Roman" w:cs="Times New Roman"/>
          <w:sz w:val="24"/>
          <w:szCs w:val="24"/>
        </w:rPr>
        <w:t xml:space="preserve"> Europskog parlamenta i Vijeća od 19. svibnja 2010. o energetskoj učinkovitosti zgrada (preinaka)</w:t>
      </w:r>
      <w:r w:rsidRPr="009C52C4">
        <w:rPr>
          <w:rFonts w:ascii="Times New Roman" w:hAnsi="Times New Roman" w:cs="Times New Roman"/>
          <w:sz w:val="24"/>
          <w:szCs w:val="24"/>
        </w:rPr>
        <w:t xml:space="preserve"> </w:t>
      </w:r>
      <w:r w:rsidR="00D420CF" w:rsidRPr="009C52C4">
        <w:rPr>
          <w:rFonts w:ascii="Times New Roman" w:hAnsi="Times New Roman" w:cs="Times New Roman"/>
          <w:sz w:val="24"/>
          <w:szCs w:val="24"/>
        </w:rPr>
        <w:t>propisuje poticanje razmatranja ugradnje visokoučinkovitih alternativnih sustava u mjeri u kojoj je to tehnički, funkcionalno i gospodarski izved</w:t>
      </w:r>
      <w:r w:rsidR="009E33E4" w:rsidRPr="009C52C4">
        <w:rPr>
          <w:rFonts w:ascii="Times New Roman" w:hAnsi="Times New Roman" w:cs="Times New Roman"/>
          <w:sz w:val="24"/>
          <w:szCs w:val="24"/>
        </w:rPr>
        <w:t>iv</w:t>
      </w:r>
      <w:r w:rsidR="00D420CF" w:rsidRPr="009C52C4">
        <w:rPr>
          <w:rFonts w:ascii="Times New Roman" w:hAnsi="Times New Roman" w:cs="Times New Roman"/>
          <w:sz w:val="24"/>
          <w:szCs w:val="24"/>
        </w:rPr>
        <w:t xml:space="preserve">o, dok </w:t>
      </w:r>
      <w:r w:rsidR="00F47A80" w:rsidRPr="009C52C4">
        <w:rPr>
          <w:rFonts w:ascii="Times New Roman" w:hAnsi="Times New Roman" w:cs="Times New Roman"/>
          <w:sz w:val="24"/>
          <w:szCs w:val="24"/>
        </w:rPr>
        <w:t>Direktiva 2009/28/EU</w:t>
      </w:r>
      <w:r w:rsidR="00D420CF" w:rsidRPr="009C52C4">
        <w:rPr>
          <w:rFonts w:ascii="Times New Roman" w:hAnsi="Times New Roman" w:cs="Times New Roman"/>
          <w:sz w:val="24"/>
          <w:szCs w:val="24"/>
        </w:rPr>
        <w:t xml:space="preserve"> propisuje obvezu uvođenja mjera za povećanje udjela energije iz obnovljivih izvora energije. Iz navedenih razloga, </w:t>
      </w:r>
      <w:r w:rsidRPr="009C52C4">
        <w:rPr>
          <w:rFonts w:ascii="Times New Roman" w:hAnsi="Times New Roman" w:cs="Times New Roman"/>
          <w:sz w:val="24"/>
          <w:szCs w:val="24"/>
        </w:rPr>
        <w:t>sveobuhvatni paketi mjera koje uključuju i mjere EnU i mjere OIE trebali bi biti u primjeni za navedene kategorije zgrade.</w:t>
      </w:r>
    </w:p>
    <w:p w14:paraId="64C3692F" w14:textId="77777777" w:rsidR="00634901" w:rsidRPr="009C52C4" w:rsidRDefault="00634901" w:rsidP="00634901">
      <w:pPr>
        <w:rPr>
          <w:rFonts w:ascii="Times New Roman" w:hAnsi="Times New Roman" w:cs="Times New Roman"/>
          <w:sz w:val="24"/>
          <w:szCs w:val="24"/>
        </w:rPr>
      </w:pPr>
    </w:p>
    <w:p w14:paraId="37A70F02" w14:textId="0F80AB52"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Proračun uštede emisije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kao i iznosa primarne energije bazira se na Metodologiji provođenja energetskog pregleda građevina</w:t>
      </w:r>
      <w:r w:rsidR="004E6D7F" w:rsidRPr="009C52C4">
        <w:rPr>
          <w:rFonts w:ascii="Times New Roman" w:hAnsi="Times New Roman" w:cs="Times New Roman"/>
          <w:sz w:val="24"/>
          <w:szCs w:val="24"/>
        </w:rPr>
        <w:t xml:space="preserve"> koja je važeća od lipnja 2014. godine</w:t>
      </w:r>
      <w:r w:rsidRPr="009C52C4">
        <w:rPr>
          <w:rFonts w:ascii="Times New Roman" w:hAnsi="Times New Roman" w:cs="Times New Roman"/>
          <w:sz w:val="24"/>
          <w:szCs w:val="24"/>
        </w:rPr>
        <w:t>, odnosno faktorima konverzije isporučene energije u primarnu energiju i emisija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vertAlign w:val="superscript"/>
        </w:rPr>
        <w:footnoteReference w:id="46"/>
      </w:r>
      <w:r w:rsidRPr="009C52C4">
        <w:rPr>
          <w:rFonts w:ascii="Times New Roman" w:hAnsi="Times New Roman" w:cs="Times New Roman"/>
          <w:sz w:val="24"/>
          <w:szCs w:val="24"/>
        </w:rPr>
        <w:t xml:space="preserve"> objavljenim na službenim stranicama Ministarstva graditeljstva i prostornoga uređenja, pri čemu se za potrebe izračuna energetskog svojstva zgrade koristi </w:t>
      </w:r>
      <w:r w:rsidR="009E48F5" w:rsidRPr="009C52C4">
        <w:rPr>
          <w:rFonts w:ascii="Times New Roman" w:hAnsi="Times New Roman" w:cs="Times New Roman"/>
          <w:sz w:val="24"/>
          <w:szCs w:val="24"/>
        </w:rPr>
        <w:t>ukupna</w:t>
      </w:r>
      <w:r w:rsidRPr="009C52C4">
        <w:rPr>
          <w:rFonts w:ascii="Times New Roman" w:hAnsi="Times New Roman" w:cs="Times New Roman"/>
          <w:sz w:val="24"/>
          <w:szCs w:val="24"/>
        </w:rPr>
        <w:t xml:space="preserve"> komponenta faktora primarne energije</w:t>
      </w:r>
      <w:r w:rsidR="009E48F5" w:rsidRPr="009C52C4">
        <w:rPr>
          <w:rFonts w:ascii="Times New Roman" w:hAnsi="Times New Roman" w:cs="Times New Roman"/>
          <w:sz w:val="24"/>
          <w:szCs w:val="24"/>
        </w:rPr>
        <w:t xml:space="preserve"> preuzeta sa službene stranice Ministarstva graditeljstva i prostornoga uređenja</w:t>
      </w:r>
      <w:r w:rsidRPr="009C52C4">
        <w:rPr>
          <w:rFonts w:ascii="Times New Roman" w:hAnsi="Times New Roman" w:cs="Times New Roman"/>
          <w:sz w:val="24"/>
          <w:szCs w:val="24"/>
        </w:rPr>
        <w:t>,</w:t>
      </w:r>
      <w:r w:rsidRPr="009C52C4">
        <w:rPr>
          <w:rFonts w:ascii="Times New Roman" w:hAnsi="Times New Roman" w:cs="Times New Roman"/>
          <w:i/>
          <w:sz w:val="24"/>
          <w:szCs w:val="24"/>
        </w:rPr>
        <w:t xml:space="preserve"> </w:t>
      </w:r>
      <w:r w:rsidRPr="009C52C4">
        <w:rPr>
          <w:rFonts w:ascii="Times New Roman" w:hAnsi="Times New Roman" w:cs="Times New Roman"/>
          <w:sz w:val="24"/>
          <w:szCs w:val="24"/>
        </w:rPr>
        <w:t>sukladno uputi Ministarstva. Za izračun uštede emisija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korišteni su specifični faktori emisije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po energetskoj jedinici goriva (kgCO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/kWh). Dobiveni podaci odgovaraju energetskim uštedama pojedinih kategorija zgrada te su u skladu s distribucijom energenata u potrošnji energije baziranih na podacima baze podataka </w:t>
      </w:r>
      <w:r w:rsidRPr="009C52C4">
        <w:rPr>
          <w:rFonts w:ascii="Times New Roman" w:hAnsi="Times New Roman" w:cs="Times New Roman"/>
          <w:i/>
          <w:sz w:val="24"/>
          <w:szCs w:val="24"/>
        </w:rPr>
        <w:t xml:space="preserve">International Energy Agency </w:t>
      </w:r>
      <w:r w:rsidRPr="009C52C4">
        <w:rPr>
          <w:rFonts w:ascii="Times New Roman" w:hAnsi="Times New Roman" w:cs="Times New Roman"/>
          <w:sz w:val="24"/>
          <w:szCs w:val="24"/>
        </w:rPr>
        <w:t xml:space="preserve">- </w:t>
      </w:r>
      <w:r w:rsidRPr="009C52C4">
        <w:rPr>
          <w:rFonts w:ascii="Times New Roman" w:hAnsi="Times New Roman" w:cs="Times New Roman"/>
          <w:i/>
          <w:sz w:val="24"/>
          <w:szCs w:val="24"/>
        </w:rPr>
        <w:t>IEA Statistics</w:t>
      </w:r>
      <w:r w:rsidRPr="009C52C4">
        <w:rPr>
          <w:rFonts w:ascii="Times New Roman" w:hAnsi="Times New Roman" w:cs="Times New Roman"/>
          <w:sz w:val="24"/>
          <w:szCs w:val="24"/>
        </w:rPr>
        <w:t xml:space="preserve"> u RH</w:t>
      </w:r>
      <w:r w:rsidR="00A91505" w:rsidRPr="009C52C4">
        <w:rPr>
          <w:rFonts w:ascii="Times New Roman" w:hAnsi="Times New Roman" w:cs="Times New Roman"/>
          <w:sz w:val="24"/>
          <w:szCs w:val="24"/>
          <w:vertAlign w:val="superscript"/>
        </w:rPr>
        <w:t>41</w:t>
      </w:r>
      <w:r w:rsidRPr="009C52C4">
        <w:rPr>
          <w:rFonts w:ascii="Times New Roman" w:hAnsi="Times New Roman" w:cs="Times New Roman"/>
          <w:sz w:val="24"/>
          <w:szCs w:val="24"/>
        </w:rPr>
        <w:t>.</w:t>
      </w:r>
      <w:r w:rsidR="009E48F5" w:rsidRPr="009C52C4">
        <w:rPr>
          <w:rFonts w:ascii="Times New Roman" w:hAnsi="Times New Roman" w:cs="Times New Roman"/>
          <w:sz w:val="24"/>
          <w:szCs w:val="24"/>
        </w:rPr>
        <w:t xml:space="preserve"> </w:t>
      </w:r>
      <w:r w:rsidRPr="009C52C4">
        <w:rPr>
          <w:rFonts w:ascii="Times New Roman" w:hAnsi="Times New Roman" w:cs="Times New Roman"/>
          <w:sz w:val="24"/>
          <w:szCs w:val="24"/>
        </w:rPr>
        <w:t>Proračun potrebne investicije i odgovarajućih troškovnih ušteda bazira se na postojećim katalozima cijena, odnosno realnim troškovnicima</w:t>
      </w:r>
      <w:r w:rsidRPr="009C52C4">
        <w:rPr>
          <w:rFonts w:ascii="Times New Roman" w:hAnsi="Times New Roman" w:cs="Times New Roman"/>
          <w:sz w:val="24"/>
          <w:szCs w:val="24"/>
          <w:vertAlign w:val="superscript"/>
        </w:rPr>
        <w:footnoteReference w:id="47"/>
      </w:r>
      <w:r w:rsidRPr="009C52C4">
        <w:rPr>
          <w:rFonts w:ascii="Times New Roman" w:hAnsi="Times New Roman" w:cs="Times New Roman"/>
          <w:sz w:val="24"/>
          <w:szCs w:val="24"/>
        </w:rPr>
        <w:t xml:space="preserve">. </w:t>
      </w:r>
    </w:p>
    <w:p w14:paraId="1EF79EE3" w14:textId="77777777" w:rsidR="009E48F5" w:rsidRPr="009C52C4" w:rsidRDefault="009E48F5" w:rsidP="00634901">
      <w:pPr>
        <w:rPr>
          <w:rFonts w:ascii="Times New Roman" w:hAnsi="Times New Roman" w:cs="Times New Roman"/>
          <w:sz w:val="24"/>
          <w:szCs w:val="24"/>
        </w:rPr>
      </w:pPr>
    </w:p>
    <w:p w14:paraId="1C97382B" w14:textId="32A57B5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S obzirom na smjernice vezane za </w:t>
      </w:r>
      <w:r w:rsidR="00F40DE2" w:rsidRPr="009C52C4">
        <w:rPr>
          <w:rFonts w:ascii="Times New Roman" w:hAnsi="Times New Roman" w:cs="Times New Roman"/>
          <w:sz w:val="24"/>
          <w:szCs w:val="24"/>
        </w:rPr>
        <w:t>Delegiranu uredbu Komisije (EU) br. 244/2012</w:t>
      </w:r>
      <w:r w:rsidR="00102B4C" w:rsidRPr="009C52C4">
        <w:rPr>
          <w:rFonts w:ascii="Times New Roman" w:hAnsi="Times New Roman" w:cs="Times New Roman"/>
          <w:sz w:val="24"/>
          <w:szCs w:val="24"/>
        </w:rPr>
        <w:t xml:space="preserve"> od 16. siječnja 2012. o dopuni Direktive 2010/31/EU Europskog parlamenta i Vijeća o energetskim svojstvima zgrada utvrđivanjem usporednog metodološkog okvira za izračunavanje troškovno optimalnih razina za minimalne zahtjeve energetskih svojstava zgrada i dijelova zgrada (Tekst značajan za EGP),</w:t>
      </w:r>
      <w:r w:rsidRPr="009C52C4">
        <w:rPr>
          <w:rFonts w:ascii="Times New Roman" w:hAnsi="Times New Roman" w:cs="Times New Roman"/>
          <w:sz w:val="24"/>
          <w:szCs w:val="24"/>
        </w:rPr>
        <w:t xml:space="preserve"> članak 6. stavak 3., pri izračunu potrebnih investicija uzet je u obzir izvor podataka s obzirom na rekonstrukciju prema niskoenergetskim standardima.</w:t>
      </w:r>
      <w:r w:rsidRPr="009C52C4">
        <w:rPr>
          <w:rFonts w:ascii="Times New Roman" w:hAnsi="Times New Roman" w:cs="Times New Roman"/>
          <w:i/>
          <w:sz w:val="24"/>
          <w:szCs w:val="24"/>
        </w:rPr>
        <w:t xml:space="preserve"> </w:t>
      </w:r>
      <w:r w:rsidRPr="009C52C4">
        <w:rPr>
          <w:rFonts w:ascii="Times New Roman" w:hAnsi="Times New Roman" w:cs="Times New Roman"/>
          <w:sz w:val="24"/>
          <w:szCs w:val="24"/>
        </w:rPr>
        <w:t>Proračun proizlazi iz uputa Priloga 1 navedenog propisa (članak 2. stavak 4.), koji obvezuje proračun sukladan standardu propisanom kao uvjet sufinanciranja od strane nacionalnih institucija kao što je Fond za zaštitu okoliša i energetsku učinkovitost (skr. FZOEU).</w:t>
      </w:r>
    </w:p>
    <w:p w14:paraId="70528AF5" w14:textId="77777777" w:rsidR="00634901" w:rsidRPr="009C52C4" w:rsidRDefault="00634901" w:rsidP="00634901">
      <w:pPr>
        <w:rPr>
          <w:rFonts w:ascii="Times New Roman" w:hAnsi="Times New Roman" w:cs="Times New Roman"/>
          <w:sz w:val="24"/>
          <w:szCs w:val="24"/>
        </w:rPr>
      </w:pPr>
    </w:p>
    <w:p w14:paraId="29A9C1D5" w14:textId="6A8AB104"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Pri parametrizaciji mjera povećanja energetske učinkovitosti kao referentna godina za proračun uzima se 2016. pri čemu je model trenutnog stanja baziran na podacima Državnog zavoda za statistiku, popisa stanovništva iz 2011. godine te evidencije o ukupno izdanim građevinskim dozvolama i izgrađenim zgradama te raspodjeli isporučene energije za potrebe različitih tehničkih sustava u zgradi baziranih na podacima baze podataka </w:t>
      </w:r>
      <w:r w:rsidRPr="009C52C4">
        <w:rPr>
          <w:rFonts w:ascii="Times New Roman" w:hAnsi="Times New Roman" w:cs="Times New Roman"/>
          <w:i/>
          <w:sz w:val="24"/>
          <w:szCs w:val="24"/>
        </w:rPr>
        <w:t xml:space="preserve">International Energy Agency </w:t>
      </w:r>
      <w:r w:rsidRPr="009C52C4">
        <w:rPr>
          <w:rFonts w:ascii="Times New Roman" w:hAnsi="Times New Roman" w:cs="Times New Roman"/>
          <w:sz w:val="24"/>
          <w:szCs w:val="24"/>
        </w:rPr>
        <w:t xml:space="preserve">- </w:t>
      </w:r>
      <w:r w:rsidRPr="009C52C4">
        <w:rPr>
          <w:rFonts w:ascii="Times New Roman" w:hAnsi="Times New Roman" w:cs="Times New Roman"/>
          <w:i/>
          <w:sz w:val="24"/>
          <w:szCs w:val="24"/>
        </w:rPr>
        <w:t>IEA Statistics</w:t>
      </w:r>
      <w:r w:rsidRPr="009C52C4">
        <w:rPr>
          <w:rFonts w:ascii="Times New Roman" w:hAnsi="Times New Roman" w:cs="Times New Roman"/>
          <w:sz w:val="24"/>
          <w:szCs w:val="24"/>
        </w:rPr>
        <w:t xml:space="preserve"> u RH.</w:t>
      </w:r>
      <w:r w:rsidRPr="009C52C4">
        <w:rPr>
          <w:rFonts w:ascii="Times New Roman" w:hAnsi="Times New Roman" w:cs="Times New Roman"/>
          <w:sz w:val="24"/>
          <w:szCs w:val="24"/>
        </w:rPr>
        <w:br w:type="page"/>
      </w:r>
    </w:p>
    <w:p w14:paraId="707DC059" w14:textId="77777777" w:rsidR="00B122B4" w:rsidRPr="009C52C4" w:rsidRDefault="00F54CC3">
      <w:pPr>
        <w:pStyle w:val="Heading1"/>
        <w:numPr>
          <w:ilvl w:val="0"/>
          <w:numId w:val="1"/>
        </w:numPr>
        <w:spacing w:before="480" w:line="276" w:lineRule="auto"/>
        <w:ind w:hanging="359"/>
        <w:jc w:val="left"/>
        <w:rPr>
          <w:rFonts w:ascii="Times New Roman" w:hAnsi="Times New Roman" w:cs="Times New Roman"/>
          <w:sz w:val="24"/>
          <w:szCs w:val="24"/>
        </w:rPr>
      </w:pPr>
      <w:bookmarkStart w:id="147" w:name="_Toc3277918"/>
      <w:r w:rsidRPr="009C52C4">
        <w:rPr>
          <w:rFonts w:ascii="Times New Roman" w:hAnsi="Times New Roman" w:cs="Times New Roman"/>
          <w:sz w:val="24"/>
          <w:szCs w:val="24"/>
        </w:rPr>
        <w:lastRenderedPageBreak/>
        <w:t>Politike i mjere za poticanje troškovno učinkovite integralne obnove zgrada</w:t>
      </w:r>
      <w:bookmarkEnd w:id="147"/>
    </w:p>
    <w:p w14:paraId="23490A79" w14:textId="77777777" w:rsidR="00B122B4" w:rsidRPr="009C52C4" w:rsidRDefault="00F54CC3">
      <w:pPr>
        <w:pStyle w:val="Heading2"/>
        <w:numPr>
          <w:ilvl w:val="1"/>
          <w:numId w:val="1"/>
        </w:numPr>
        <w:ind w:hanging="719"/>
        <w:rPr>
          <w:rFonts w:ascii="Times New Roman" w:hAnsi="Times New Roman" w:cs="Times New Roman"/>
          <w:sz w:val="24"/>
          <w:szCs w:val="24"/>
        </w:rPr>
      </w:pPr>
      <w:bookmarkStart w:id="148" w:name="h.2r0uhxc" w:colFirst="0" w:colLast="0"/>
      <w:bookmarkStart w:id="149" w:name="_Toc3277919"/>
      <w:bookmarkEnd w:id="148"/>
      <w:r w:rsidRPr="009C52C4">
        <w:rPr>
          <w:rFonts w:ascii="Times New Roman" w:hAnsi="Times New Roman" w:cs="Times New Roman"/>
          <w:sz w:val="24"/>
          <w:szCs w:val="24"/>
        </w:rPr>
        <w:t>Pregled postojećih mjera za poticanje obnove zgrada u Republici Hrvatskoj</w:t>
      </w:r>
      <w:bookmarkEnd w:id="149"/>
    </w:p>
    <w:p w14:paraId="44238C6A" w14:textId="77777777" w:rsidR="00B122B4" w:rsidRPr="009C52C4" w:rsidRDefault="00B122B4">
      <w:pPr>
        <w:rPr>
          <w:rFonts w:ascii="Times New Roman" w:hAnsi="Times New Roman" w:cs="Times New Roman"/>
          <w:sz w:val="24"/>
          <w:szCs w:val="24"/>
        </w:rPr>
      </w:pPr>
    </w:p>
    <w:p w14:paraId="22CE8AC9" w14:textId="77777777" w:rsidR="00AD38F0" w:rsidRPr="009C52C4" w:rsidRDefault="00AD38F0" w:rsidP="00AD38F0">
      <w:pPr>
        <w:ind w:right="357"/>
        <w:rPr>
          <w:rFonts w:ascii="Times New Roman" w:hAnsi="Times New Roman" w:cs="Times New Roman"/>
          <w:sz w:val="24"/>
          <w:szCs w:val="24"/>
        </w:rPr>
      </w:pPr>
      <w:r w:rsidRPr="009C52C4">
        <w:rPr>
          <w:rFonts w:ascii="Times New Roman" w:hAnsi="Times New Roman" w:cs="Times New Roman"/>
          <w:sz w:val="24"/>
          <w:szCs w:val="24"/>
        </w:rPr>
        <w:t>Pregled postojećih mjera za poticanje obnove zgrada u Republici Hrvatskoj će obuhvatiti:</w:t>
      </w:r>
    </w:p>
    <w:p w14:paraId="68AF1769" w14:textId="41E8D95C" w:rsidR="00AD38F0" w:rsidRPr="009C52C4" w:rsidRDefault="00102B4C" w:rsidP="004F09F1">
      <w:pPr>
        <w:numPr>
          <w:ilvl w:val="0"/>
          <w:numId w:val="40"/>
        </w:numPr>
        <w:ind w:right="357" w:hanging="359"/>
        <w:jc w:val="left"/>
        <w:rPr>
          <w:rFonts w:ascii="Times New Roman" w:hAnsi="Times New Roman" w:cs="Times New Roman"/>
          <w:sz w:val="24"/>
          <w:szCs w:val="24"/>
        </w:rPr>
      </w:pPr>
      <w:r w:rsidRPr="009C52C4">
        <w:rPr>
          <w:rFonts w:ascii="Times New Roman" w:hAnsi="Times New Roman" w:cs="Times New Roman"/>
          <w:sz w:val="24"/>
          <w:szCs w:val="24"/>
        </w:rPr>
        <w:t>n</w:t>
      </w:r>
      <w:r w:rsidR="00AD38F0" w:rsidRPr="009C52C4">
        <w:rPr>
          <w:rFonts w:ascii="Times New Roman" w:hAnsi="Times New Roman" w:cs="Times New Roman"/>
          <w:sz w:val="24"/>
          <w:szCs w:val="24"/>
        </w:rPr>
        <w:t>acionalne i međunarodne projekte i programe za obnovu zgrada</w:t>
      </w:r>
    </w:p>
    <w:p w14:paraId="2022018C" w14:textId="762B9D73" w:rsidR="00AD38F0" w:rsidRPr="009C52C4" w:rsidRDefault="00102B4C" w:rsidP="004F09F1">
      <w:pPr>
        <w:numPr>
          <w:ilvl w:val="0"/>
          <w:numId w:val="40"/>
        </w:numPr>
        <w:ind w:right="357" w:hanging="359"/>
        <w:jc w:val="left"/>
        <w:rPr>
          <w:rFonts w:ascii="Times New Roman" w:hAnsi="Times New Roman" w:cs="Times New Roman"/>
          <w:sz w:val="24"/>
          <w:szCs w:val="24"/>
        </w:rPr>
      </w:pPr>
      <w:r w:rsidRPr="009C52C4">
        <w:rPr>
          <w:rFonts w:ascii="Times New Roman" w:hAnsi="Times New Roman" w:cs="Times New Roman"/>
          <w:sz w:val="24"/>
          <w:szCs w:val="24"/>
        </w:rPr>
        <w:t>p</w:t>
      </w:r>
      <w:r w:rsidR="00AD38F0" w:rsidRPr="009C52C4">
        <w:rPr>
          <w:rFonts w:ascii="Times New Roman" w:hAnsi="Times New Roman" w:cs="Times New Roman"/>
          <w:sz w:val="24"/>
          <w:szCs w:val="24"/>
        </w:rPr>
        <w:t>rovedbu operativnih programa Republike Hrvatske za različite tipologije zgrada</w:t>
      </w:r>
    </w:p>
    <w:p w14:paraId="53A208A3" w14:textId="77777777" w:rsidR="00AD38F0" w:rsidRPr="009C52C4" w:rsidRDefault="00AD38F0" w:rsidP="00AD38F0">
      <w:pPr>
        <w:ind w:left="357" w:right="357"/>
        <w:rPr>
          <w:rFonts w:ascii="Times New Roman" w:hAnsi="Times New Roman" w:cs="Times New Roman"/>
          <w:sz w:val="24"/>
          <w:szCs w:val="24"/>
        </w:rPr>
      </w:pPr>
    </w:p>
    <w:p w14:paraId="0A323893"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Programi financijskih institucija namijenjeni </w:t>
      </w:r>
      <w:r w:rsidRPr="009C52C4">
        <w:rPr>
          <w:rFonts w:ascii="Times New Roman" w:hAnsi="Times New Roman" w:cs="Times New Roman"/>
          <w:color w:val="auto"/>
          <w:sz w:val="24"/>
          <w:szCs w:val="24"/>
        </w:rPr>
        <w:t xml:space="preserve">integralnoj </w:t>
      </w:r>
      <w:r w:rsidRPr="009C52C4">
        <w:rPr>
          <w:rFonts w:ascii="Times New Roman" w:hAnsi="Times New Roman" w:cs="Times New Roman"/>
          <w:sz w:val="24"/>
          <w:szCs w:val="24"/>
        </w:rPr>
        <w:t>obnovi zgrada, detaljno su opisani u poglavlju 5.2.</w:t>
      </w:r>
    </w:p>
    <w:p w14:paraId="43B10D55" w14:textId="77777777" w:rsidR="00B122B4" w:rsidRPr="009C52C4" w:rsidRDefault="00B122B4">
      <w:pPr>
        <w:rPr>
          <w:rFonts w:ascii="Times New Roman" w:hAnsi="Times New Roman" w:cs="Times New Roman"/>
          <w:sz w:val="24"/>
          <w:szCs w:val="24"/>
        </w:rPr>
      </w:pPr>
    </w:p>
    <w:p w14:paraId="7A595CFA" w14:textId="77777777" w:rsidR="00B122B4" w:rsidRPr="009C52C4" w:rsidRDefault="00F54CC3" w:rsidP="001D0F82">
      <w:pPr>
        <w:pStyle w:val="Heading3"/>
        <w:numPr>
          <w:ilvl w:val="2"/>
          <w:numId w:val="1"/>
        </w:numPr>
        <w:spacing w:before="200"/>
        <w:ind w:left="1083" w:hanging="720"/>
        <w:rPr>
          <w:rFonts w:ascii="Times New Roman" w:hAnsi="Times New Roman" w:cs="Times New Roman"/>
          <w:sz w:val="24"/>
          <w:szCs w:val="24"/>
        </w:rPr>
      </w:pPr>
      <w:bookmarkStart w:id="150" w:name="_Toc3277920"/>
      <w:bookmarkStart w:id="151" w:name="_Hlk3196974"/>
      <w:r w:rsidRPr="009C52C4">
        <w:rPr>
          <w:rFonts w:ascii="Times New Roman" w:hAnsi="Times New Roman" w:cs="Times New Roman"/>
          <w:sz w:val="24"/>
          <w:szCs w:val="24"/>
        </w:rPr>
        <w:t>Pregled nacionalnih i međunarodnih projekata i programa za obnovu zgrada</w:t>
      </w:r>
      <w:bookmarkEnd w:id="150"/>
    </w:p>
    <w:bookmarkEnd w:id="151"/>
    <w:p w14:paraId="5150E0A0" w14:textId="77777777" w:rsidR="00AD38F0" w:rsidRPr="009C52C4" w:rsidRDefault="00AD38F0">
      <w:pPr>
        <w:rPr>
          <w:rFonts w:ascii="Times New Roman" w:hAnsi="Times New Roman" w:cs="Times New Roman"/>
          <w:sz w:val="24"/>
          <w:szCs w:val="24"/>
        </w:rPr>
      </w:pPr>
    </w:p>
    <w:p w14:paraId="26C63311" w14:textId="07C6BAD7" w:rsidR="00AD38F0" w:rsidRPr="009C52C4" w:rsidRDefault="00AD38F0" w:rsidP="00AD38F0">
      <w:pPr>
        <w:rPr>
          <w:rFonts w:ascii="Times New Roman" w:hAnsi="Times New Roman" w:cs="Times New Roman"/>
          <w:sz w:val="24"/>
          <w:szCs w:val="24"/>
        </w:rPr>
      </w:pPr>
      <w:bookmarkStart w:id="152" w:name="h.1664s55" w:colFirst="0" w:colLast="0"/>
      <w:bookmarkEnd w:id="152"/>
      <w:r w:rsidRPr="009C52C4">
        <w:rPr>
          <w:rFonts w:ascii="Times New Roman" w:hAnsi="Times New Roman" w:cs="Times New Roman"/>
          <w:sz w:val="24"/>
          <w:szCs w:val="24"/>
        </w:rPr>
        <w:t>Veliki broj projekata za obnovu zgrada u Republici Hrvatskoj proveden je u sklopu sljedećih programa i inicijativa:</w:t>
      </w:r>
    </w:p>
    <w:p w14:paraId="1D7B28F7" w14:textId="42437D4E" w:rsidR="00CC529E" w:rsidRPr="009C52C4" w:rsidRDefault="00CC529E"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Operativnog programa Konkurentnost i kohezija 2014. - 2020. (engl. Operational Programme Competitiveness and Cohesion 2014 -2020)</w:t>
      </w:r>
      <w:r w:rsidRPr="009C52C4">
        <w:rPr>
          <w:rStyle w:val="FootnoteReference"/>
          <w:rFonts w:ascii="Times New Roman" w:hAnsi="Times New Roman" w:cs="Times New Roman"/>
          <w:sz w:val="24"/>
          <w:szCs w:val="24"/>
        </w:rPr>
        <w:footnoteReference w:id="48"/>
      </w:r>
      <w:r w:rsidRPr="009C52C4">
        <w:rPr>
          <w:rFonts w:ascii="Times New Roman" w:hAnsi="Times New Roman" w:cs="Times New Roman"/>
          <w:sz w:val="24"/>
          <w:szCs w:val="24"/>
        </w:rPr>
        <w:t xml:space="preserve"> za korištenje Europskog fonda za regionalni razvoj i Kohezijskog fond</w:t>
      </w:r>
      <w:r w:rsidR="00A3770F" w:rsidRPr="009C52C4">
        <w:rPr>
          <w:rFonts w:ascii="Times New Roman" w:hAnsi="Times New Roman" w:cs="Times New Roman"/>
          <w:sz w:val="24"/>
          <w:szCs w:val="24"/>
        </w:rPr>
        <w:t>a</w:t>
      </w:r>
    </w:p>
    <w:p w14:paraId="1CA1DDF5" w14:textId="322AF679"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Prekogranične suradnje Instrumenta pretpristupne pomoći (</w:t>
      </w:r>
      <w:r w:rsidRPr="009C52C4">
        <w:rPr>
          <w:rFonts w:ascii="Times New Roman" w:hAnsi="Times New Roman" w:cs="Times New Roman"/>
          <w:i/>
          <w:sz w:val="24"/>
          <w:szCs w:val="24"/>
        </w:rPr>
        <w:t>engl. Instrument for Pre-Accession assistance – IPA</w:t>
      </w:r>
      <w:r w:rsidRPr="009C52C4">
        <w:rPr>
          <w:rFonts w:ascii="Times New Roman" w:hAnsi="Times New Roman" w:cs="Times New Roman"/>
          <w:sz w:val="24"/>
          <w:szCs w:val="24"/>
        </w:rPr>
        <w:t>)</w:t>
      </w:r>
      <w:r w:rsidRPr="009C52C4">
        <w:rPr>
          <w:rStyle w:val="FootnoteReference"/>
          <w:rFonts w:ascii="Times New Roman" w:hAnsi="Times New Roman" w:cs="Times New Roman"/>
          <w:sz w:val="24"/>
          <w:szCs w:val="24"/>
        </w:rPr>
        <w:footnoteReference w:id="49"/>
      </w:r>
    </w:p>
    <w:p w14:paraId="08CCBE20" w14:textId="77777777"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Inicijative CONCERTO Okvirnog programa Europske komisije FP7 CONCERTO</w:t>
      </w:r>
      <w:r w:rsidRPr="009C52C4">
        <w:rPr>
          <w:rStyle w:val="FootnoteReference"/>
          <w:rFonts w:ascii="Times New Roman" w:hAnsi="Times New Roman" w:cs="Times New Roman"/>
          <w:sz w:val="24"/>
          <w:szCs w:val="24"/>
        </w:rPr>
        <w:footnoteReference w:id="50"/>
      </w:r>
      <w:r w:rsidRPr="009C52C4">
        <w:rPr>
          <w:rFonts w:ascii="Times New Roman" w:hAnsi="Times New Roman" w:cs="Times New Roman"/>
          <w:sz w:val="24"/>
          <w:szCs w:val="24"/>
        </w:rPr>
        <w:t>;</w:t>
      </w:r>
    </w:p>
    <w:p w14:paraId="31A674FE" w14:textId="353E5155"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Okvirnog programa za konkurentnost i inovacije (</w:t>
      </w:r>
      <w:r w:rsidRPr="009C52C4">
        <w:rPr>
          <w:rFonts w:ascii="Times New Roman" w:hAnsi="Times New Roman" w:cs="Times New Roman"/>
          <w:i/>
          <w:sz w:val="24"/>
          <w:szCs w:val="24"/>
        </w:rPr>
        <w:t>engl. Competitiveness and Innovation Framework Programme – CIP</w:t>
      </w:r>
      <w:r w:rsidRPr="009C52C4">
        <w:rPr>
          <w:rFonts w:ascii="Times New Roman" w:hAnsi="Times New Roman" w:cs="Times New Roman"/>
          <w:sz w:val="24"/>
          <w:szCs w:val="24"/>
        </w:rPr>
        <w:t>)</w:t>
      </w:r>
      <w:r w:rsidRPr="009C52C4">
        <w:rPr>
          <w:rStyle w:val="FootnoteReference"/>
          <w:rFonts w:ascii="Times New Roman" w:hAnsi="Times New Roman" w:cs="Times New Roman"/>
          <w:sz w:val="24"/>
          <w:szCs w:val="24"/>
        </w:rPr>
        <w:footnoteReference w:id="51"/>
      </w:r>
    </w:p>
    <w:p w14:paraId="59E303EC" w14:textId="32C2E765" w:rsidR="00AD38F0" w:rsidRPr="009C52C4" w:rsidRDefault="00AD38F0" w:rsidP="004F09F1">
      <w:pPr>
        <w:numPr>
          <w:ilvl w:val="0"/>
          <w:numId w:val="41"/>
        </w:numPr>
        <w:contextualSpacing/>
        <w:rPr>
          <w:rFonts w:ascii="Times New Roman" w:hAnsi="Times New Roman" w:cs="Times New Roman"/>
          <w:color w:val="auto"/>
          <w:sz w:val="24"/>
          <w:szCs w:val="24"/>
        </w:rPr>
      </w:pPr>
      <w:r w:rsidRPr="009C52C4">
        <w:rPr>
          <w:rFonts w:ascii="Times New Roman" w:hAnsi="Times New Roman" w:cs="Times New Roman"/>
          <w:color w:val="auto"/>
          <w:sz w:val="24"/>
          <w:szCs w:val="24"/>
        </w:rPr>
        <w:t>Programa Obzor 2020 (</w:t>
      </w:r>
      <w:r w:rsidRPr="009C52C4">
        <w:rPr>
          <w:rFonts w:ascii="Times New Roman" w:hAnsi="Times New Roman" w:cs="Times New Roman"/>
          <w:i/>
          <w:color w:val="auto"/>
          <w:sz w:val="24"/>
          <w:szCs w:val="24"/>
        </w:rPr>
        <w:t>engl. Horizon 2020</w:t>
      </w:r>
      <w:r w:rsidRPr="009C52C4">
        <w:rPr>
          <w:rFonts w:ascii="Times New Roman" w:hAnsi="Times New Roman" w:cs="Times New Roman"/>
          <w:color w:val="auto"/>
          <w:sz w:val="24"/>
          <w:szCs w:val="24"/>
        </w:rPr>
        <w:t xml:space="preserve">) Europske unije za istraživanje i inovacije za razdoblje od 2014. do 2020. </w:t>
      </w:r>
      <w:r w:rsidRPr="009C52C4">
        <w:rPr>
          <w:rStyle w:val="FootnoteReference"/>
          <w:rFonts w:ascii="Times New Roman" w:hAnsi="Times New Roman" w:cs="Times New Roman"/>
          <w:color w:val="auto"/>
          <w:sz w:val="24"/>
          <w:szCs w:val="24"/>
        </w:rPr>
        <w:footnoteReference w:id="52"/>
      </w:r>
    </w:p>
    <w:p w14:paraId="751A51CB" w14:textId="77777777" w:rsidR="00AD38F0" w:rsidRPr="009C52C4" w:rsidRDefault="00AD38F0" w:rsidP="004F09F1">
      <w:pPr>
        <w:numPr>
          <w:ilvl w:val="0"/>
          <w:numId w:val="41"/>
        </w:numPr>
        <w:spacing w:after="200"/>
        <w:ind w:hanging="359"/>
        <w:contextualSpacing/>
        <w:rPr>
          <w:rFonts w:ascii="Times New Roman" w:hAnsi="Times New Roman" w:cs="Times New Roman"/>
          <w:color w:val="auto"/>
          <w:sz w:val="24"/>
          <w:szCs w:val="24"/>
        </w:rPr>
      </w:pPr>
      <w:r w:rsidRPr="009C52C4">
        <w:rPr>
          <w:rFonts w:ascii="Times New Roman" w:hAnsi="Times New Roman" w:cs="Times New Roman"/>
          <w:color w:val="auto"/>
          <w:sz w:val="24"/>
          <w:szCs w:val="24"/>
        </w:rPr>
        <w:t>Programa i projekata Fonda za zaštitu okoliša i energetsku učinkovitost (FZOEU)</w:t>
      </w:r>
      <w:r w:rsidRPr="009C52C4">
        <w:rPr>
          <w:rStyle w:val="FootnoteReference"/>
          <w:rFonts w:ascii="Times New Roman" w:hAnsi="Times New Roman" w:cs="Times New Roman"/>
          <w:color w:val="auto"/>
          <w:sz w:val="24"/>
          <w:szCs w:val="24"/>
        </w:rPr>
        <w:footnoteReference w:id="53"/>
      </w:r>
      <w:r w:rsidRPr="009C52C4">
        <w:rPr>
          <w:rFonts w:ascii="Times New Roman" w:hAnsi="Times New Roman" w:cs="Times New Roman"/>
          <w:color w:val="auto"/>
          <w:sz w:val="24"/>
          <w:szCs w:val="24"/>
        </w:rPr>
        <w:t>;</w:t>
      </w:r>
    </w:p>
    <w:p w14:paraId="0DC0C984" w14:textId="7A33EC66" w:rsidR="00AD38F0" w:rsidRPr="009C52C4" w:rsidRDefault="00AD38F0" w:rsidP="004F09F1">
      <w:pPr>
        <w:numPr>
          <w:ilvl w:val="0"/>
          <w:numId w:val="41"/>
        </w:numPr>
        <w:spacing w:after="200"/>
        <w:contextualSpacing/>
        <w:rPr>
          <w:rFonts w:ascii="Times New Roman" w:hAnsi="Times New Roman" w:cs="Times New Roman"/>
          <w:color w:val="auto"/>
          <w:sz w:val="24"/>
          <w:szCs w:val="24"/>
        </w:rPr>
      </w:pPr>
      <w:r w:rsidRPr="009C52C4">
        <w:rPr>
          <w:rFonts w:ascii="Times New Roman" w:hAnsi="Times New Roman" w:cs="Times New Roman"/>
          <w:color w:val="auto"/>
          <w:sz w:val="24"/>
          <w:szCs w:val="24"/>
        </w:rPr>
        <w:t>Programa kreditiranja projekata zaštite okoliša, energetske učinkovitosti i obnovljivih izvora energije i Programa kreditiranja projekata zaštite okoliša Hrvatske banke za obnovu i razvitak (HBOR)</w:t>
      </w:r>
      <w:r w:rsidRPr="009C52C4">
        <w:rPr>
          <w:rStyle w:val="FootnoteReference"/>
          <w:rFonts w:ascii="Times New Roman" w:hAnsi="Times New Roman" w:cs="Times New Roman"/>
          <w:color w:val="auto"/>
          <w:sz w:val="24"/>
          <w:szCs w:val="24"/>
        </w:rPr>
        <w:footnoteReference w:id="54"/>
      </w:r>
    </w:p>
    <w:p w14:paraId="37FF8EAB" w14:textId="4E3BF8FD" w:rsidR="00AD38F0" w:rsidRPr="009C52C4" w:rsidRDefault="00AD38F0" w:rsidP="004F09F1">
      <w:pPr>
        <w:numPr>
          <w:ilvl w:val="0"/>
          <w:numId w:val="41"/>
        </w:numPr>
        <w:spacing w:after="200"/>
        <w:contextualSpacing/>
        <w:rPr>
          <w:rFonts w:ascii="Times New Roman" w:hAnsi="Times New Roman" w:cs="Times New Roman"/>
          <w:color w:val="auto"/>
          <w:sz w:val="24"/>
          <w:szCs w:val="24"/>
        </w:rPr>
      </w:pPr>
      <w:r w:rsidRPr="009C52C4">
        <w:rPr>
          <w:rFonts w:ascii="Times New Roman" w:hAnsi="Times New Roman" w:cs="Times New Roman"/>
          <w:color w:val="auto"/>
          <w:sz w:val="24"/>
          <w:szCs w:val="24"/>
        </w:rPr>
        <w:t>Programa tehničke pomoći Europske banke za obnovu</w:t>
      </w:r>
      <w:r w:rsidR="00A3770F" w:rsidRPr="009C52C4">
        <w:rPr>
          <w:rFonts w:ascii="Times New Roman" w:hAnsi="Times New Roman" w:cs="Times New Roman"/>
          <w:color w:val="auto"/>
          <w:sz w:val="24"/>
          <w:szCs w:val="24"/>
        </w:rPr>
        <w:t xml:space="preserve"> i razvoj</w:t>
      </w:r>
      <w:r w:rsidRPr="009C52C4">
        <w:rPr>
          <w:rFonts w:ascii="Times New Roman" w:hAnsi="Times New Roman" w:cs="Times New Roman"/>
          <w:color w:val="auto"/>
          <w:sz w:val="24"/>
          <w:szCs w:val="24"/>
        </w:rPr>
        <w:t xml:space="preserve"> (EBRD)</w:t>
      </w:r>
      <w:r w:rsidRPr="009C52C4">
        <w:rPr>
          <w:rStyle w:val="FootnoteReference"/>
          <w:rFonts w:ascii="Times New Roman" w:hAnsi="Times New Roman" w:cs="Times New Roman"/>
          <w:color w:val="auto"/>
          <w:sz w:val="24"/>
          <w:szCs w:val="24"/>
        </w:rPr>
        <w:footnoteReference w:id="55"/>
      </w:r>
    </w:p>
    <w:p w14:paraId="6210F50F" w14:textId="518E3E4E"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UNDP projekta: Poticanje energetske učinkovitosti u Republici Hrvatskoj</w:t>
      </w:r>
      <w:r w:rsidRPr="009C52C4">
        <w:rPr>
          <w:rStyle w:val="FootnoteReference"/>
          <w:rFonts w:ascii="Times New Roman" w:hAnsi="Times New Roman" w:cs="Times New Roman"/>
          <w:sz w:val="24"/>
          <w:szCs w:val="24"/>
        </w:rPr>
        <w:footnoteReference w:id="56"/>
      </w:r>
    </w:p>
    <w:p w14:paraId="3F963078" w14:textId="58F9259B"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Programa poticanja tehnologijskih istraživačko-razvojnih projekata – TEST</w:t>
      </w:r>
      <w:r w:rsidRPr="009C52C4">
        <w:rPr>
          <w:rFonts w:ascii="Times New Roman" w:hAnsi="Times New Roman" w:cs="Times New Roman"/>
          <w:sz w:val="24"/>
          <w:szCs w:val="24"/>
          <w:vertAlign w:val="superscript"/>
        </w:rPr>
        <w:footnoteReference w:id="57"/>
      </w:r>
    </w:p>
    <w:p w14:paraId="76AF7034" w14:textId="308B86B1" w:rsidR="00D9126F" w:rsidRPr="009C52C4" w:rsidRDefault="00AD38F0" w:rsidP="00D9126F">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Strateškog plana Ministarstva gospodarstva 2013.-2015.</w:t>
      </w:r>
      <w:r w:rsidRPr="009C52C4">
        <w:rPr>
          <w:rFonts w:ascii="Times New Roman" w:hAnsi="Times New Roman" w:cs="Times New Roman"/>
          <w:sz w:val="24"/>
          <w:szCs w:val="24"/>
          <w:vertAlign w:val="superscript"/>
        </w:rPr>
        <w:footnoteReference w:id="58"/>
      </w:r>
    </w:p>
    <w:p w14:paraId="437069B6" w14:textId="440A2045"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lastRenderedPageBreak/>
        <w:t>Akcijskog plana ulaganja u znanost i istraživanje Ministarstva znanosti i obrazovanja</w:t>
      </w:r>
      <w:r w:rsidRPr="009C52C4">
        <w:rPr>
          <w:rStyle w:val="FootnoteReference"/>
          <w:rFonts w:ascii="Times New Roman" w:hAnsi="Times New Roman" w:cs="Times New Roman"/>
          <w:sz w:val="24"/>
          <w:szCs w:val="24"/>
        </w:rPr>
        <w:footnoteReference w:id="59"/>
      </w:r>
    </w:p>
    <w:p w14:paraId="4A943778" w14:textId="73BAEE98" w:rsidR="00AD38F0" w:rsidRPr="009C52C4" w:rsidRDefault="00AD38F0" w:rsidP="004F09F1">
      <w:pPr>
        <w:numPr>
          <w:ilvl w:val="0"/>
          <w:numId w:val="41"/>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Poduzetničkog impulsa</w:t>
      </w:r>
      <w:r w:rsidRPr="009C52C4">
        <w:rPr>
          <w:rFonts w:ascii="Times New Roman" w:hAnsi="Times New Roman" w:cs="Times New Roman"/>
          <w:sz w:val="24"/>
          <w:szCs w:val="24"/>
          <w:vertAlign w:val="superscript"/>
        </w:rPr>
        <w:footnoteReference w:id="60"/>
      </w:r>
      <w:r w:rsidRPr="009C52C4">
        <w:rPr>
          <w:rFonts w:ascii="Times New Roman" w:hAnsi="Times New Roman" w:cs="Times New Roman"/>
          <w:sz w:val="24"/>
          <w:szCs w:val="24"/>
        </w:rPr>
        <w:t xml:space="preserve"> Ministarstva gospodarstva, poduzetništva i obrta</w:t>
      </w:r>
    </w:p>
    <w:p w14:paraId="3320D3F5" w14:textId="77777777" w:rsidR="00AD38F0" w:rsidRPr="009C52C4" w:rsidRDefault="00AD38F0" w:rsidP="00AD38F0">
      <w:pPr>
        <w:rPr>
          <w:rFonts w:ascii="Times New Roman" w:hAnsi="Times New Roman" w:cs="Times New Roman"/>
          <w:sz w:val="24"/>
          <w:szCs w:val="24"/>
        </w:rPr>
      </w:pPr>
    </w:p>
    <w:p w14:paraId="0D701DEC" w14:textId="1AC9801B"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Ministarstvo graditeljstava i prostornoga uređenja Republike Hrvatske (MGIPU) kontinuirano potiče i podržava istraživanje i razvoj novih energetski i ekološki prihvatljivih materijala i tehnika građenja kroz brojne nacionalne i međunarodne istraživačke i razvojne projekte od kojih treba spomenuti: CIP-EIP-Eco-Innovation 2011. projekt: Energy Efficient, Recycled Concrete Sandwich Facade Panel – ECO-SANDWICH</w:t>
      </w:r>
      <w:r w:rsidRPr="009C52C4">
        <w:rPr>
          <w:rFonts w:ascii="Times New Roman" w:hAnsi="Times New Roman" w:cs="Times New Roman"/>
          <w:sz w:val="24"/>
          <w:szCs w:val="24"/>
          <w:vertAlign w:val="superscript"/>
        </w:rPr>
        <w:footnoteReference w:id="61"/>
      </w:r>
      <w:r w:rsidRPr="009C52C4">
        <w:rPr>
          <w:rFonts w:ascii="Times New Roman" w:hAnsi="Times New Roman" w:cs="Times New Roman"/>
          <w:sz w:val="24"/>
          <w:szCs w:val="24"/>
        </w:rPr>
        <w:t>. ECO-SANDWICH projekt ima za cilj poticanje reciklaže i ponovnog korištenja građevinskog otpada, promoviranje zamjene konvencionalnih toplinsko izolacijskih materijala, promicanje primjene predgotovljenih energetski učinkovitih proizvoda te smanjenje utrošene energije u proizvodnji, emisije stakleničkih plinova i otpadnih nusprodukata iz proizvodnje i korištenja proizvoda. Horizon 2020</w:t>
      </w:r>
      <w:r w:rsidRPr="009C52C4">
        <w:rPr>
          <w:rFonts w:ascii="Times New Roman" w:hAnsi="Times New Roman" w:cs="Times New Roman"/>
          <w:sz w:val="24"/>
          <w:szCs w:val="24"/>
          <w:vertAlign w:val="superscript"/>
        </w:rPr>
        <w:footnoteReference w:id="62"/>
      </w:r>
      <w:r w:rsidRPr="009C52C4">
        <w:rPr>
          <w:rFonts w:ascii="Times New Roman" w:hAnsi="Times New Roman" w:cs="Times New Roman"/>
          <w:sz w:val="24"/>
          <w:szCs w:val="24"/>
        </w:rPr>
        <w:t xml:space="preserve"> projekt BUILD UPON</w:t>
      </w:r>
      <w:r w:rsidRPr="009C52C4">
        <w:rPr>
          <w:rFonts w:ascii="Times New Roman" w:hAnsi="Times New Roman" w:cs="Times New Roman"/>
          <w:sz w:val="24"/>
          <w:szCs w:val="24"/>
          <w:vertAlign w:val="superscript"/>
        </w:rPr>
        <w:footnoteReference w:id="63"/>
      </w:r>
      <w:r w:rsidRPr="009C52C4">
        <w:rPr>
          <w:rFonts w:ascii="Times New Roman" w:hAnsi="Times New Roman" w:cs="Times New Roman"/>
          <w:sz w:val="24"/>
          <w:szCs w:val="24"/>
        </w:rPr>
        <w:t xml:space="preserve"> je najveći svjetski projekt suradnje u području energetske obnove zgrada i povezuje više od 1.000 organizacija, iz 13 zemalja, na 80 događanja održanih tijekom 2016. </w:t>
      </w:r>
      <w:r w:rsidR="00A3770F" w:rsidRPr="009C52C4">
        <w:rPr>
          <w:rFonts w:ascii="Times New Roman" w:hAnsi="Times New Roman" w:cs="Times New Roman"/>
          <w:sz w:val="24"/>
          <w:szCs w:val="24"/>
        </w:rPr>
        <w:t>i</w:t>
      </w:r>
      <w:r w:rsidRPr="009C52C4">
        <w:rPr>
          <w:rFonts w:ascii="Times New Roman" w:hAnsi="Times New Roman" w:cs="Times New Roman"/>
          <w:sz w:val="24"/>
          <w:szCs w:val="24"/>
        </w:rPr>
        <w:t xml:space="preserve"> 2017. godine. Ima</w:t>
      </w:r>
      <w:r w:rsidR="00A3770F" w:rsidRPr="009C52C4">
        <w:rPr>
          <w:rFonts w:ascii="Times New Roman" w:hAnsi="Times New Roman" w:cs="Times New Roman"/>
          <w:sz w:val="24"/>
          <w:szCs w:val="24"/>
        </w:rPr>
        <w:t>o je</w:t>
      </w:r>
      <w:r w:rsidRPr="009C52C4">
        <w:rPr>
          <w:rFonts w:ascii="Times New Roman" w:hAnsi="Times New Roman" w:cs="Times New Roman"/>
          <w:sz w:val="24"/>
          <w:szCs w:val="24"/>
        </w:rPr>
        <w:t xml:space="preserve"> za cilj pokretanje revolucije obnove u cijeloj Europi, pomažući državama da isporuče strategije energetske obnove postojećih zgrada do 30. travnja 2017. godine. Ove strategije su kritične za smanjenje potrošnje energije u Europi, smanjenje utjecaja na klimatske promjene i stvaranje zgrada koje osiguravaju visoku kvalitetu života. U razdoblju do 2020. godine očekuje se provedba većeg broja projekata obnove zgrada u sklopu EU programa HORIZON 2020</w:t>
      </w:r>
      <w:r w:rsidRPr="009C52C4">
        <w:rPr>
          <w:rFonts w:ascii="Times New Roman" w:hAnsi="Times New Roman" w:cs="Times New Roman"/>
          <w:sz w:val="24"/>
          <w:szCs w:val="24"/>
          <w:vertAlign w:val="superscript"/>
        </w:rPr>
        <w:footnoteReference w:id="64"/>
      </w:r>
      <w:r w:rsidRPr="009C52C4">
        <w:rPr>
          <w:rFonts w:ascii="Times New Roman" w:hAnsi="Times New Roman" w:cs="Times New Roman"/>
          <w:sz w:val="24"/>
          <w:szCs w:val="24"/>
        </w:rPr>
        <w:t xml:space="preserve">. Jedan od važnih ciljeva programa HORIZON 2020 je upravo stjecanje potrebnih znanja i vještina svih dionika procesa energetski učinkovite obnove zgrada (vlasnika zgrada, projektanata, izvođača radova i krajnjih korisnika). </w:t>
      </w:r>
    </w:p>
    <w:p w14:paraId="213897E4" w14:textId="77777777" w:rsidR="00B122B4" w:rsidRPr="009C52C4" w:rsidRDefault="00F54CC3" w:rsidP="009A42E4">
      <w:pPr>
        <w:pStyle w:val="Heading3"/>
        <w:numPr>
          <w:ilvl w:val="2"/>
          <w:numId w:val="1"/>
        </w:numPr>
        <w:spacing w:before="200"/>
        <w:ind w:left="1083" w:hanging="720"/>
        <w:rPr>
          <w:rFonts w:ascii="Times New Roman" w:hAnsi="Times New Roman" w:cs="Times New Roman"/>
          <w:sz w:val="24"/>
          <w:szCs w:val="24"/>
        </w:rPr>
      </w:pPr>
      <w:bookmarkStart w:id="156" w:name="_Toc3277921"/>
      <w:r w:rsidRPr="009C52C4">
        <w:rPr>
          <w:rFonts w:ascii="Times New Roman" w:hAnsi="Times New Roman" w:cs="Times New Roman"/>
          <w:sz w:val="24"/>
          <w:szCs w:val="24"/>
        </w:rPr>
        <w:t>Provedba operativnih programa Republike Hrvatske za različite tipologije zgrada</w:t>
      </w:r>
      <w:bookmarkEnd w:id="156"/>
    </w:p>
    <w:p w14:paraId="1327BF4D" w14:textId="77777777" w:rsidR="00B122B4" w:rsidRPr="009C52C4" w:rsidRDefault="00B122B4">
      <w:pPr>
        <w:rPr>
          <w:rFonts w:ascii="Times New Roman" w:hAnsi="Times New Roman" w:cs="Times New Roman"/>
          <w:sz w:val="24"/>
          <w:szCs w:val="24"/>
        </w:rPr>
      </w:pPr>
    </w:p>
    <w:p w14:paraId="76E2ACA9" w14:textId="4AA39487" w:rsidR="00AD38F0" w:rsidRPr="009C52C4" w:rsidRDefault="00AD38F0" w:rsidP="00AD38F0">
      <w:pPr>
        <w:rPr>
          <w:rFonts w:ascii="Times New Roman" w:hAnsi="Times New Roman" w:cs="Times New Roman"/>
          <w:sz w:val="24"/>
          <w:szCs w:val="24"/>
        </w:rPr>
      </w:pPr>
      <w:bookmarkStart w:id="157" w:name="h.25b2l0r" w:colFirst="0" w:colLast="0"/>
      <w:bookmarkEnd w:id="157"/>
      <w:r w:rsidRPr="009C52C4">
        <w:rPr>
          <w:rFonts w:ascii="Times New Roman" w:hAnsi="Times New Roman" w:cs="Times New Roman"/>
          <w:sz w:val="24"/>
          <w:szCs w:val="24"/>
        </w:rPr>
        <w:t xml:space="preserve">Fond za zaštitu okoliša i energetsku učinkovitost (FZOEU), od svog pokretanja, 1. siječnja 2004. godine kroz brojne programe sufinanciranja iz područja održive gradnje kontinuirano i sustavno potiče energetsku obnovu zgrada.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_Ref483405402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4</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prikazuje kumulativne uštede alternativne mjere politike koje su ostvarene u </w:t>
      </w:r>
      <w:r w:rsidR="00D4611E" w:rsidRPr="009C52C4">
        <w:rPr>
          <w:rFonts w:ascii="Times New Roman" w:hAnsi="Times New Roman" w:cs="Times New Roman"/>
          <w:sz w:val="24"/>
          <w:szCs w:val="24"/>
        </w:rPr>
        <w:t>razdoblj</w:t>
      </w:r>
      <w:r w:rsidRPr="009C52C4">
        <w:rPr>
          <w:rFonts w:ascii="Times New Roman" w:hAnsi="Times New Roman" w:cs="Times New Roman"/>
          <w:sz w:val="24"/>
          <w:szCs w:val="24"/>
        </w:rPr>
        <w:t xml:space="preserve">u od 2014. do 2016. godine, odnosno u </w:t>
      </w:r>
      <w:r w:rsidR="00D4611E" w:rsidRPr="009C52C4">
        <w:rPr>
          <w:rFonts w:ascii="Times New Roman" w:hAnsi="Times New Roman" w:cs="Times New Roman"/>
          <w:sz w:val="24"/>
          <w:szCs w:val="24"/>
        </w:rPr>
        <w:t>razdoblj</w:t>
      </w:r>
      <w:r w:rsidRPr="009C52C4">
        <w:rPr>
          <w:rFonts w:ascii="Times New Roman" w:hAnsi="Times New Roman" w:cs="Times New Roman"/>
          <w:sz w:val="24"/>
          <w:szCs w:val="24"/>
        </w:rPr>
        <w:t xml:space="preserve">u nakon donošenja i usvajanja Dugoročne strategije za poticanje ulaganja u obnovu </w:t>
      </w:r>
      <w:r w:rsidR="00D11E23" w:rsidRPr="009C52C4">
        <w:rPr>
          <w:rFonts w:ascii="Times New Roman" w:hAnsi="Times New Roman" w:cs="Times New Roman"/>
          <w:sz w:val="24"/>
          <w:szCs w:val="24"/>
        </w:rPr>
        <w:t xml:space="preserve">nacionalnog </w:t>
      </w:r>
      <w:r w:rsidRPr="009C52C4">
        <w:rPr>
          <w:rFonts w:ascii="Times New Roman" w:hAnsi="Times New Roman" w:cs="Times New Roman"/>
          <w:sz w:val="24"/>
          <w:szCs w:val="24"/>
        </w:rPr>
        <w:t>fonda zgrada</w:t>
      </w:r>
      <w:r w:rsidR="00D11E23" w:rsidRPr="009C52C4">
        <w:rPr>
          <w:rFonts w:ascii="Times New Roman" w:hAnsi="Times New Roman" w:cs="Times New Roman"/>
          <w:sz w:val="24"/>
          <w:szCs w:val="24"/>
        </w:rPr>
        <w:t xml:space="preserve"> Republike Hrvatske</w:t>
      </w:r>
      <w:r w:rsidR="00A3770F" w:rsidRPr="009C52C4">
        <w:rPr>
          <w:rFonts w:ascii="Times New Roman" w:hAnsi="Times New Roman" w:cs="Times New Roman"/>
          <w:sz w:val="24"/>
          <w:szCs w:val="24"/>
        </w:rPr>
        <w:t xml:space="preserve"> iz 2014. godine</w:t>
      </w:r>
      <w:r w:rsidRPr="009C52C4">
        <w:rPr>
          <w:rFonts w:ascii="Times New Roman" w:hAnsi="Times New Roman" w:cs="Times New Roman"/>
          <w:sz w:val="24"/>
          <w:szCs w:val="24"/>
        </w:rPr>
        <w:t>, kroz natječaje Fonda za zaštitu okoliša i energetsku učinkovitost. Prikupljeni podaci o svim provedenim mjerama nalaze se u Sustavu za praćenje, mjerenje i verifikaciju ušteda energije (SMIV) u kojemu su izračunate uštede prema metodologiji odozdo prema gore.</w:t>
      </w:r>
    </w:p>
    <w:p w14:paraId="29DBDA6C" w14:textId="1BE0A64A" w:rsidR="00AD38F0" w:rsidRPr="009C52C4" w:rsidRDefault="009A42E4" w:rsidP="00A26C32">
      <w:pPr>
        <w:rPr>
          <w:rFonts w:ascii="Times New Roman" w:hAnsi="Times New Roman" w:cs="Times New Roman"/>
          <w:sz w:val="24"/>
          <w:szCs w:val="24"/>
        </w:rPr>
      </w:pPr>
      <w:r w:rsidRPr="009C52C4">
        <w:rPr>
          <w:rFonts w:ascii="Times New Roman" w:hAnsi="Times New Roman" w:cs="Times New Roman"/>
          <w:sz w:val="24"/>
          <w:szCs w:val="24"/>
        </w:rPr>
        <w:br w:type="page"/>
      </w:r>
      <w:bookmarkStart w:id="158" w:name="_Ref483405402"/>
      <w:bookmarkStart w:id="159" w:name="_Toc2681323"/>
      <w:r w:rsidR="00AD38F0"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58"/>
      <w:r w:rsidR="00AD38F0" w:rsidRPr="009C52C4">
        <w:rPr>
          <w:rFonts w:ascii="Times New Roman" w:hAnsi="Times New Roman" w:cs="Times New Roman"/>
          <w:b/>
          <w:sz w:val="24"/>
          <w:szCs w:val="24"/>
        </w:rPr>
        <w:t xml:space="preserve"> Kumulativne uštede alternativne mjere politike ostvarene u </w:t>
      </w:r>
      <w:r w:rsidR="00D4611E" w:rsidRPr="009C52C4">
        <w:rPr>
          <w:rFonts w:ascii="Times New Roman" w:hAnsi="Times New Roman" w:cs="Times New Roman"/>
          <w:b/>
          <w:sz w:val="24"/>
          <w:szCs w:val="24"/>
        </w:rPr>
        <w:t>razdoblj</w:t>
      </w:r>
      <w:r w:rsidR="00AD38F0" w:rsidRPr="009C52C4">
        <w:rPr>
          <w:rFonts w:ascii="Times New Roman" w:hAnsi="Times New Roman" w:cs="Times New Roman"/>
          <w:b/>
          <w:sz w:val="24"/>
          <w:szCs w:val="24"/>
        </w:rPr>
        <w:t>u od 2014. do 2016. godine</w:t>
      </w:r>
      <w:bookmarkEnd w:id="159"/>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8"/>
        <w:gridCol w:w="1372"/>
        <w:gridCol w:w="1235"/>
        <w:gridCol w:w="1509"/>
        <w:gridCol w:w="1610"/>
      </w:tblGrid>
      <w:tr w:rsidR="00AD38F0" w:rsidRPr="009C52C4" w14:paraId="658F08DA" w14:textId="77777777" w:rsidTr="00211D83">
        <w:trPr>
          <w:trHeight w:val="179"/>
        </w:trPr>
        <w:tc>
          <w:tcPr>
            <w:tcW w:w="3398" w:type="dxa"/>
            <w:shd w:val="clear" w:color="auto" w:fill="C2D69B" w:themeFill="accent3" w:themeFillTint="99"/>
            <w:vAlign w:val="center"/>
          </w:tcPr>
          <w:p w14:paraId="725726D7" w14:textId="77777777" w:rsidR="00AD38F0" w:rsidRPr="009C52C4" w:rsidRDefault="00AD38F0" w:rsidP="009A42E4">
            <w:pPr>
              <w:jc w:val="left"/>
              <w:rPr>
                <w:rFonts w:ascii="Times New Roman" w:hAnsi="Times New Roman" w:cs="Times New Roman"/>
                <w:b/>
                <w:sz w:val="24"/>
                <w:szCs w:val="24"/>
              </w:rPr>
            </w:pPr>
            <w:r w:rsidRPr="009C52C4">
              <w:rPr>
                <w:rFonts w:ascii="Times New Roman" w:hAnsi="Times New Roman" w:cs="Times New Roman"/>
                <w:b/>
                <w:sz w:val="24"/>
                <w:szCs w:val="24"/>
              </w:rPr>
              <w:t xml:space="preserve">Naziv mjere </w:t>
            </w:r>
          </w:p>
        </w:tc>
        <w:tc>
          <w:tcPr>
            <w:tcW w:w="1372" w:type="dxa"/>
            <w:shd w:val="clear" w:color="auto" w:fill="C2D69B" w:themeFill="accent3" w:themeFillTint="99"/>
            <w:vAlign w:val="center"/>
          </w:tcPr>
          <w:p w14:paraId="1479FC7F" w14:textId="77777777" w:rsidR="00AD38F0" w:rsidRPr="009C52C4" w:rsidRDefault="00AD38F0" w:rsidP="009A42E4">
            <w:pPr>
              <w:jc w:val="left"/>
              <w:rPr>
                <w:rFonts w:ascii="Times New Roman" w:hAnsi="Times New Roman" w:cs="Times New Roman"/>
                <w:b/>
                <w:sz w:val="24"/>
                <w:szCs w:val="24"/>
              </w:rPr>
            </w:pPr>
            <w:r w:rsidRPr="009C52C4">
              <w:rPr>
                <w:rFonts w:ascii="Times New Roman" w:hAnsi="Times New Roman" w:cs="Times New Roman"/>
                <w:b/>
                <w:sz w:val="24"/>
                <w:szCs w:val="24"/>
              </w:rPr>
              <w:t>Ušteda [PJ]</w:t>
            </w:r>
          </w:p>
        </w:tc>
        <w:tc>
          <w:tcPr>
            <w:tcW w:w="1235" w:type="dxa"/>
            <w:shd w:val="clear" w:color="auto" w:fill="C2D69B" w:themeFill="accent3" w:themeFillTint="99"/>
            <w:vAlign w:val="center"/>
          </w:tcPr>
          <w:p w14:paraId="26D84751" w14:textId="77777777" w:rsidR="00AD38F0" w:rsidRPr="009C52C4" w:rsidRDefault="00AD38F0" w:rsidP="009A42E4">
            <w:pPr>
              <w:jc w:val="left"/>
              <w:rPr>
                <w:rFonts w:ascii="Times New Roman" w:hAnsi="Times New Roman" w:cs="Times New Roman"/>
                <w:b/>
                <w:sz w:val="24"/>
                <w:szCs w:val="24"/>
              </w:rPr>
            </w:pPr>
            <w:r w:rsidRPr="009C52C4">
              <w:rPr>
                <w:rFonts w:ascii="Times New Roman" w:hAnsi="Times New Roman" w:cs="Times New Roman"/>
                <w:b/>
                <w:sz w:val="24"/>
                <w:szCs w:val="24"/>
              </w:rPr>
              <w:t>Ušteda [tCO</w:t>
            </w:r>
            <w:r w:rsidRPr="009C52C4">
              <w:rPr>
                <w:rFonts w:ascii="Times New Roman" w:hAnsi="Times New Roman" w:cs="Times New Roman"/>
                <w:b/>
                <w:sz w:val="24"/>
                <w:szCs w:val="24"/>
                <w:vertAlign w:val="subscript"/>
              </w:rPr>
              <w:t>2</w:t>
            </w:r>
            <w:r w:rsidRPr="009C52C4">
              <w:rPr>
                <w:rFonts w:ascii="Times New Roman" w:hAnsi="Times New Roman" w:cs="Times New Roman"/>
                <w:b/>
                <w:sz w:val="24"/>
                <w:szCs w:val="24"/>
              </w:rPr>
              <w:t>]</w:t>
            </w:r>
          </w:p>
        </w:tc>
        <w:tc>
          <w:tcPr>
            <w:tcW w:w="1509" w:type="dxa"/>
            <w:shd w:val="clear" w:color="auto" w:fill="C2D69B" w:themeFill="accent3" w:themeFillTint="99"/>
            <w:vAlign w:val="center"/>
          </w:tcPr>
          <w:p w14:paraId="5234A439" w14:textId="77777777" w:rsidR="00AD38F0" w:rsidRPr="009C52C4" w:rsidRDefault="00AD38F0" w:rsidP="009A42E4">
            <w:pPr>
              <w:jc w:val="left"/>
              <w:rPr>
                <w:rFonts w:ascii="Times New Roman" w:hAnsi="Times New Roman" w:cs="Times New Roman"/>
                <w:b/>
                <w:sz w:val="24"/>
                <w:szCs w:val="24"/>
              </w:rPr>
            </w:pPr>
            <w:r w:rsidRPr="009C52C4">
              <w:rPr>
                <w:rFonts w:ascii="Times New Roman" w:hAnsi="Times New Roman" w:cs="Times New Roman"/>
                <w:b/>
                <w:sz w:val="24"/>
                <w:szCs w:val="24"/>
              </w:rPr>
              <w:t>Ukupni iznos investicije [</w:t>
            </w:r>
            <w:r w:rsidR="009A42E4" w:rsidRPr="009C52C4">
              <w:rPr>
                <w:rFonts w:ascii="Times New Roman" w:hAnsi="Times New Roman" w:cs="Times New Roman"/>
                <w:b/>
                <w:sz w:val="24"/>
                <w:szCs w:val="24"/>
              </w:rPr>
              <w:t>HRK</w:t>
            </w:r>
            <w:r w:rsidRPr="009C52C4">
              <w:rPr>
                <w:rFonts w:ascii="Times New Roman" w:hAnsi="Times New Roman" w:cs="Times New Roman"/>
                <w:b/>
                <w:sz w:val="24"/>
                <w:szCs w:val="24"/>
              </w:rPr>
              <w:t xml:space="preserve">] </w:t>
            </w:r>
          </w:p>
        </w:tc>
        <w:tc>
          <w:tcPr>
            <w:tcW w:w="1608" w:type="dxa"/>
            <w:shd w:val="clear" w:color="auto" w:fill="C2D69B" w:themeFill="accent3" w:themeFillTint="99"/>
            <w:vAlign w:val="center"/>
          </w:tcPr>
          <w:p w14:paraId="488D0895" w14:textId="5D1B9298" w:rsidR="00AD38F0" w:rsidRPr="009C52C4" w:rsidRDefault="00AD38F0" w:rsidP="009A42E4">
            <w:pPr>
              <w:jc w:val="left"/>
              <w:rPr>
                <w:rFonts w:ascii="Times New Roman" w:hAnsi="Times New Roman" w:cs="Times New Roman"/>
                <w:b/>
                <w:sz w:val="24"/>
                <w:szCs w:val="24"/>
              </w:rPr>
            </w:pPr>
            <w:r w:rsidRPr="009C52C4">
              <w:rPr>
                <w:rFonts w:ascii="Times New Roman" w:hAnsi="Times New Roman" w:cs="Times New Roman"/>
                <w:b/>
                <w:sz w:val="24"/>
                <w:szCs w:val="24"/>
              </w:rPr>
              <w:t>Ukupno isplaćena sredstva F</w:t>
            </w:r>
            <w:r w:rsidR="00A3770F" w:rsidRPr="009C52C4">
              <w:rPr>
                <w:rFonts w:ascii="Times New Roman" w:hAnsi="Times New Roman" w:cs="Times New Roman"/>
                <w:b/>
                <w:sz w:val="24"/>
                <w:szCs w:val="24"/>
              </w:rPr>
              <w:t xml:space="preserve">ZOEU </w:t>
            </w:r>
            <w:r w:rsidRPr="009C52C4">
              <w:rPr>
                <w:rFonts w:ascii="Times New Roman" w:hAnsi="Times New Roman" w:cs="Times New Roman"/>
                <w:b/>
                <w:sz w:val="24"/>
                <w:szCs w:val="24"/>
              </w:rPr>
              <w:t>[</w:t>
            </w:r>
            <w:r w:rsidR="009A42E4" w:rsidRPr="009C52C4">
              <w:rPr>
                <w:rFonts w:ascii="Times New Roman" w:hAnsi="Times New Roman" w:cs="Times New Roman"/>
                <w:b/>
                <w:sz w:val="24"/>
                <w:szCs w:val="24"/>
              </w:rPr>
              <w:t>HRK</w:t>
            </w:r>
            <w:r w:rsidRPr="009C52C4">
              <w:rPr>
                <w:rFonts w:ascii="Times New Roman" w:hAnsi="Times New Roman" w:cs="Times New Roman"/>
                <w:b/>
                <w:sz w:val="24"/>
                <w:szCs w:val="24"/>
              </w:rPr>
              <w:t xml:space="preserve">] </w:t>
            </w:r>
          </w:p>
        </w:tc>
      </w:tr>
      <w:tr w:rsidR="00AD38F0" w:rsidRPr="009C52C4" w14:paraId="104A81BB" w14:textId="77777777" w:rsidTr="00211D83">
        <w:trPr>
          <w:trHeight w:val="78"/>
        </w:trPr>
        <w:tc>
          <w:tcPr>
            <w:tcW w:w="9124" w:type="dxa"/>
            <w:gridSpan w:val="5"/>
            <w:tcBorders>
              <w:bottom w:val="single" w:sz="4" w:space="0" w:color="auto"/>
            </w:tcBorders>
            <w:shd w:val="clear" w:color="auto" w:fill="C2D69B" w:themeFill="accent3" w:themeFillTint="99"/>
          </w:tcPr>
          <w:p w14:paraId="3B539366" w14:textId="77777777" w:rsidR="00AD38F0" w:rsidRPr="009C52C4" w:rsidRDefault="00AD38F0" w:rsidP="00AD38F0">
            <w:pPr>
              <w:rPr>
                <w:rFonts w:ascii="Times New Roman" w:hAnsi="Times New Roman" w:cs="Times New Roman"/>
                <w:b/>
                <w:sz w:val="24"/>
                <w:szCs w:val="24"/>
              </w:rPr>
            </w:pPr>
            <w:r w:rsidRPr="009C52C4">
              <w:rPr>
                <w:rFonts w:ascii="Times New Roman" w:hAnsi="Times New Roman" w:cs="Times New Roman"/>
                <w:b/>
                <w:sz w:val="24"/>
                <w:szCs w:val="24"/>
              </w:rPr>
              <w:t xml:space="preserve">STAMBENE ZGRADE </w:t>
            </w:r>
          </w:p>
        </w:tc>
      </w:tr>
      <w:tr w:rsidR="00AD38F0" w:rsidRPr="009C52C4" w14:paraId="0B47BEC7" w14:textId="77777777" w:rsidTr="00211D83">
        <w:trPr>
          <w:trHeight w:val="175"/>
        </w:trPr>
        <w:tc>
          <w:tcPr>
            <w:tcW w:w="3398" w:type="dxa"/>
            <w:shd w:val="clear" w:color="auto" w:fill="EAF1DD" w:themeFill="accent3" w:themeFillTint="33"/>
          </w:tcPr>
          <w:p w14:paraId="155F95F6"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 energetske obnove obiteljskih kuća 2014. - 2016. </w:t>
            </w:r>
          </w:p>
        </w:tc>
        <w:tc>
          <w:tcPr>
            <w:tcW w:w="1372" w:type="dxa"/>
            <w:shd w:val="clear" w:color="auto" w:fill="EAF1DD" w:themeFill="accent3" w:themeFillTint="33"/>
            <w:vAlign w:val="center"/>
          </w:tcPr>
          <w:p w14:paraId="0F08CC98"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1,10438</w:t>
            </w:r>
          </w:p>
        </w:tc>
        <w:tc>
          <w:tcPr>
            <w:tcW w:w="1235" w:type="dxa"/>
            <w:shd w:val="clear" w:color="auto" w:fill="EAF1DD" w:themeFill="accent3" w:themeFillTint="33"/>
            <w:vAlign w:val="center"/>
          </w:tcPr>
          <w:p w14:paraId="5F9DAEF8"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53.709,00</w:t>
            </w:r>
          </w:p>
        </w:tc>
        <w:tc>
          <w:tcPr>
            <w:tcW w:w="1509" w:type="dxa"/>
            <w:shd w:val="clear" w:color="auto" w:fill="EAF1DD" w:themeFill="accent3" w:themeFillTint="33"/>
            <w:vAlign w:val="center"/>
          </w:tcPr>
          <w:p w14:paraId="3F4E526F"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778.492.028,45</w:t>
            </w:r>
          </w:p>
        </w:tc>
        <w:tc>
          <w:tcPr>
            <w:tcW w:w="1608" w:type="dxa"/>
            <w:shd w:val="clear" w:color="auto" w:fill="EAF1DD" w:themeFill="accent3" w:themeFillTint="33"/>
            <w:vAlign w:val="center"/>
          </w:tcPr>
          <w:p w14:paraId="3ABD4D35"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487.329.822,20</w:t>
            </w:r>
          </w:p>
        </w:tc>
      </w:tr>
      <w:tr w:rsidR="00AD38F0" w:rsidRPr="009C52C4" w14:paraId="72DF639F" w14:textId="77777777" w:rsidTr="00211D83">
        <w:trPr>
          <w:trHeight w:val="114"/>
        </w:trPr>
        <w:tc>
          <w:tcPr>
            <w:tcW w:w="3398" w:type="dxa"/>
            <w:shd w:val="clear" w:color="auto" w:fill="EAF1DD" w:themeFill="accent3" w:themeFillTint="33"/>
          </w:tcPr>
          <w:p w14:paraId="5A6E8792"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 energetske obnove višestambenih zgrada </w:t>
            </w:r>
          </w:p>
        </w:tc>
        <w:tc>
          <w:tcPr>
            <w:tcW w:w="1372" w:type="dxa"/>
            <w:shd w:val="clear" w:color="auto" w:fill="EAF1DD" w:themeFill="accent3" w:themeFillTint="33"/>
            <w:vAlign w:val="center"/>
          </w:tcPr>
          <w:p w14:paraId="5D53DD7B"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0,25131</w:t>
            </w:r>
          </w:p>
        </w:tc>
        <w:tc>
          <w:tcPr>
            <w:tcW w:w="1235" w:type="dxa"/>
            <w:shd w:val="clear" w:color="auto" w:fill="EAF1DD" w:themeFill="accent3" w:themeFillTint="33"/>
            <w:vAlign w:val="center"/>
          </w:tcPr>
          <w:p w14:paraId="756491AB"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19.825,03</w:t>
            </w:r>
          </w:p>
        </w:tc>
        <w:tc>
          <w:tcPr>
            <w:tcW w:w="1509" w:type="dxa"/>
            <w:shd w:val="clear" w:color="auto" w:fill="EAF1DD" w:themeFill="accent3" w:themeFillTint="33"/>
            <w:vAlign w:val="center"/>
          </w:tcPr>
          <w:p w14:paraId="2E355318"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154.535.990,29</w:t>
            </w:r>
          </w:p>
        </w:tc>
        <w:tc>
          <w:tcPr>
            <w:tcW w:w="1608" w:type="dxa"/>
            <w:shd w:val="clear" w:color="auto" w:fill="EAF1DD" w:themeFill="accent3" w:themeFillTint="33"/>
            <w:vAlign w:val="center"/>
          </w:tcPr>
          <w:p w14:paraId="4EC190DE"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61.997.642,77</w:t>
            </w:r>
          </w:p>
        </w:tc>
      </w:tr>
      <w:tr w:rsidR="00AD38F0" w:rsidRPr="009C52C4" w14:paraId="4387B3A1" w14:textId="77777777" w:rsidTr="00211D83">
        <w:trPr>
          <w:trHeight w:val="175"/>
        </w:trPr>
        <w:tc>
          <w:tcPr>
            <w:tcW w:w="3398" w:type="dxa"/>
            <w:tcBorders>
              <w:bottom w:val="single" w:sz="4" w:space="0" w:color="auto"/>
            </w:tcBorders>
            <w:shd w:val="clear" w:color="auto" w:fill="EAF1DD" w:themeFill="accent3" w:themeFillTint="33"/>
          </w:tcPr>
          <w:p w14:paraId="7EFDB5D5"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Uvođenje sustava individualnog mjerenja potrošnje toplinske energije </w:t>
            </w:r>
          </w:p>
        </w:tc>
        <w:tc>
          <w:tcPr>
            <w:tcW w:w="1372" w:type="dxa"/>
            <w:tcBorders>
              <w:bottom w:val="single" w:sz="4" w:space="0" w:color="auto"/>
            </w:tcBorders>
            <w:shd w:val="clear" w:color="auto" w:fill="EAF1DD" w:themeFill="accent3" w:themeFillTint="33"/>
            <w:vAlign w:val="center"/>
          </w:tcPr>
          <w:p w14:paraId="66359BF2"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0,51337</w:t>
            </w:r>
          </w:p>
        </w:tc>
        <w:tc>
          <w:tcPr>
            <w:tcW w:w="1235" w:type="dxa"/>
            <w:tcBorders>
              <w:bottom w:val="single" w:sz="4" w:space="0" w:color="auto"/>
            </w:tcBorders>
            <w:shd w:val="clear" w:color="auto" w:fill="EAF1DD" w:themeFill="accent3" w:themeFillTint="33"/>
            <w:vAlign w:val="center"/>
          </w:tcPr>
          <w:p w14:paraId="31AC7E96"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42.331,63</w:t>
            </w:r>
          </w:p>
        </w:tc>
        <w:tc>
          <w:tcPr>
            <w:tcW w:w="1509" w:type="dxa"/>
            <w:tcBorders>
              <w:bottom w:val="single" w:sz="4" w:space="0" w:color="auto"/>
            </w:tcBorders>
            <w:shd w:val="clear" w:color="auto" w:fill="EAF1DD" w:themeFill="accent3" w:themeFillTint="33"/>
            <w:vAlign w:val="center"/>
          </w:tcPr>
          <w:p w14:paraId="41811B01"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116.930.071,23</w:t>
            </w:r>
          </w:p>
        </w:tc>
        <w:tc>
          <w:tcPr>
            <w:tcW w:w="1608" w:type="dxa"/>
            <w:tcBorders>
              <w:bottom w:val="single" w:sz="4" w:space="0" w:color="auto"/>
            </w:tcBorders>
            <w:shd w:val="clear" w:color="auto" w:fill="EAF1DD" w:themeFill="accent3" w:themeFillTint="33"/>
            <w:vAlign w:val="center"/>
          </w:tcPr>
          <w:p w14:paraId="10F5DF64"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46.313.643,72</w:t>
            </w:r>
          </w:p>
        </w:tc>
      </w:tr>
      <w:tr w:rsidR="00AD38F0" w:rsidRPr="009C52C4" w14:paraId="351A936A" w14:textId="77777777" w:rsidTr="00211D83">
        <w:trPr>
          <w:trHeight w:val="78"/>
        </w:trPr>
        <w:tc>
          <w:tcPr>
            <w:tcW w:w="9124" w:type="dxa"/>
            <w:gridSpan w:val="5"/>
            <w:tcBorders>
              <w:bottom w:val="single" w:sz="4" w:space="0" w:color="auto"/>
            </w:tcBorders>
            <w:shd w:val="clear" w:color="auto" w:fill="C2D69B" w:themeFill="accent3" w:themeFillTint="99"/>
          </w:tcPr>
          <w:p w14:paraId="4802F916" w14:textId="77777777" w:rsidR="00AD38F0" w:rsidRPr="009C52C4" w:rsidRDefault="00AD38F0" w:rsidP="00AD38F0">
            <w:pPr>
              <w:rPr>
                <w:rFonts w:ascii="Times New Roman" w:hAnsi="Times New Roman" w:cs="Times New Roman"/>
                <w:b/>
                <w:sz w:val="24"/>
                <w:szCs w:val="24"/>
              </w:rPr>
            </w:pPr>
            <w:r w:rsidRPr="009C52C4">
              <w:rPr>
                <w:rFonts w:ascii="Times New Roman" w:hAnsi="Times New Roman" w:cs="Times New Roman"/>
                <w:b/>
                <w:sz w:val="24"/>
                <w:szCs w:val="24"/>
              </w:rPr>
              <w:t xml:space="preserve">ZGRADE JAVNOG SEKTORA </w:t>
            </w:r>
          </w:p>
        </w:tc>
      </w:tr>
      <w:tr w:rsidR="00AD38F0" w:rsidRPr="009C52C4" w14:paraId="0CDBE7C2" w14:textId="77777777" w:rsidTr="00211D83">
        <w:trPr>
          <w:trHeight w:val="175"/>
        </w:trPr>
        <w:tc>
          <w:tcPr>
            <w:tcW w:w="3398" w:type="dxa"/>
            <w:shd w:val="clear" w:color="auto" w:fill="EAF1DD" w:themeFill="accent3" w:themeFillTint="33"/>
          </w:tcPr>
          <w:p w14:paraId="57961BDA"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 energetske obnove zgrada javnog sektora (2014. -2015.) </w:t>
            </w:r>
          </w:p>
        </w:tc>
        <w:tc>
          <w:tcPr>
            <w:tcW w:w="1372" w:type="dxa"/>
            <w:shd w:val="clear" w:color="auto" w:fill="EAF1DD" w:themeFill="accent3" w:themeFillTint="33"/>
            <w:vAlign w:val="center"/>
          </w:tcPr>
          <w:p w14:paraId="34B76BF0"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0,30125</w:t>
            </w:r>
          </w:p>
        </w:tc>
        <w:tc>
          <w:tcPr>
            <w:tcW w:w="1235" w:type="dxa"/>
            <w:shd w:val="clear" w:color="auto" w:fill="EAF1DD" w:themeFill="accent3" w:themeFillTint="33"/>
            <w:vAlign w:val="center"/>
          </w:tcPr>
          <w:p w14:paraId="7BB4A5AF"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22.388,49</w:t>
            </w:r>
          </w:p>
        </w:tc>
        <w:tc>
          <w:tcPr>
            <w:tcW w:w="1509" w:type="dxa"/>
            <w:shd w:val="clear" w:color="auto" w:fill="EAF1DD" w:themeFill="accent3" w:themeFillTint="33"/>
            <w:vAlign w:val="center"/>
          </w:tcPr>
          <w:p w14:paraId="5C45200F"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344.258.164,79</w:t>
            </w:r>
          </w:p>
        </w:tc>
        <w:tc>
          <w:tcPr>
            <w:tcW w:w="1608" w:type="dxa"/>
            <w:shd w:val="clear" w:color="auto" w:fill="EAF1DD" w:themeFill="accent3" w:themeFillTint="33"/>
            <w:vAlign w:val="center"/>
          </w:tcPr>
          <w:p w14:paraId="62EBD875"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155.309.742,45</w:t>
            </w:r>
          </w:p>
        </w:tc>
      </w:tr>
      <w:tr w:rsidR="00AD38F0" w:rsidRPr="009C52C4" w14:paraId="1C33A088" w14:textId="77777777" w:rsidTr="00211D83">
        <w:trPr>
          <w:trHeight w:val="179"/>
        </w:trPr>
        <w:tc>
          <w:tcPr>
            <w:tcW w:w="3398" w:type="dxa"/>
            <w:tcBorders>
              <w:bottom w:val="single" w:sz="4" w:space="0" w:color="auto"/>
            </w:tcBorders>
            <w:shd w:val="clear" w:color="auto" w:fill="EAF1DD" w:themeFill="accent3" w:themeFillTint="33"/>
          </w:tcPr>
          <w:p w14:paraId="6B56BC7D"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 energetske obnove zgrada javnog sektora (2016. -2020.) </w:t>
            </w:r>
          </w:p>
        </w:tc>
        <w:tc>
          <w:tcPr>
            <w:tcW w:w="1372" w:type="dxa"/>
            <w:tcBorders>
              <w:bottom w:val="single" w:sz="4" w:space="0" w:color="auto"/>
            </w:tcBorders>
            <w:shd w:val="clear" w:color="auto" w:fill="EAF1DD" w:themeFill="accent3" w:themeFillTint="33"/>
            <w:vAlign w:val="center"/>
          </w:tcPr>
          <w:p w14:paraId="7989FE65"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w:t>
            </w:r>
          </w:p>
        </w:tc>
        <w:tc>
          <w:tcPr>
            <w:tcW w:w="1235" w:type="dxa"/>
            <w:tcBorders>
              <w:bottom w:val="single" w:sz="4" w:space="0" w:color="auto"/>
            </w:tcBorders>
            <w:shd w:val="clear" w:color="auto" w:fill="EAF1DD" w:themeFill="accent3" w:themeFillTint="33"/>
            <w:vAlign w:val="center"/>
          </w:tcPr>
          <w:p w14:paraId="3DF1539D"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0,00</w:t>
            </w:r>
          </w:p>
        </w:tc>
        <w:tc>
          <w:tcPr>
            <w:tcW w:w="1509" w:type="dxa"/>
            <w:tcBorders>
              <w:bottom w:val="single" w:sz="4" w:space="0" w:color="auto"/>
            </w:tcBorders>
            <w:shd w:val="clear" w:color="auto" w:fill="EAF1DD" w:themeFill="accent3" w:themeFillTint="33"/>
            <w:vAlign w:val="center"/>
          </w:tcPr>
          <w:p w14:paraId="6E218FA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0,00</w:t>
            </w:r>
          </w:p>
        </w:tc>
        <w:tc>
          <w:tcPr>
            <w:tcW w:w="1608" w:type="dxa"/>
            <w:tcBorders>
              <w:bottom w:val="single" w:sz="4" w:space="0" w:color="auto"/>
            </w:tcBorders>
            <w:shd w:val="clear" w:color="auto" w:fill="EAF1DD" w:themeFill="accent3" w:themeFillTint="33"/>
            <w:vAlign w:val="center"/>
          </w:tcPr>
          <w:p w14:paraId="1891609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w:t>
            </w:r>
          </w:p>
        </w:tc>
      </w:tr>
      <w:tr w:rsidR="00AD38F0" w:rsidRPr="009C52C4" w14:paraId="0143AEBC" w14:textId="77777777" w:rsidTr="00211D83">
        <w:trPr>
          <w:trHeight w:val="78"/>
        </w:trPr>
        <w:tc>
          <w:tcPr>
            <w:tcW w:w="9124" w:type="dxa"/>
            <w:gridSpan w:val="5"/>
            <w:tcBorders>
              <w:bottom w:val="single" w:sz="4" w:space="0" w:color="auto"/>
            </w:tcBorders>
            <w:shd w:val="clear" w:color="auto" w:fill="C2D69B" w:themeFill="accent3" w:themeFillTint="99"/>
          </w:tcPr>
          <w:p w14:paraId="03A237CF" w14:textId="77777777" w:rsidR="00AD38F0" w:rsidRPr="009C52C4" w:rsidRDefault="00AD38F0" w:rsidP="00AD38F0">
            <w:pPr>
              <w:rPr>
                <w:rFonts w:ascii="Times New Roman" w:hAnsi="Times New Roman" w:cs="Times New Roman"/>
                <w:b/>
                <w:sz w:val="24"/>
                <w:szCs w:val="24"/>
              </w:rPr>
            </w:pPr>
            <w:r w:rsidRPr="009C52C4">
              <w:rPr>
                <w:rFonts w:ascii="Times New Roman" w:hAnsi="Times New Roman" w:cs="Times New Roman"/>
                <w:b/>
                <w:sz w:val="24"/>
                <w:szCs w:val="24"/>
              </w:rPr>
              <w:t xml:space="preserve">KOMERCIJALNE NESTAMBENE ZGRADE </w:t>
            </w:r>
          </w:p>
        </w:tc>
      </w:tr>
      <w:tr w:rsidR="00AD38F0" w:rsidRPr="009C52C4" w14:paraId="4A127C20" w14:textId="77777777" w:rsidTr="00211D83">
        <w:trPr>
          <w:trHeight w:val="179"/>
        </w:trPr>
        <w:tc>
          <w:tcPr>
            <w:tcW w:w="3398" w:type="dxa"/>
            <w:tcBorders>
              <w:bottom w:val="single" w:sz="4" w:space="0" w:color="auto"/>
            </w:tcBorders>
            <w:shd w:val="clear" w:color="auto" w:fill="EAF1DD" w:themeFill="accent3" w:themeFillTint="33"/>
          </w:tcPr>
          <w:p w14:paraId="1C930E0F"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Program energetske obnove komercijalnih nestambenih zgrada </w:t>
            </w:r>
          </w:p>
        </w:tc>
        <w:tc>
          <w:tcPr>
            <w:tcW w:w="1372" w:type="dxa"/>
            <w:tcBorders>
              <w:bottom w:val="single" w:sz="4" w:space="0" w:color="auto"/>
            </w:tcBorders>
            <w:shd w:val="clear" w:color="auto" w:fill="EAF1DD" w:themeFill="accent3" w:themeFillTint="33"/>
            <w:vAlign w:val="center"/>
          </w:tcPr>
          <w:p w14:paraId="508F0BEC"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0,07073</w:t>
            </w:r>
          </w:p>
        </w:tc>
        <w:tc>
          <w:tcPr>
            <w:tcW w:w="1235" w:type="dxa"/>
            <w:tcBorders>
              <w:bottom w:val="single" w:sz="4" w:space="0" w:color="auto"/>
            </w:tcBorders>
            <w:shd w:val="clear" w:color="auto" w:fill="EAF1DD" w:themeFill="accent3" w:themeFillTint="33"/>
            <w:vAlign w:val="center"/>
          </w:tcPr>
          <w:p w14:paraId="1AC9441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5.388,05</w:t>
            </w:r>
          </w:p>
        </w:tc>
        <w:tc>
          <w:tcPr>
            <w:tcW w:w="1509" w:type="dxa"/>
            <w:tcBorders>
              <w:bottom w:val="single" w:sz="4" w:space="0" w:color="auto"/>
            </w:tcBorders>
            <w:shd w:val="clear" w:color="auto" w:fill="EAF1DD" w:themeFill="accent3" w:themeFillTint="33"/>
            <w:vAlign w:val="center"/>
          </w:tcPr>
          <w:p w14:paraId="36464FB2"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49.781.776,24</w:t>
            </w:r>
          </w:p>
        </w:tc>
        <w:tc>
          <w:tcPr>
            <w:tcW w:w="1608" w:type="dxa"/>
            <w:tcBorders>
              <w:bottom w:val="single" w:sz="4" w:space="0" w:color="auto"/>
            </w:tcBorders>
            <w:shd w:val="clear" w:color="auto" w:fill="EAF1DD" w:themeFill="accent3" w:themeFillTint="33"/>
            <w:vAlign w:val="center"/>
          </w:tcPr>
          <w:p w14:paraId="426C269F"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20.279.641,08</w:t>
            </w:r>
          </w:p>
        </w:tc>
      </w:tr>
      <w:tr w:rsidR="00AD38F0" w:rsidRPr="009C52C4" w14:paraId="616B3005" w14:textId="77777777" w:rsidTr="00211D83">
        <w:trPr>
          <w:trHeight w:val="78"/>
        </w:trPr>
        <w:tc>
          <w:tcPr>
            <w:tcW w:w="9124" w:type="dxa"/>
            <w:gridSpan w:val="5"/>
            <w:tcBorders>
              <w:bottom w:val="single" w:sz="4" w:space="0" w:color="auto"/>
            </w:tcBorders>
            <w:shd w:val="clear" w:color="auto" w:fill="C2D69B" w:themeFill="accent3" w:themeFillTint="99"/>
          </w:tcPr>
          <w:p w14:paraId="4230B3B6" w14:textId="77777777" w:rsidR="00AD38F0" w:rsidRPr="009C52C4" w:rsidRDefault="00AD38F0" w:rsidP="00AD38F0">
            <w:pPr>
              <w:rPr>
                <w:rFonts w:ascii="Times New Roman" w:hAnsi="Times New Roman" w:cs="Times New Roman"/>
                <w:b/>
                <w:sz w:val="24"/>
                <w:szCs w:val="24"/>
              </w:rPr>
            </w:pPr>
            <w:r w:rsidRPr="009C52C4">
              <w:rPr>
                <w:rFonts w:ascii="Times New Roman" w:hAnsi="Times New Roman" w:cs="Times New Roman"/>
                <w:b/>
                <w:sz w:val="24"/>
                <w:szCs w:val="24"/>
              </w:rPr>
              <w:t xml:space="preserve">JAVNA RASVJETA </w:t>
            </w:r>
          </w:p>
        </w:tc>
      </w:tr>
      <w:tr w:rsidR="00AD38F0" w:rsidRPr="009C52C4" w14:paraId="6508B8DC" w14:textId="77777777" w:rsidTr="00211D83">
        <w:trPr>
          <w:trHeight w:val="113"/>
        </w:trPr>
        <w:tc>
          <w:tcPr>
            <w:tcW w:w="3398" w:type="dxa"/>
            <w:tcBorders>
              <w:bottom w:val="single" w:sz="4" w:space="0" w:color="auto"/>
            </w:tcBorders>
            <w:shd w:val="clear" w:color="auto" w:fill="EAF1DD" w:themeFill="accent3" w:themeFillTint="33"/>
          </w:tcPr>
          <w:p w14:paraId="681E2706" w14:textId="2C6F4BF9"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Program „Energetski učinkovita javna rasvjeta</w:t>
            </w:r>
            <w:r w:rsidR="00A3770F" w:rsidRPr="009C52C4">
              <w:rPr>
                <w:rFonts w:ascii="Times New Roman" w:hAnsi="Times New Roman" w:cs="Times New Roman"/>
                <w:sz w:val="24"/>
                <w:szCs w:val="24"/>
              </w:rPr>
              <w:t>“</w:t>
            </w:r>
            <w:r w:rsidRPr="009C52C4">
              <w:rPr>
                <w:rFonts w:ascii="Times New Roman" w:hAnsi="Times New Roman" w:cs="Times New Roman"/>
                <w:sz w:val="24"/>
                <w:szCs w:val="24"/>
              </w:rPr>
              <w:t xml:space="preserve"> </w:t>
            </w:r>
          </w:p>
        </w:tc>
        <w:tc>
          <w:tcPr>
            <w:tcW w:w="1372" w:type="dxa"/>
            <w:tcBorders>
              <w:bottom w:val="single" w:sz="4" w:space="0" w:color="auto"/>
            </w:tcBorders>
            <w:shd w:val="clear" w:color="auto" w:fill="EAF1DD" w:themeFill="accent3" w:themeFillTint="33"/>
            <w:vAlign w:val="center"/>
          </w:tcPr>
          <w:p w14:paraId="67CC1101"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0,19776</w:t>
            </w:r>
          </w:p>
        </w:tc>
        <w:tc>
          <w:tcPr>
            <w:tcW w:w="1235" w:type="dxa"/>
            <w:tcBorders>
              <w:bottom w:val="single" w:sz="4" w:space="0" w:color="auto"/>
            </w:tcBorders>
            <w:shd w:val="clear" w:color="auto" w:fill="EAF1DD" w:themeFill="accent3" w:themeFillTint="33"/>
            <w:vAlign w:val="center"/>
          </w:tcPr>
          <w:p w14:paraId="1AB54EEC"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19.783,05</w:t>
            </w:r>
          </w:p>
        </w:tc>
        <w:tc>
          <w:tcPr>
            <w:tcW w:w="1509" w:type="dxa"/>
            <w:tcBorders>
              <w:bottom w:val="single" w:sz="4" w:space="0" w:color="auto"/>
            </w:tcBorders>
            <w:shd w:val="clear" w:color="auto" w:fill="EAF1DD" w:themeFill="accent3" w:themeFillTint="33"/>
            <w:vAlign w:val="center"/>
          </w:tcPr>
          <w:p w14:paraId="38A17B5E"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160.986.313,89</w:t>
            </w:r>
          </w:p>
        </w:tc>
        <w:tc>
          <w:tcPr>
            <w:tcW w:w="1608" w:type="dxa"/>
            <w:tcBorders>
              <w:bottom w:val="single" w:sz="4" w:space="0" w:color="auto"/>
            </w:tcBorders>
            <w:shd w:val="clear" w:color="auto" w:fill="EAF1DD" w:themeFill="accent3" w:themeFillTint="33"/>
            <w:vAlign w:val="center"/>
          </w:tcPr>
          <w:p w14:paraId="26069181"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84.028.721,96</w:t>
            </w:r>
          </w:p>
        </w:tc>
      </w:tr>
      <w:tr w:rsidR="00AD38F0" w:rsidRPr="009C52C4" w14:paraId="55629A0B" w14:textId="77777777" w:rsidTr="00211D83">
        <w:trPr>
          <w:trHeight w:val="78"/>
        </w:trPr>
        <w:tc>
          <w:tcPr>
            <w:tcW w:w="9124" w:type="dxa"/>
            <w:gridSpan w:val="5"/>
            <w:tcBorders>
              <w:bottom w:val="single" w:sz="4" w:space="0" w:color="auto"/>
            </w:tcBorders>
            <w:shd w:val="clear" w:color="auto" w:fill="C2D69B" w:themeFill="accent3" w:themeFillTint="99"/>
          </w:tcPr>
          <w:p w14:paraId="1AA8B634" w14:textId="77777777" w:rsidR="00AD38F0" w:rsidRPr="009C52C4" w:rsidRDefault="00AD38F0" w:rsidP="00AD38F0">
            <w:pPr>
              <w:rPr>
                <w:rFonts w:ascii="Times New Roman" w:hAnsi="Times New Roman" w:cs="Times New Roman"/>
                <w:b/>
                <w:sz w:val="24"/>
                <w:szCs w:val="24"/>
              </w:rPr>
            </w:pPr>
            <w:r w:rsidRPr="009C52C4">
              <w:rPr>
                <w:rFonts w:ascii="Times New Roman" w:hAnsi="Times New Roman" w:cs="Times New Roman"/>
                <w:b/>
                <w:sz w:val="24"/>
                <w:szCs w:val="24"/>
              </w:rPr>
              <w:t xml:space="preserve">PROMET </w:t>
            </w:r>
          </w:p>
        </w:tc>
      </w:tr>
      <w:tr w:rsidR="00AD38F0" w:rsidRPr="009C52C4" w14:paraId="5ED368A3" w14:textId="77777777" w:rsidTr="00211D83">
        <w:trPr>
          <w:trHeight w:val="113"/>
        </w:trPr>
        <w:tc>
          <w:tcPr>
            <w:tcW w:w="3398" w:type="dxa"/>
            <w:shd w:val="clear" w:color="auto" w:fill="EAF1DD" w:themeFill="accent3" w:themeFillTint="33"/>
          </w:tcPr>
          <w:p w14:paraId="42BC77D4"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Financijski poticaji za energetski učinkovita vozila </w:t>
            </w:r>
          </w:p>
        </w:tc>
        <w:tc>
          <w:tcPr>
            <w:tcW w:w="1372" w:type="dxa"/>
            <w:shd w:val="clear" w:color="auto" w:fill="EAF1DD" w:themeFill="accent3" w:themeFillTint="33"/>
            <w:vAlign w:val="center"/>
          </w:tcPr>
          <w:p w14:paraId="534DE611"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0,083556</w:t>
            </w:r>
          </w:p>
        </w:tc>
        <w:tc>
          <w:tcPr>
            <w:tcW w:w="1235" w:type="dxa"/>
            <w:shd w:val="clear" w:color="auto" w:fill="EAF1DD" w:themeFill="accent3" w:themeFillTint="33"/>
            <w:vAlign w:val="center"/>
          </w:tcPr>
          <w:p w14:paraId="6E800326"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7.706,02</w:t>
            </w:r>
          </w:p>
        </w:tc>
        <w:tc>
          <w:tcPr>
            <w:tcW w:w="1509" w:type="dxa"/>
            <w:shd w:val="clear" w:color="auto" w:fill="EAF1DD" w:themeFill="accent3" w:themeFillTint="33"/>
            <w:vAlign w:val="center"/>
          </w:tcPr>
          <w:p w14:paraId="4005B500"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207.250.726,57</w:t>
            </w:r>
          </w:p>
        </w:tc>
        <w:tc>
          <w:tcPr>
            <w:tcW w:w="1608" w:type="dxa"/>
            <w:shd w:val="clear" w:color="auto" w:fill="EAF1DD" w:themeFill="accent3" w:themeFillTint="33"/>
            <w:vAlign w:val="center"/>
          </w:tcPr>
          <w:p w14:paraId="35FDA5EE"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39.996.341,06</w:t>
            </w:r>
          </w:p>
        </w:tc>
      </w:tr>
      <w:tr w:rsidR="00AD38F0" w:rsidRPr="009C52C4" w14:paraId="4A163E20" w14:textId="77777777" w:rsidTr="00211D83">
        <w:trPr>
          <w:trHeight w:val="113"/>
        </w:trPr>
        <w:tc>
          <w:tcPr>
            <w:tcW w:w="3398" w:type="dxa"/>
            <w:shd w:val="clear" w:color="auto" w:fill="EAF1DD" w:themeFill="accent3" w:themeFillTint="33"/>
          </w:tcPr>
          <w:p w14:paraId="6F62127F"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Poticanje eko vožnje </w:t>
            </w:r>
          </w:p>
        </w:tc>
        <w:tc>
          <w:tcPr>
            <w:tcW w:w="1372" w:type="dxa"/>
            <w:shd w:val="clear" w:color="auto" w:fill="EAF1DD" w:themeFill="accent3" w:themeFillTint="33"/>
            <w:vAlign w:val="center"/>
          </w:tcPr>
          <w:p w14:paraId="206C97D0"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0,09159</w:t>
            </w:r>
          </w:p>
        </w:tc>
        <w:tc>
          <w:tcPr>
            <w:tcW w:w="1235" w:type="dxa"/>
            <w:shd w:val="clear" w:color="auto" w:fill="EAF1DD" w:themeFill="accent3" w:themeFillTint="33"/>
            <w:vAlign w:val="center"/>
          </w:tcPr>
          <w:p w14:paraId="0108BBD7"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6.784,91</w:t>
            </w:r>
          </w:p>
        </w:tc>
        <w:tc>
          <w:tcPr>
            <w:tcW w:w="1509" w:type="dxa"/>
            <w:shd w:val="clear" w:color="auto" w:fill="EAF1DD" w:themeFill="accent3" w:themeFillTint="33"/>
            <w:vAlign w:val="center"/>
          </w:tcPr>
          <w:p w14:paraId="471AE033"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2.986.214,63</w:t>
            </w:r>
          </w:p>
        </w:tc>
        <w:tc>
          <w:tcPr>
            <w:tcW w:w="1608" w:type="dxa"/>
            <w:shd w:val="clear" w:color="auto" w:fill="EAF1DD" w:themeFill="accent3" w:themeFillTint="33"/>
            <w:vAlign w:val="center"/>
          </w:tcPr>
          <w:p w14:paraId="6D17EE1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977.649,24</w:t>
            </w:r>
          </w:p>
        </w:tc>
      </w:tr>
      <w:tr w:rsidR="00AD38F0" w:rsidRPr="009C52C4" w14:paraId="5233213F" w14:textId="77777777" w:rsidTr="00211D83">
        <w:trPr>
          <w:trHeight w:val="178"/>
        </w:trPr>
        <w:tc>
          <w:tcPr>
            <w:tcW w:w="3398" w:type="dxa"/>
            <w:tcBorders>
              <w:bottom w:val="single" w:sz="4" w:space="0" w:color="auto"/>
            </w:tcBorders>
            <w:shd w:val="clear" w:color="auto" w:fill="EAF1DD" w:themeFill="accent3" w:themeFillTint="33"/>
          </w:tcPr>
          <w:p w14:paraId="525A3401" w14:textId="474C3E3F"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Uspostava posebnog poreza na motorna vozila na temelju emisija </w:t>
            </w:r>
            <w:r w:rsidR="00FC19FC" w:rsidRPr="009C52C4">
              <w:rPr>
                <w:rFonts w:ascii="Times New Roman" w:hAnsi="Times New Roman" w:cs="Times New Roman"/>
                <w:sz w:val="24"/>
                <w:szCs w:val="24"/>
              </w:rPr>
              <w:t>CO</w:t>
            </w:r>
            <w:r w:rsidR="00FC19FC" w:rsidRPr="009C52C4">
              <w:rPr>
                <w:rFonts w:ascii="Times New Roman" w:hAnsi="Times New Roman" w:cs="Times New Roman"/>
                <w:sz w:val="24"/>
                <w:szCs w:val="24"/>
                <w:vertAlign w:val="subscript"/>
              </w:rPr>
              <w:t>2</w:t>
            </w:r>
          </w:p>
        </w:tc>
        <w:tc>
          <w:tcPr>
            <w:tcW w:w="1372" w:type="dxa"/>
            <w:tcBorders>
              <w:bottom w:val="single" w:sz="4" w:space="0" w:color="auto"/>
            </w:tcBorders>
            <w:shd w:val="clear" w:color="auto" w:fill="EAF1DD" w:themeFill="accent3" w:themeFillTint="33"/>
            <w:vAlign w:val="center"/>
          </w:tcPr>
          <w:p w14:paraId="6989F728"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w:t>
            </w:r>
          </w:p>
        </w:tc>
        <w:tc>
          <w:tcPr>
            <w:tcW w:w="1235" w:type="dxa"/>
            <w:tcBorders>
              <w:bottom w:val="single" w:sz="4" w:space="0" w:color="auto"/>
            </w:tcBorders>
            <w:shd w:val="clear" w:color="auto" w:fill="EAF1DD" w:themeFill="accent3" w:themeFillTint="33"/>
            <w:vAlign w:val="center"/>
          </w:tcPr>
          <w:p w14:paraId="6CDBAFD7"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0,00</w:t>
            </w:r>
          </w:p>
        </w:tc>
        <w:tc>
          <w:tcPr>
            <w:tcW w:w="1509" w:type="dxa"/>
            <w:tcBorders>
              <w:bottom w:val="single" w:sz="4" w:space="0" w:color="auto"/>
            </w:tcBorders>
            <w:shd w:val="clear" w:color="auto" w:fill="EAF1DD" w:themeFill="accent3" w:themeFillTint="33"/>
            <w:vAlign w:val="center"/>
          </w:tcPr>
          <w:p w14:paraId="42F5C40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0,00</w:t>
            </w:r>
          </w:p>
        </w:tc>
        <w:tc>
          <w:tcPr>
            <w:tcW w:w="1608" w:type="dxa"/>
            <w:tcBorders>
              <w:bottom w:val="single" w:sz="4" w:space="0" w:color="auto"/>
            </w:tcBorders>
            <w:shd w:val="clear" w:color="auto" w:fill="EAF1DD" w:themeFill="accent3" w:themeFillTint="33"/>
            <w:vAlign w:val="center"/>
          </w:tcPr>
          <w:p w14:paraId="696E9410"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0</w:t>
            </w:r>
          </w:p>
        </w:tc>
      </w:tr>
      <w:tr w:rsidR="00AD38F0" w:rsidRPr="009C52C4" w14:paraId="088D90A5" w14:textId="77777777" w:rsidTr="00211D83">
        <w:trPr>
          <w:trHeight w:val="108"/>
        </w:trPr>
        <w:tc>
          <w:tcPr>
            <w:tcW w:w="3398" w:type="dxa"/>
            <w:tcBorders>
              <w:right w:val="nil"/>
            </w:tcBorders>
            <w:shd w:val="clear" w:color="auto" w:fill="C2D69B" w:themeFill="accent3" w:themeFillTint="99"/>
          </w:tcPr>
          <w:p w14:paraId="0E8F5C42" w14:textId="77777777"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 xml:space="preserve">UKUPNO </w:t>
            </w:r>
          </w:p>
        </w:tc>
        <w:tc>
          <w:tcPr>
            <w:tcW w:w="1372" w:type="dxa"/>
            <w:tcBorders>
              <w:left w:val="nil"/>
              <w:right w:val="nil"/>
            </w:tcBorders>
            <w:shd w:val="clear" w:color="auto" w:fill="C2D69B" w:themeFill="accent3" w:themeFillTint="99"/>
            <w:vAlign w:val="center"/>
          </w:tcPr>
          <w:p w14:paraId="2CD318CF"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2,61395</w:t>
            </w:r>
          </w:p>
        </w:tc>
        <w:tc>
          <w:tcPr>
            <w:tcW w:w="1235" w:type="dxa"/>
            <w:tcBorders>
              <w:left w:val="nil"/>
              <w:right w:val="nil"/>
            </w:tcBorders>
            <w:shd w:val="clear" w:color="auto" w:fill="C2D69B" w:themeFill="accent3" w:themeFillTint="99"/>
            <w:vAlign w:val="center"/>
          </w:tcPr>
          <w:p w14:paraId="396B85F5"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177.916,18</w:t>
            </w:r>
          </w:p>
        </w:tc>
        <w:tc>
          <w:tcPr>
            <w:tcW w:w="1509" w:type="dxa"/>
            <w:tcBorders>
              <w:left w:val="nil"/>
              <w:right w:val="nil"/>
            </w:tcBorders>
            <w:shd w:val="clear" w:color="auto" w:fill="C2D69B" w:themeFill="accent3" w:themeFillTint="99"/>
            <w:vAlign w:val="center"/>
          </w:tcPr>
          <w:p w14:paraId="6CFEC9CA"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1.815.221.286,09</w:t>
            </w:r>
          </w:p>
        </w:tc>
        <w:tc>
          <w:tcPr>
            <w:tcW w:w="1608" w:type="dxa"/>
            <w:tcBorders>
              <w:left w:val="nil"/>
            </w:tcBorders>
            <w:shd w:val="clear" w:color="auto" w:fill="C2D69B" w:themeFill="accent3" w:themeFillTint="99"/>
            <w:vAlign w:val="center"/>
          </w:tcPr>
          <w:p w14:paraId="059036A8" w14:textId="77777777" w:rsidR="00AD38F0" w:rsidRPr="009C52C4" w:rsidRDefault="00AD38F0" w:rsidP="00AD38F0">
            <w:pPr>
              <w:jc w:val="center"/>
              <w:rPr>
                <w:rFonts w:ascii="Times New Roman" w:hAnsi="Times New Roman" w:cs="Times New Roman"/>
                <w:sz w:val="24"/>
                <w:szCs w:val="24"/>
              </w:rPr>
            </w:pPr>
            <w:r w:rsidRPr="009C52C4">
              <w:rPr>
                <w:rFonts w:ascii="Times New Roman" w:hAnsi="Times New Roman" w:cs="Times New Roman"/>
                <w:sz w:val="24"/>
                <w:szCs w:val="24"/>
              </w:rPr>
              <w:t>896.233.204,48</w:t>
            </w:r>
          </w:p>
        </w:tc>
      </w:tr>
    </w:tbl>
    <w:p w14:paraId="39F2B39A" w14:textId="408BB925" w:rsidR="00AD38F0" w:rsidRPr="009C52C4" w:rsidRDefault="00AD38F0" w:rsidP="00AD38F0">
      <w:pPr>
        <w:rPr>
          <w:rFonts w:ascii="Times New Roman" w:hAnsi="Times New Roman" w:cs="Times New Roman"/>
          <w:sz w:val="24"/>
          <w:szCs w:val="24"/>
        </w:rPr>
      </w:pPr>
      <w:r w:rsidRPr="009C52C4">
        <w:rPr>
          <w:rFonts w:ascii="Times New Roman" w:hAnsi="Times New Roman" w:cs="Times New Roman"/>
          <w:sz w:val="24"/>
          <w:szCs w:val="24"/>
        </w:rPr>
        <w:t>Izvor: Godišnje izvješće o napretku postignutom u ostvarenju nacionalnih ciljeva energetske učinkovitosti na temelju članka 24. stavka 1. u skladu s dijelom 1. Priloga XIV. Direktive 2012/27/EU</w:t>
      </w:r>
      <w:r w:rsidR="00E06A1F" w:rsidRPr="009C52C4">
        <w:rPr>
          <w:rFonts w:ascii="Times New Roman" w:hAnsi="Times New Roman" w:cs="Times New Roman"/>
          <w:sz w:val="24"/>
          <w:szCs w:val="24"/>
        </w:rPr>
        <w:t xml:space="preserve">, </w:t>
      </w:r>
      <w:r w:rsidRPr="009C52C4">
        <w:rPr>
          <w:rFonts w:ascii="Times New Roman" w:hAnsi="Times New Roman" w:cs="Times New Roman"/>
          <w:sz w:val="24"/>
          <w:szCs w:val="24"/>
        </w:rPr>
        <w:t>CEI</w:t>
      </w:r>
    </w:p>
    <w:p w14:paraId="2EE0F47C" w14:textId="77777777" w:rsidR="00AD38F0" w:rsidRPr="009C52C4" w:rsidRDefault="00AD38F0" w:rsidP="00AD38F0">
      <w:pPr>
        <w:rPr>
          <w:rFonts w:ascii="Times New Roman" w:hAnsi="Times New Roman" w:cs="Times New Roman"/>
          <w:sz w:val="24"/>
          <w:szCs w:val="24"/>
        </w:rPr>
      </w:pPr>
    </w:p>
    <w:p w14:paraId="07101536" w14:textId="77777777" w:rsidR="009A42E4" w:rsidRPr="009C52C4" w:rsidRDefault="009A42E4">
      <w:pPr>
        <w:rPr>
          <w:rFonts w:ascii="Times New Roman" w:hAnsi="Times New Roman" w:cs="Times New Roman"/>
          <w:b/>
          <w:sz w:val="24"/>
          <w:szCs w:val="24"/>
        </w:rPr>
      </w:pPr>
      <w:r w:rsidRPr="009C52C4">
        <w:rPr>
          <w:rFonts w:ascii="Times New Roman" w:hAnsi="Times New Roman" w:cs="Times New Roman"/>
          <w:sz w:val="24"/>
          <w:szCs w:val="24"/>
        </w:rPr>
        <w:br w:type="page"/>
      </w:r>
    </w:p>
    <w:p w14:paraId="0F0A7C22" w14:textId="77777777" w:rsidR="00B122B4" w:rsidRPr="009C52C4" w:rsidRDefault="00F54CC3" w:rsidP="00AE7037">
      <w:pPr>
        <w:pStyle w:val="Heading2"/>
        <w:numPr>
          <w:ilvl w:val="1"/>
          <w:numId w:val="1"/>
        </w:numPr>
        <w:ind w:hanging="719"/>
        <w:rPr>
          <w:rFonts w:ascii="Times New Roman" w:hAnsi="Times New Roman" w:cs="Times New Roman"/>
          <w:sz w:val="24"/>
          <w:szCs w:val="24"/>
        </w:rPr>
      </w:pPr>
      <w:bookmarkStart w:id="160" w:name="_Toc3277922"/>
      <w:r w:rsidRPr="009C52C4">
        <w:rPr>
          <w:rFonts w:ascii="Times New Roman" w:hAnsi="Times New Roman" w:cs="Times New Roman"/>
          <w:sz w:val="24"/>
          <w:szCs w:val="24"/>
        </w:rPr>
        <w:lastRenderedPageBreak/>
        <w:t>Analiza mjera za poticanje integralne obnove zgrada država članica Europske unije</w:t>
      </w:r>
      <w:bookmarkEnd w:id="160"/>
      <w:r w:rsidRPr="009C52C4">
        <w:rPr>
          <w:rFonts w:ascii="Times New Roman" w:hAnsi="Times New Roman" w:cs="Times New Roman"/>
          <w:sz w:val="24"/>
          <w:szCs w:val="24"/>
        </w:rPr>
        <w:t xml:space="preserve"> </w:t>
      </w:r>
    </w:p>
    <w:p w14:paraId="2048CAB8" w14:textId="77777777" w:rsidR="00B122B4" w:rsidRPr="009C52C4" w:rsidRDefault="00B122B4">
      <w:pPr>
        <w:ind w:left="357" w:right="357"/>
        <w:rPr>
          <w:rFonts w:ascii="Times New Roman" w:hAnsi="Times New Roman" w:cs="Times New Roman"/>
          <w:sz w:val="24"/>
          <w:szCs w:val="24"/>
        </w:rPr>
      </w:pPr>
    </w:p>
    <w:p w14:paraId="2395A852" w14:textId="5B01F998" w:rsidR="001B21FC" w:rsidRPr="009C52C4" w:rsidRDefault="001B21FC" w:rsidP="001B21FC">
      <w:pPr>
        <w:rPr>
          <w:rFonts w:ascii="Times New Roman" w:hAnsi="Times New Roman" w:cs="Times New Roman"/>
          <w:sz w:val="24"/>
          <w:szCs w:val="24"/>
        </w:rPr>
      </w:pPr>
      <w:r w:rsidRPr="009C52C4">
        <w:rPr>
          <w:rFonts w:ascii="Times New Roman" w:hAnsi="Times New Roman" w:cs="Times New Roman"/>
          <w:sz w:val="24"/>
          <w:szCs w:val="24"/>
        </w:rPr>
        <w:t xml:space="preserve">Člankom 5. </w:t>
      </w:r>
      <w:r w:rsidR="009D531D" w:rsidRPr="009C52C4">
        <w:rPr>
          <w:rFonts w:ascii="Times New Roman" w:hAnsi="Times New Roman" w:cs="Times New Roman"/>
          <w:sz w:val="24"/>
          <w:szCs w:val="24"/>
        </w:rPr>
        <w:t>Direktive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definirana je obveza obnove zgrada javnog sektora u vlasništvu središnje države u svim državama članicama. U tu svrhu izrađeni su nacionalni planovi i politike kao okvir za provedbu programa obnove. Pristupi pojedinih zemalja članica se razlikuju, kako prema implementaciji tako prema financijskim mehanizmima. Implementacije članka 5. </w:t>
      </w:r>
      <w:r w:rsidR="009D531D" w:rsidRPr="009C52C4">
        <w:rPr>
          <w:rFonts w:ascii="Times New Roman" w:hAnsi="Times New Roman" w:cs="Times New Roman"/>
          <w:sz w:val="24"/>
          <w:szCs w:val="24"/>
        </w:rPr>
        <w:t>Direktive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moguća je tzv. standardnim pristupom, odnosno obnovom 3% ukupne površine poda grijanih i/ili hlađenih zgrada u vlasništvu i uporabi središnje vlasti svake godine ili alternativnim pristup kojim se poduzimaju druge troškovno učinkovite mjere u prihvatljivim zgradama u vlasništvu i uporabi središnje vlasti koje su barem jednake uštedama prilikom standardnog pristupa. Kod alternativnih pristupa svaka zemlja članica definira razne mjere energetske učinkovitosti za dostizanje zahtijevanih ušteda. Kao jedna od ključnih stavki za uspješnost programa obnove su načini financiranja, odnosno financijski instrumenti. Sumarno, na razini cijele EU može se primijetiti:</w:t>
      </w:r>
    </w:p>
    <w:p w14:paraId="3F672376" w14:textId="5124A52E"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G</w:t>
      </w:r>
      <w:r w:rsidR="001B21FC" w:rsidRPr="009C52C4">
        <w:rPr>
          <w:rFonts w:ascii="Times New Roman" w:hAnsi="Times New Roman" w:cs="Times New Roman"/>
          <w:sz w:val="24"/>
          <w:szCs w:val="24"/>
        </w:rPr>
        <w:t>otovo sve članice imaju programe kojima se potiče obnova zgrada, klasičnim ili inovativnim modelima financiranja, odnosno vanjskim financiranjem</w:t>
      </w:r>
    </w:p>
    <w:p w14:paraId="72C83F41" w14:textId="05E1AD75"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V</w:t>
      </w:r>
      <w:r w:rsidR="001B21FC" w:rsidRPr="009C52C4">
        <w:rPr>
          <w:rFonts w:ascii="Times New Roman" w:hAnsi="Times New Roman" w:cs="Times New Roman"/>
          <w:sz w:val="24"/>
          <w:szCs w:val="24"/>
        </w:rPr>
        <w:t>ećina financijskih instrumenata usmjerena</w:t>
      </w:r>
      <w:r w:rsidR="00170CB0" w:rsidRPr="009C52C4">
        <w:rPr>
          <w:rFonts w:ascii="Times New Roman" w:hAnsi="Times New Roman" w:cs="Times New Roman"/>
          <w:sz w:val="24"/>
          <w:szCs w:val="24"/>
        </w:rPr>
        <w:t xml:space="preserve"> </w:t>
      </w:r>
      <w:r w:rsidR="001B21FC" w:rsidRPr="009C52C4">
        <w:rPr>
          <w:rFonts w:ascii="Times New Roman" w:hAnsi="Times New Roman" w:cs="Times New Roman"/>
          <w:sz w:val="24"/>
          <w:szCs w:val="24"/>
        </w:rPr>
        <w:t>je prema postojećim zgradama</w:t>
      </w:r>
    </w:p>
    <w:p w14:paraId="072F9535" w14:textId="3DC80984"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N</w:t>
      </w:r>
      <w:r w:rsidR="001B21FC" w:rsidRPr="009C52C4">
        <w:rPr>
          <w:rFonts w:ascii="Times New Roman" w:hAnsi="Times New Roman" w:cs="Times New Roman"/>
          <w:sz w:val="24"/>
          <w:szCs w:val="24"/>
        </w:rPr>
        <w:t xml:space="preserve">ajčešće korišteni načini financiranja su subvencije, odnosno </w:t>
      </w:r>
      <w:r w:rsidR="00170CB0" w:rsidRPr="009C52C4">
        <w:rPr>
          <w:rFonts w:ascii="Times New Roman" w:hAnsi="Times New Roman" w:cs="Times New Roman"/>
          <w:sz w:val="24"/>
          <w:szCs w:val="24"/>
        </w:rPr>
        <w:t xml:space="preserve">bespovratno </w:t>
      </w:r>
      <w:r w:rsidR="001B21FC" w:rsidRPr="009C52C4">
        <w:rPr>
          <w:rFonts w:ascii="Times New Roman" w:hAnsi="Times New Roman" w:cs="Times New Roman"/>
          <w:sz w:val="24"/>
          <w:szCs w:val="24"/>
        </w:rPr>
        <w:t>sufinanciranje. U manjoj mjeri se koriste zajmovi ili fiskalni instrumenti</w:t>
      </w:r>
    </w:p>
    <w:p w14:paraId="477BB7A5" w14:textId="3E21E6A5"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N</w:t>
      </w:r>
      <w:r w:rsidR="001B21FC" w:rsidRPr="009C52C4">
        <w:rPr>
          <w:rFonts w:ascii="Times New Roman" w:hAnsi="Times New Roman" w:cs="Times New Roman"/>
          <w:sz w:val="24"/>
          <w:szCs w:val="24"/>
        </w:rPr>
        <w:t>e postoji sistematizirani način praćenja, korištenja standardiziranih pokazatelja te izvještaji o završnim postignutim ciljevima pojedinih programa</w:t>
      </w:r>
    </w:p>
    <w:p w14:paraId="704100EB" w14:textId="359A0BAD"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m</w:t>
      </w:r>
      <w:r w:rsidR="001B21FC" w:rsidRPr="009C52C4">
        <w:rPr>
          <w:rFonts w:ascii="Times New Roman" w:hAnsi="Times New Roman" w:cs="Times New Roman"/>
          <w:sz w:val="24"/>
          <w:szCs w:val="24"/>
        </w:rPr>
        <w:t>anji dio financijskih instrumenata okrenut je cjelovitoj obnovi zgrada</w:t>
      </w:r>
    </w:p>
    <w:p w14:paraId="08CD1842" w14:textId="71BECD7A" w:rsidR="001B21FC" w:rsidRPr="009C52C4" w:rsidRDefault="00FC19FC" w:rsidP="004F09F1">
      <w:pPr>
        <w:numPr>
          <w:ilvl w:val="0"/>
          <w:numId w:val="42"/>
        </w:numPr>
        <w:contextualSpacing/>
        <w:rPr>
          <w:rFonts w:ascii="Times New Roman" w:hAnsi="Times New Roman" w:cs="Times New Roman"/>
          <w:sz w:val="24"/>
          <w:szCs w:val="24"/>
        </w:rPr>
      </w:pPr>
      <w:r w:rsidRPr="009C52C4">
        <w:rPr>
          <w:rFonts w:ascii="Times New Roman" w:hAnsi="Times New Roman" w:cs="Times New Roman"/>
          <w:sz w:val="24"/>
          <w:szCs w:val="24"/>
        </w:rPr>
        <w:t>a</w:t>
      </w:r>
      <w:r w:rsidR="001B21FC" w:rsidRPr="009C52C4">
        <w:rPr>
          <w:rFonts w:ascii="Times New Roman" w:hAnsi="Times New Roman" w:cs="Times New Roman"/>
          <w:sz w:val="24"/>
          <w:szCs w:val="24"/>
        </w:rPr>
        <w:t>ktivnije uključenje privatnog financiranja nije riješeno u mnogim članicama</w:t>
      </w:r>
    </w:p>
    <w:p w14:paraId="3F284A35" w14:textId="77777777" w:rsidR="001B21FC" w:rsidRPr="009C52C4" w:rsidRDefault="001B21FC" w:rsidP="001B21FC">
      <w:pPr>
        <w:rPr>
          <w:rFonts w:ascii="Times New Roman" w:hAnsi="Times New Roman" w:cs="Times New Roman"/>
          <w:sz w:val="24"/>
          <w:szCs w:val="24"/>
        </w:rPr>
      </w:pPr>
    </w:p>
    <w:p w14:paraId="07B3AFDE" w14:textId="4A33153C" w:rsidR="001B21FC" w:rsidRPr="009C52C4" w:rsidRDefault="001B21FC" w:rsidP="001B21FC">
      <w:pPr>
        <w:rPr>
          <w:rFonts w:ascii="Times New Roman" w:hAnsi="Times New Roman" w:cs="Times New Roman"/>
          <w:sz w:val="24"/>
          <w:szCs w:val="24"/>
        </w:rPr>
      </w:pPr>
      <w:r w:rsidRPr="009C52C4">
        <w:rPr>
          <w:rFonts w:ascii="Times New Roman" w:hAnsi="Times New Roman" w:cs="Times New Roman"/>
          <w:sz w:val="24"/>
          <w:szCs w:val="24"/>
        </w:rPr>
        <w:t>Aktivnosti energetske obnove zgrada koje se provode u većini država članica EU</w:t>
      </w:r>
      <w:r w:rsidR="00FC19FC" w:rsidRPr="009C52C4">
        <w:rPr>
          <w:rFonts w:ascii="Times New Roman" w:hAnsi="Times New Roman" w:cs="Times New Roman"/>
          <w:sz w:val="24"/>
          <w:szCs w:val="24"/>
        </w:rPr>
        <w:t>-a</w:t>
      </w:r>
      <w:r w:rsidRPr="009C52C4">
        <w:rPr>
          <w:rFonts w:ascii="Times New Roman" w:hAnsi="Times New Roman" w:cs="Times New Roman"/>
          <w:sz w:val="24"/>
          <w:szCs w:val="24"/>
        </w:rPr>
        <w:t xml:space="preserve"> su regionalne ili lokalne inicijative, odnosno projekti koj</w:t>
      </w:r>
      <w:r w:rsidR="00FC19FC" w:rsidRPr="009C52C4">
        <w:rPr>
          <w:rFonts w:ascii="Times New Roman" w:hAnsi="Times New Roman" w:cs="Times New Roman"/>
          <w:sz w:val="24"/>
          <w:szCs w:val="24"/>
        </w:rPr>
        <w:t>i</w:t>
      </w:r>
      <w:r w:rsidRPr="009C52C4">
        <w:rPr>
          <w:rFonts w:ascii="Times New Roman" w:hAnsi="Times New Roman" w:cs="Times New Roman"/>
          <w:sz w:val="24"/>
          <w:szCs w:val="24"/>
        </w:rPr>
        <w:t xml:space="preserve"> s ciljem održivog razvoja imaju mogućnost korištenja sufinanciranja iz razvojnih fondova. Dostupni podaci o provedenim programima energetske obnove vezani su uz korištenje </w:t>
      </w:r>
      <w:r w:rsidR="00FC19FC" w:rsidRPr="009C52C4">
        <w:rPr>
          <w:rFonts w:ascii="Times New Roman" w:hAnsi="Times New Roman" w:cs="Times New Roman"/>
          <w:sz w:val="24"/>
          <w:szCs w:val="24"/>
        </w:rPr>
        <w:t>o</w:t>
      </w:r>
      <w:r w:rsidRPr="009C52C4">
        <w:rPr>
          <w:rFonts w:ascii="Times New Roman" w:hAnsi="Times New Roman" w:cs="Times New Roman"/>
          <w:sz w:val="24"/>
          <w:szCs w:val="24"/>
        </w:rPr>
        <w:t>perativnih programa EU (ERDF/EFRR)</w:t>
      </w:r>
      <w:r w:rsidR="003657D6" w:rsidRPr="009C52C4">
        <w:rPr>
          <w:rFonts w:ascii="Times New Roman" w:hAnsi="Times New Roman" w:cs="Times New Roman"/>
          <w:sz w:val="24"/>
          <w:szCs w:val="24"/>
        </w:rPr>
        <w:t>, razvojnih programa</w:t>
      </w:r>
      <w:r w:rsidRPr="009C52C4">
        <w:rPr>
          <w:rFonts w:ascii="Times New Roman" w:hAnsi="Times New Roman" w:cs="Times New Roman"/>
          <w:sz w:val="24"/>
          <w:szCs w:val="24"/>
        </w:rPr>
        <w:t xml:space="preserve"> </w:t>
      </w:r>
      <w:r w:rsidR="003657D6" w:rsidRPr="009C52C4">
        <w:rPr>
          <w:rFonts w:ascii="Times New Roman" w:hAnsi="Times New Roman" w:cs="Times New Roman"/>
          <w:sz w:val="24"/>
          <w:szCs w:val="24"/>
        </w:rPr>
        <w:t xml:space="preserve">(Jessica i Elena) </w:t>
      </w:r>
      <w:r w:rsidRPr="009C52C4">
        <w:rPr>
          <w:rFonts w:ascii="Times New Roman" w:hAnsi="Times New Roman" w:cs="Times New Roman"/>
          <w:sz w:val="24"/>
          <w:szCs w:val="24"/>
        </w:rPr>
        <w:t>i djelomičnog udjela nacionalnog budžeta, subvencija ili financiranje samog korisnika zgrade. Brojniji su programi fokusirani na određenu grupu zgrada ili teritorijalnu jedinicu naspram cjelovitih nacionalnih programa. U nastavku se navode samo neki programi u svrhu prikaza različitosti pristupa rješavanju problematike poticanja obnove i gradnje fonda zgrada po nZEB principima održive gradnje:</w:t>
      </w:r>
    </w:p>
    <w:p w14:paraId="136E9E9C" w14:textId="53E87365" w:rsidR="001B21FC" w:rsidRPr="009C52C4" w:rsidRDefault="001B21FC"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Portugal - Program za energetsku učinkovitost u javnoj upravi (Eco.AP) je otvoren 2011. godine s ciljem povećanja energetske učinkovitosti za 30% do 2020. godine u javnim uslugama i tijelima javne uprave (sve institucije u nadležnosti središnje vlasti). Fond za energetsku učinkovitost je financirao aktivnosti programa, ali detaljniji pregled nije dostupan</w:t>
      </w:r>
    </w:p>
    <w:p w14:paraId="15C77AAD" w14:textId="179FC6E8" w:rsidR="001B21FC" w:rsidRPr="009C52C4" w:rsidRDefault="001B21FC"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Grad Berlin - Energetska agencija Grada Berlina upravlja projektom (Berlin Energy Saving Partnership) u kojem su partneri Grad Berlin i nekoliko ESCO tvrtki. Usluga se nabavlja putem javnog natječaja. Financiranje je osigurano kroz ESCO tvrtke koje garantiraju uštedu. </w:t>
      </w:r>
      <w:r w:rsidR="00D4611E" w:rsidRPr="009C52C4">
        <w:rPr>
          <w:rFonts w:ascii="Times New Roman" w:hAnsi="Times New Roman" w:cs="Times New Roman"/>
          <w:sz w:val="24"/>
          <w:szCs w:val="24"/>
        </w:rPr>
        <w:t>Razdoblje</w:t>
      </w:r>
      <w:r w:rsidRPr="009C52C4">
        <w:rPr>
          <w:rFonts w:ascii="Times New Roman" w:hAnsi="Times New Roman" w:cs="Times New Roman"/>
          <w:sz w:val="24"/>
          <w:szCs w:val="24"/>
        </w:rPr>
        <w:t xml:space="preserve"> povrata za mjere je 8 do 12 godina, 80% ostvarene uštede je naknada ESCO tvrtci, ostalih 20% je direktna dobit Grada Berlina. Kroz trajanje ugovora o energetskoj uštedi ESCO tvrtka održava tehničke sustave, a Grad Berlin samu zgradu</w:t>
      </w:r>
    </w:p>
    <w:p w14:paraId="20B9F493" w14:textId="679E6442" w:rsidR="001B21FC" w:rsidRPr="009C52C4" w:rsidRDefault="001B21FC"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Provincija Milano - centralno koordinirana i skupna priprema projekta za energetsku obnovu 30-40 zgrada škola u više općina. Pripremljeni su standardizirani ugovori o energetskom učinku, a projekti su provedeni kao ESCO usluga uz garanciju uštede od 20% i naplatu kroz ostvarenu uštedu u troškovima energije. Projekt se provodio preko </w:t>
      </w:r>
      <w:r w:rsidRPr="009C52C4">
        <w:rPr>
          <w:rFonts w:ascii="Times New Roman" w:hAnsi="Times New Roman" w:cs="Times New Roman"/>
          <w:sz w:val="24"/>
          <w:szCs w:val="24"/>
        </w:rPr>
        <w:lastRenderedPageBreak/>
        <w:t>lokalnih banaka, a financiran iz zajma EIB-a od 65 milijuna eura (instrument EIB- ELENA)</w:t>
      </w:r>
    </w:p>
    <w:p w14:paraId="18E867F2" w14:textId="427917BC" w:rsidR="001B21FC" w:rsidRPr="009C52C4" w:rsidRDefault="006107D4"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Grad Prag - energetska obnova 15 škola kroz sudjelovanje 3 dionika: prema ugovoru o energetskom učinku provodi se modernizacija/zamjena tehničkih sustava, a vanjska ovojnica se financira iz subvencije Operativnog programa EU Kohezija 2007-2013 i sredstava vlasnika zgrade (oko 28%)</w:t>
      </w:r>
    </w:p>
    <w:p w14:paraId="26E87FC3" w14:textId="3A906662" w:rsidR="001B21FC" w:rsidRPr="009C52C4" w:rsidRDefault="001B21FC"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Poljska - TM program (Thermo-Modemization) nudi subvenciju od 20% za komercijalne kredite. Subvencije su osigurane iz državnog budžeta, a njima upravlja državna gospodarska banka (BGK). Program je namijenjen za sve sektore, ali 90% realiziranih projekata su iz stambenog sektora. Komercijalni krediti su plasirani kroz 16 banaka kod kojih klijent dostavlja energetski pregled koji prikazuje isplativost projekta te jedinstveni zahtjev za dodjelu kredit i subvencije</w:t>
      </w:r>
    </w:p>
    <w:p w14:paraId="407A354E" w14:textId="77777777" w:rsidR="001B21FC" w:rsidRPr="009C52C4" w:rsidRDefault="001B21FC" w:rsidP="004F09F1">
      <w:pPr>
        <w:numPr>
          <w:ilvl w:val="0"/>
          <w:numId w:val="43"/>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Graz, Austrija - integralno energetsko ugovaranje obuhvatilo je primjenu 3 mehanizma ESCO usluge: ugovor o uštedi energije za zamjenu bojlera s kogeneracijskim postrojenjem; ugovor o energetskom učinku za opremu i sustav mehaničke ventilacije s povratom topline; ugovor o energetskoj uštedi temeljem obnovljivih izvora energije za Sunčani toplinski sustav. Kroz ESCO </w:t>
      </w:r>
      <w:r w:rsidR="006107D4" w:rsidRPr="009C52C4">
        <w:rPr>
          <w:rFonts w:ascii="Times New Roman" w:hAnsi="Times New Roman" w:cs="Times New Roman"/>
          <w:sz w:val="24"/>
          <w:szCs w:val="24"/>
        </w:rPr>
        <w:t>usluge je</w:t>
      </w:r>
      <w:r w:rsidRPr="009C52C4">
        <w:rPr>
          <w:rFonts w:ascii="Times New Roman" w:hAnsi="Times New Roman" w:cs="Times New Roman"/>
          <w:sz w:val="24"/>
          <w:szCs w:val="24"/>
        </w:rPr>
        <w:t xml:space="preserve"> osigurano 75% sufinanciranja. Model je primijenjen na zgradi javne namjene pod zaštitom graditeljske baštine. Ostvarene su uštede isporučene energije od 15% i uštede u emisijama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od 35%.</w:t>
      </w:r>
    </w:p>
    <w:p w14:paraId="2B5BC688" w14:textId="77777777" w:rsidR="001B21FC" w:rsidRPr="009C52C4" w:rsidRDefault="001B21FC" w:rsidP="001B21FC">
      <w:pPr>
        <w:rPr>
          <w:rFonts w:ascii="Times New Roman" w:hAnsi="Times New Roman" w:cs="Times New Roman"/>
          <w:sz w:val="24"/>
          <w:szCs w:val="24"/>
        </w:rPr>
      </w:pPr>
    </w:p>
    <w:p w14:paraId="7ADC1709" w14:textId="0C1706F6" w:rsidR="001B21FC" w:rsidRPr="009C52C4" w:rsidRDefault="001B21FC" w:rsidP="001B21FC">
      <w:pPr>
        <w:rPr>
          <w:rFonts w:ascii="Times New Roman" w:hAnsi="Times New Roman" w:cs="Times New Roman"/>
          <w:sz w:val="24"/>
          <w:szCs w:val="24"/>
        </w:rPr>
      </w:pPr>
      <w:r w:rsidRPr="009C52C4">
        <w:rPr>
          <w:rFonts w:ascii="Times New Roman" w:hAnsi="Times New Roman" w:cs="Times New Roman"/>
          <w:sz w:val="24"/>
          <w:szCs w:val="24"/>
        </w:rPr>
        <w:t xml:space="preserve">Većina država članica pokušava uključiti privatne izvore financiranja u energetsku obnovu javnih zgrada. Dosadašnja iskustva pokazuju neisplativost projekata integralne rekonstrukcije zgrada, pogotovo uključenjem investicija u vanjsku ovojnicu zgrade, što obeshrabruje potencijalne privatne investitore. U vrlo rijetkim slučajevima moguće je provesti integralnu obnovu zgrade korištenjem samo jednog izvora financiranja, i to pružatelja energetske usluge. </w:t>
      </w:r>
      <w:r w:rsidR="006107D4" w:rsidRPr="009C52C4">
        <w:rPr>
          <w:rFonts w:ascii="Times New Roman" w:hAnsi="Times New Roman" w:cs="Times New Roman"/>
          <w:sz w:val="24"/>
          <w:szCs w:val="24"/>
        </w:rPr>
        <w:t xml:space="preserve">Zbog mogućnosti proširenja tržišta pružateljima energetske usluge uvedeni su i dodatni načini financiranja poput sufinanciranja i subvencija s ciljem osiguravanja isplativosti projekata. </w:t>
      </w:r>
      <w:r w:rsidRPr="009C52C4">
        <w:rPr>
          <w:rFonts w:ascii="Times New Roman" w:hAnsi="Times New Roman" w:cs="Times New Roman"/>
          <w:sz w:val="24"/>
          <w:szCs w:val="24"/>
        </w:rPr>
        <w:t xml:space="preserve">ESCO model predstavlja jedan od instrumenata najčešće provođen na lokalnoj ili regionalnoj razini, iako se razmatra uvođenje kao dominantnih modela. Iz navedenog razloga, kao i već napomenute neisplativosti, primjeri programa integralne obnove su manjih </w:t>
      </w:r>
      <w:r w:rsidR="006107D4" w:rsidRPr="009C52C4">
        <w:rPr>
          <w:rFonts w:ascii="Times New Roman" w:hAnsi="Times New Roman" w:cs="Times New Roman"/>
          <w:sz w:val="24"/>
          <w:szCs w:val="24"/>
        </w:rPr>
        <w:t>obujma</w:t>
      </w:r>
      <w:r w:rsidRPr="009C52C4">
        <w:rPr>
          <w:rFonts w:ascii="Times New Roman" w:hAnsi="Times New Roman" w:cs="Times New Roman"/>
          <w:sz w:val="24"/>
          <w:szCs w:val="24"/>
        </w:rPr>
        <w:t xml:space="preserve"> te manjeg broja. Iz primjera prakse u zemljama EU</w:t>
      </w:r>
      <w:r w:rsidR="00FC19FC" w:rsidRPr="009C52C4">
        <w:rPr>
          <w:rFonts w:ascii="Times New Roman" w:hAnsi="Times New Roman" w:cs="Times New Roman"/>
          <w:sz w:val="24"/>
          <w:szCs w:val="24"/>
        </w:rPr>
        <w:t>-a</w:t>
      </w:r>
      <w:r w:rsidRPr="009C52C4">
        <w:rPr>
          <w:rFonts w:ascii="Times New Roman" w:hAnsi="Times New Roman" w:cs="Times New Roman"/>
          <w:sz w:val="24"/>
          <w:szCs w:val="24"/>
        </w:rPr>
        <w:t xml:space="preserve"> može se zaključiti sljedeće:</w:t>
      </w:r>
    </w:p>
    <w:p w14:paraId="686CA6FC" w14:textId="38459CB4" w:rsidR="001B21FC" w:rsidRPr="009C52C4" w:rsidRDefault="00FC19FC" w:rsidP="004F09F1">
      <w:pPr>
        <w:numPr>
          <w:ilvl w:val="0"/>
          <w:numId w:val="44"/>
        </w:numPr>
        <w:contextualSpacing/>
        <w:rPr>
          <w:rFonts w:ascii="Times New Roman" w:hAnsi="Times New Roman" w:cs="Times New Roman"/>
          <w:sz w:val="24"/>
          <w:szCs w:val="24"/>
        </w:rPr>
      </w:pPr>
      <w:r w:rsidRPr="009C52C4">
        <w:rPr>
          <w:rFonts w:ascii="Times New Roman" w:hAnsi="Times New Roman" w:cs="Times New Roman"/>
          <w:sz w:val="24"/>
          <w:szCs w:val="24"/>
        </w:rPr>
        <w:t>k</w:t>
      </w:r>
      <w:r w:rsidR="001B21FC" w:rsidRPr="009C52C4">
        <w:rPr>
          <w:rFonts w:ascii="Times New Roman" w:hAnsi="Times New Roman" w:cs="Times New Roman"/>
          <w:sz w:val="24"/>
          <w:szCs w:val="24"/>
        </w:rPr>
        <w:t>od djelomične rekonstrukcije zgrada koristi se ESCO model. Navedeno je ostavljeno vlasnicima, regionalnim ili lokalnim jedinicama samouprave na razradu ili odabir. Kod kvalitetne razrade ugovora i prebacivanjem nužnih rizika na ponuditelje usluge navedeni model se ne smatra zaduženjem. U velikoj većini radi se o pojedinim projektima provođenim u velikom dijelu zemalja članica (Njemačka, Poljska, Češka, Slovenija, Slovačka itd.). Iskustva ESCO modela na razvijenim tržištima poput Italije pokazuju značajnu penetraciju energetske usluge u javnim zgradama u djelomičnim obnovama (termotehnički sustavi, zamjena energenata);</w:t>
      </w:r>
    </w:p>
    <w:p w14:paraId="2B4EEEFC" w14:textId="2025740C" w:rsidR="001B21FC" w:rsidRPr="009C52C4" w:rsidRDefault="00FC19FC" w:rsidP="004F09F1">
      <w:pPr>
        <w:numPr>
          <w:ilvl w:val="0"/>
          <w:numId w:val="44"/>
        </w:numPr>
        <w:contextualSpacing/>
        <w:rPr>
          <w:rFonts w:ascii="Times New Roman" w:hAnsi="Times New Roman" w:cs="Times New Roman"/>
          <w:sz w:val="24"/>
          <w:szCs w:val="24"/>
        </w:rPr>
      </w:pPr>
      <w:r w:rsidRPr="009C52C4">
        <w:rPr>
          <w:rFonts w:ascii="Times New Roman" w:hAnsi="Times New Roman" w:cs="Times New Roman"/>
          <w:sz w:val="24"/>
          <w:szCs w:val="24"/>
        </w:rPr>
        <w:t>k</w:t>
      </w:r>
      <w:r w:rsidR="001B21FC" w:rsidRPr="009C52C4">
        <w:rPr>
          <w:rFonts w:ascii="Times New Roman" w:hAnsi="Times New Roman" w:cs="Times New Roman"/>
          <w:sz w:val="24"/>
          <w:szCs w:val="24"/>
        </w:rPr>
        <w:t>od cjelovite rekonstrukcije stambenih zgrada relativno uspješno se implementiraju izvori financiranja bez subvencija, poput ESCO modela, klasičnog zaduženja ili revolving fondova. Pokazuje se da kod stambenih zgrada, prije svega zbog visoke energetske potrošnje, postoji tržišna isplativost kod integralnih obnova čime se uključuje privatni kapital. Modeli su uočeni u zemljama gdje je izuzetno visoka potrošnja energije za grijanje, pogotovo zbog klimatskih specifičnosti (npr. Latvija)</w:t>
      </w:r>
    </w:p>
    <w:p w14:paraId="0E33006F" w14:textId="57E1B19F" w:rsidR="009C3590" w:rsidRPr="009C52C4" w:rsidRDefault="00FC19FC" w:rsidP="001B21FC">
      <w:pPr>
        <w:numPr>
          <w:ilvl w:val="0"/>
          <w:numId w:val="44"/>
        </w:numPr>
        <w:contextualSpacing/>
        <w:rPr>
          <w:rFonts w:ascii="Times New Roman" w:hAnsi="Times New Roman" w:cs="Times New Roman"/>
          <w:b/>
          <w:sz w:val="24"/>
          <w:szCs w:val="24"/>
        </w:rPr>
      </w:pPr>
      <w:r w:rsidRPr="009C52C4">
        <w:rPr>
          <w:rFonts w:ascii="Times New Roman" w:hAnsi="Times New Roman" w:cs="Times New Roman"/>
          <w:sz w:val="24"/>
          <w:szCs w:val="24"/>
        </w:rPr>
        <w:t>k</w:t>
      </w:r>
      <w:r w:rsidR="001B21FC" w:rsidRPr="009C52C4">
        <w:rPr>
          <w:rFonts w:ascii="Times New Roman" w:hAnsi="Times New Roman" w:cs="Times New Roman"/>
          <w:sz w:val="24"/>
          <w:szCs w:val="24"/>
        </w:rPr>
        <w:t xml:space="preserve">od cjelovite obnove javnih nestambenih zgrada u rijetkim primjerima je financiranje zatvoreno ESCO modelom bez sufinanciranja. Prije svega to ovisi o cijenama energenata, korištenim energentima, načinu korištenja zgrade i postojećoj tehnologiji (uključivo s vanjskom ovojnicom). Primjeri su pojedine zgrade bez mogućnosti </w:t>
      </w:r>
      <w:r w:rsidR="001B21FC" w:rsidRPr="009C52C4">
        <w:rPr>
          <w:rFonts w:ascii="Times New Roman" w:hAnsi="Times New Roman" w:cs="Times New Roman"/>
          <w:sz w:val="24"/>
          <w:szCs w:val="24"/>
        </w:rPr>
        <w:lastRenderedPageBreak/>
        <w:t>repliciranja na veći uzorak. Kako bi se model mogao proširiti</w:t>
      </w:r>
      <w:r w:rsidR="00FF3F82" w:rsidRPr="009C52C4">
        <w:rPr>
          <w:rFonts w:ascii="Times New Roman" w:hAnsi="Times New Roman" w:cs="Times New Roman"/>
          <w:sz w:val="24"/>
          <w:szCs w:val="24"/>
        </w:rPr>
        <w:t>,</w:t>
      </w:r>
      <w:r w:rsidR="001B21FC" w:rsidRPr="009C52C4">
        <w:rPr>
          <w:rFonts w:ascii="Times New Roman" w:hAnsi="Times New Roman" w:cs="Times New Roman"/>
          <w:sz w:val="24"/>
          <w:szCs w:val="24"/>
        </w:rPr>
        <w:t xml:space="preserve"> uvedene su subvencije što osigurava isplativost privatnim investitorima</w:t>
      </w:r>
      <w:bookmarkStart w:id="161" w:name="h.kgcv8k" w:colFirst="0" w:colLast="0"/>
      <w:bookmarkStart w:id="162" w:name="h.34g0dwd" w:colFirst="0" w:colLast="0"/>
      <w:bookmarkStart w:id="163" w:name="h.1jlao46" w:colFirst="0" w:colLast="0"/>
      <w:bookmarkEnd w:id="161"/>
      <w:bookmarkEnd w:id="162"/>
      <w:bookmarkEnd w:id="163"/>
    </w:p>
    <w:p w14:paraId="55A44F5B" w14:textId="77777777" w:rsidR="009C3590" w:rsidRPr="009C52C4" w:rsidRDefault="009C3590" w:rsidP="00DE2735">
      <w:pPr>
        <w:ind w:left="720"/>
        <w:contextualSpacing/>
        <w:rPr>
          <w:rFonts w:ascii="Times New Roman" w:hAnsi="Times New Roman" w:cs="Times New Roman"/>
          <w:sz w:val="24"/>
          <w:szCs w:val="24"/>
        </w:rPr>
      </w:pPr>
    </w:p>
    <w:p w14:paraId="1B853645" w14:textId="77777777" w:rsidR="009C3590" w:rsidRPr="009C52C4" w:rsidRDefault="009C3590" w:rsidP="00DE2735">
      <w:pPr>
        <w:contextualSpacing/>
        <w:rPr>
          <w:rFonts w:ascii="Times New Roman" w:hAnsi="Times New Roman" w:cs="Times New Roman"/>
          <w:sz w:val="24"/>
          <w:szCs w:val="24"/>
        </w:rPr>
      </w:pPr>
    </w:p>
    <w:p w14:paraId="607FB13B" w14:textId="0868029F" w:rsidR="009C3590" w:rsidRPr="009C52C4" w:rsidRDefault="009C3590" w:rsidP="009C3590">
      <w:pPr>
        <w:contextualSpacing/>
        <w:rPr>
          <w:rFonts w:ascii="Times New Roman" w:hAnsi="Times New Roman" w:cs="Times New Roman"/>
          <w:sz w:val="24"/>
          <w:szCs w:val="24"/>
        </w:rPr>
      </w:pPr>
      <w:r w:rsidRPr="009C52C4">
        <w:rPr>
          <w:rFonts w:ascii="Times New Roman" w:hAnsi="Times New Roman" w:cs="Times New Roman"/>
          <w:sz w:val="24"/>
          <w:szCs w:val="24"/>
        </w:rPr>
        <w:t>Ušteda energije za grijanje i hlađenje u stambenom fondu Republike Hrvatske je od velike važnosti iz sljedećih razloga:</w:t>
      </w:r>
    </w:p>
    <w:p w14:paraId="1DBF1F2B" w14:textId="193949C8" w:rsidR="009C3590" w:rsidRPr="009C52C4" w:rsidRDefault="009C3590" w:rsidP="00DE2735">
      <w:pPr>
        <w:pStyle w:val="ListParagraph"/>
        <w:numPr>
          <w:ilvl w:val="1"/>
          <w:numId w:val="44"/>
        </w:numPr>
        <w:ind w:left="1134"/>
        <w:rPr>
          <w:rFonts w:ascii="Times New Roman" w:hAnsi="Times New Roman" w:cs="Times New Roman"/>
          <w:sz w:val="24"/>
          <w:szCs w:val="24"/>
        </w:rPr>
      </w:pPr>
      <w:r w:rsidRPr="009C52C4">
        <w:rPr>
          <w:rFonts w:ascii="Times New Roman" w:hAnsi="Times New Roman" w:cs="Times New Roman"/>
          <w:sz w:val="24"/>
          <w:szCs w:val="24"/>
        </w:rPr>
        <w:t>smanjenje ispuštanja ugljičnog dioksida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u atmosferu</w:t>
      </w:r>
    </w:p>
    <w:p w14:paraId="481B7C54" w14:textId="45D04417" w:rsidR="009C3590" w:rsidRPr="009C52C4" w:rsidRDefault="009C3590" w:rsidP="00DE2735">
      <w:pPr>
        <w:pStyle w:val="ListParagraph"/>
        <w:numPr>
          <w:ilvl w:val="1"/>
          <w:numId w:val="44"/>
        </w:numPr>
        <w:ind w:left="1134"/>
        <w:rPr>
          <w:rFonts w:ascii="Times New Roman" w:hAnsi="Times New Roman" w:cs="Times New Roman"/>
          <w:sz w:val="24"/>
          <w:szCs w:val="24"/>
        </w:rPr>
      </w:pPr>
      <w:r w:rsidRPr="009C52C4">
        <w:rPr>
          <w:rFonts w:ascii="Times New Roman" w:hAnsi="Times New Roman" w:cs="Times New Roman"/>
          <w:sz w:val="24"/>
          <w:szCs w:val="24"/>
        </w:rPr>
        <w:t>sigurnost opskrbe - smanjenje ovisnosti zemlje o uvoznim energentima</w:t>
      </w:r>
    </w:p>
    <w:p w14:paraId="617D75D6" w14:textId="61D0F64D" w:rsidR="009C3590" w:rsidRPr="009C52C4" w:rsidRDefault="009C3590" w:rsidP="00DE2735">
      <w:pPr>
        <w:pStyle w:val="ListParagraph"/>
        <w:numPr>
          <w:ilvl w:val="1"/>
          <w:numId w:val="44"/>
        </w:numPr>
        <w:ind w:left="1134"/>
        <w:rPr>
          <w:rFonts w:ascii="Times New Roman" w:hAnsi="Times New Roman" w:cs="Times New Roman"/>
          <w:sz w:val="24"/>
          <w:szCs w:val="24"/>
        </w:rPr>
      </w:pPr>
      <w:r w:rsidRPr="009C52C4">
        <w:rPr>
          <w:rFonts w:ascii="Times New Roman" w:hAnsi="Times New Roman" w:cs="Times New Roman"/>
          <w:sz w:val="24"/>
          <w:szCs w:val="24"/>
        </w:rPr>
        <w:t>ušteda novčanih sredstava za nabavku energenata na strani dobavljača (država, tvrtke)</w:t>
      </w:r>
    </w:p>
    <w:p w14:paraId="251E6BFC" w14:textId="2885E0E9" w:rsidR="001D44C7" w:rsidRPr="009C52C4" w:rsidRDefault="009C3590" w:rsidP="004E1420">
      <w:pPr>
        <w:pStyle w:val="ListParagraph"/>
        <w:ind w:left="1134" w:hanging="360"/>
        <w:rPr>
          <w:rFonts w:ascii="Times New Roman" w:hAnsi="Times New Roman" w:cs="Times New Roman"/>
          <w:sz w:val="24"/>
          <w:szCs w:val="24"/>
        </w:rPr>
      </w:pPr>
      <w:r w:rsidRPr="009C52C4">
        <w:rPr>
          <w:rFonts w:ascii="Times New Roman" w:hAnsi="Times New Roman" w:cs="Times New Roman"/>
          <w:sz w:val="24"/>
          <w:szCs w:val="24"/>
        </w:rPr>
        <w:t xml:space="preserve">- </w:t>
      </w:r>
      <w:r w:rsidR="004E1420" w:rsidRPr="009C52C4">
        <w:rPr>
          <w:rFonts w:ascii="Times New Roman" w:hAnsi="Times New Roman" w:cs="Times New Roman"/>
          <w:sz w:val="24"/>
          <w:szCs w:val="24"/>
        </w:rPr>
        <w:tab/>
      </w:r>
      <w:r w:rsidRPr="009C52C4">
        <w:rPr>
          <w:rFonts w:ascii="Times New Roman" w:hAnsi="Times New Roman" w:cs="Times New Roman"/>
          <w:sz w:val="24"/>
          <w:szCs w:val="24"/>
        </w:rPr>
        <w:t>sprječavanje energetskog siromaštva - smanjenje troškova za energiju na strani korisnika/potrošača (kućanstva, stanovništvo)</w:t>
      </w:r>
    </w:p>
    <w:p w14:paraId="1B2162D7" w14:textId="77777777" w:rsidR="00F46E41" w:rsidRPr="009C52C4" w:rsidRDefault="00F46E41" w:rsidP="00DE2735">
      <w:pPr>
        <w:rPr>
          <w:rFonts w:ascii="Times New Roman" w:hAnsi="Times New Roman" w:cs="Times New Roman"/>
          <w:sz w:val="24"/>
          <w:szCs w:val="24"/>
        </w:rPr>
      </w:pPr>
    </w:p>
    <w:p w14:paraId="6AD97FBC" w14:textId="476EFA2F" w:rsidR="007D7645" w:rsidRPr="009C52C4" w:rsidRDefault="009C3590" w:rsidP="00DE2735">
      <w:pPr>
        <w:rPr>
          <w:rFonts w:ascii="Times New Roman" w:hAnsi="Times New Roman" w:cs="Times New Roman"/>
          <w:sz w:val="24"/>
          <w:szCs w:val="24"/>
        </w:rPr>
      </w:pPr>
      <w:r w:rsidRPr="009C52C4">
        <w:rPr>
          <w:rFonts w:ascii="Times New Roman" w:hAnsi="Times New Roman" w:cs="Times New Roman"/>
          <w:sz w:val="24"/>
          <w:szCs w:val="24"/>
        </w:rPr>
        <w:t xml:space="preserve">Ovaj je značaj prepoznat i u EU, u kojoj već postoje značajna iskustva s energetskom obnovom stambenih zgrada. </w:t>
      </w:r>
      <w:r w:rsidR="001D44C7" w:rsidRPr="009C52C4">
        <w:rPr>
          <w:rFonts w:ascii="Times New Roman" w:hAnsi="Times New Roman" w:cs="Times New Roman"/>
          <w:sz w:val="24"/>
          <w:szCs w:val="24"/>
        </w:rPr>
        <w:fldChar w:fldCharType="begin"/>
      </w:r>
      <w:r w:rsidR="001D44C7" w:rsidRPr="009C52C4">
        <w:rPr>
          <w:rFonts w:ascii="Times New Roman" w:hAnsi="Times New Roman" w:cs="Times New Roman"/>
          <w:sz w:val="24"/>
          <w:szCs w:val="24"/>
        </w:rPr>
        <w:instrText xml:space="preserve"> REF _Ref484523021 \h </w:instrText>
      </w:r>
      <w:r w:rsidR="00873572" w:rsidRPr="009C52C4">
        <w:rPr>
          <w:rFonts w:ascii="Times New Roman" w:hAnsi="Times New Roman" w:cs="Times New Roman"/>
          <w:sz w:val="24"/>
          <w:szCs w:val="24"/>
        </w:rPr>
        <w:instrText xml:space="preserve"> \* MERGEFORMAT </w:instrText>
      </w:r>
      <w:r w:rsidR="001D44C7" w:rsidRPr="009C52C4">
        <w:rPr>
          <w:rFonts w:ascii="Times New Roman" w:hAnsi="Times New Roman" w:cs="Times New Roman"/>
          <w:sz w:val="24"/>
          <w:szCs w:val="24"/>
        </w:rPr>
      </w:r>
      <w:r w:rsidR="001D44C7"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4</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w:t>
      </w:r>
      <w:r w:rsidR="001D44C7" w:rsidRPr="009C52C4">
        <w:rPr>
          <w:rFonts w:ascii="Times New Roman" w:hAnsi="Times New Roman" w:cs="Times New Roman"/>
          <w:sz w:val="24"/>
          <w:szCs w:val="24"/>
        </w:rPr>
        <w:fldChar w:fldCharType="end"/>
      </w:r>
      <w:r w:rsidR="001D44C7" w:rsidRPr="009C52C4">
        <w:rPr>
          <w:rFonts w:ascii="Times New Roman" w:hAnsi="Times New Roman" w:cs="Times New Roman"/>
          <w:sz w:val="24"/>
          <w:szCs w:val="24"/>
        </w:rPr>
        <w:t xml:space="preserve"> </w:t>
      </w:r>
      <w:r w:rsidRPr="009C52C4">
        <w:rPr>
          <w:rFonts w:ascii="Times New Roman" w:hAnsi="Times New Roman" w:cs="Times New Roman"/>
          <w:sz w:val="24"/>
          <w:szCs w:val="24"/>
        </w:rPr>
        <w:t>prikazuje mjere energetske obnove višestambenih zgrada u regiji EU</w:t>
      </w:r>
      <w:r w:rsidR="00716C3C" w:rsidRPr="009C52C4">
        <w:rPr>
          <w:rFonts w:ascii="Times New Roman" w:hAnsi="Times New Roman" w:cs="Times New Roman"/>
          <w:sz w:val="24"/>
          <w:szCs w:val="24"/>
        </w:rPr>
        <w:t>-a</w:t>
      </w:r>
      <w:r w:rsidRPr="009C52C4">
        <w:rPr>
          <w:rFonts w:ascii="Times New Roman" w:hAnsi="Times New Roman" w:cs="Times New Roman"/>
          <w:sz w:val="24"/>
          <w:szCs w:val="24"/>
        </w:rPr>
        <w:t xml:space="preserve"> koja obuhvaća zemlje Češku, Mađarsku, Slovačku i Sloveniju. Ova regija je klimatski približno najsličnija Hrvatskoj, premda i sa značajnim klimatskim razlikama u odnosu na Hrvatsku (jadranska regija). U navedenim zemljama, u višestambenim zgradama postoji oko 3 milijuna stanova, odnosno oko 27% stanova u regiji, što teoretski predstavlja oko 50.000 zgrada. Utvrđena je mogućnost uštede toplinske energije građevinskim mjerama od oko 64%, odnosno oko 75%, ako je uključen i učinak mjere ugradnje termostatskih ventila na grijaćim elementima. Jednostavno vrijeme povrata uloženih sredstava iznosi 8,6 godina. Ukupni potencijal za uštedu energije u višestambenim zgradama iznosi oko 39%, odnosno 2,5% potražnje za neposrednom energijom u regiji, ili 4 Mt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Posebnost navedene regije EU</w:t>
      </w:r>
      <w:r w:rsidR="00716C3C" w:rsidRPr="009C52C4">
        <w:rPr>
          <w:rFonts w:ascii="Times New Roman" w:hAnsi="Times New Roman" w:cs="Times New Roman"/>
          <w:sz w:val="24"/>
          <w:szCs w:val="24"/>
        </w:rPr>
        <w:t>-a</w:t>
      </w:r>
      <w:r w:rsidRPr="009C52C4">
        <w:rPr>
          <w:rFonts w:ascii="Times New Roman" w:hAnsi="Times New Roman" w:cs="Times New Roman"/>
          <w:sz w:val="24"/>
          <w:szCs w:val="24"/>
        </w:rPr>
        <w:t xml:space="preserve"> je najveća mogućnost uštede energije u odnosu na druge regije. Predmetne zgrade su pretežno građene od predgotovljenih velikoplošnih betonskih zidova, s ravnim betonskim krovovima i podovima te prozorima s dvostrukim ostakljenjem u drvenim okvirima. Zgrade su uglavnom priključene na mrežu daljinskog grijanja, s mogućnošću ugradnje termostatskih ventila i balansiranja.</w:t>
      </w:r>
    </w:p>
    <w:p w14:paraId="350640E4" w14:textId="77777777" w:rsidR="007D7645" w:rsidRPr="009C52C4" w:rsidRDefault="007D7645" w:rsidP="00DE2735">
      <w:pPr>
        <w:ind w:left="360"/>
        <w:rPr>
          <w:rFonts w:ascii="Times New Roman" w:hAnsi="Times New Roman" w:cs="Times New Roman"/>
          <w:sz w:val="24"/>
          <w:szCs w:val="24"/>
        </w:rPr>
      </w:pPr>
    </w:p>
    <w:p w14:paraId="4BF42C64" w14:textId="0780C66D" w:rsidR="007D7645" w:rsidRPr="009C52C4" w:rsidRDefault="007D7645" w:rsidP="007D7645">
      <w:pPr>
        <w:pStyle w:val="Caption"/>
        <w:rPr>
          <w:rFonts w:ascii="Times New Roman" w:hAnsi="Times New Roman" w:cs="Times New Roman"/>
          <w:b w:val="0"/>
          <w:sz w:val="24"/>
          <w:szCs w:val="24"/>
        </w:rPr>
      </w:pPr>
      <w:bookmarkStart w:id="164" w:name="_Ref484523021"/>
      <w:bookmarkStart w:id="165" w:name="_Toc2681324"/>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164"/>
      <w:r w:rsidRPr="009C52C4">
        <w:rPr>
          <w:rFonts w:ascii="Times New Roman" w:hAnsi="Times New Roman" w:cs="Times New Roman"/>
          <w:b w:val="0"/>
          <w:sz w:val="24"/>
          <w:szCs w:val="24"/>
        </w:rPr>
        <w:t xml:space="preserve"> Energetska obnova višestambenih zgrada, Međunarodne energetske agencije – IEA/AIE</w:t>
      </w:r>
      <w:bookmarkEnd w:id="165"/>
    </w:p>
    <w:p w14:paraId="7157CFB1" w14:textId="77777777" w:rsidR="007D7645" w:rsidRPr="009C52C4" w:rsidRDefault="007D7645" w:rsidP="007D7645">
      <w:pPr>
        <w:pStyle w:val="Caption"/>
        <w:rPr>
          <w:rFonts w:ascii="Times New Roman" w:hAnsi="Times New Roman" w:cs="Times New Roman"/>
          <w:sz w:val="24"/>
          <w:szCs w:val="24"/>
        </w:rPr>
      </w:pPr>
      <w:r w:rsidRPr="009C52C4">
        <w:rPr>
          <w:rFonts w:ascii="Times New Roman" w:hAnsi="Times New Roman" w:cs="Times New Roman"/>
          <w:b w:val="0"/>
          <w:sz w:val="24"/>
          <w:szCs w:val="24"/>
        </w:rPr>
        <w:t>Tablica br. 10, iz publikacije "High rise refurbishment"</w:t>
      </w:r>
    </w:p>
    <w:p w14:paraId="50C7B18F" w14:textId="77777777" w:rsidR="007D7645" w:rsidRPr="009C52C4" w:rsidRDefault="007D7645" w:rsidP="00574A75">
      <w:pPr>
        <w:jc w:val="left"/>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12A5B810" wp14:editId="7A92FBDA">
            <wp:extent cx="5504290" cy="2003729"/>
            <wp:effectExtent l="19050" t="19050" r="2032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9370" cy="2001938"/>
                    </a:xfrm>
                    <a:prstGeom prst="rect">
                      <a:avLst/>
                    </a:prstGeom>
                    <a:noFill/>
                    <a:ln>
                      <a:solidFill>
                        <a:schemeClr val="tx1"/>
                      </a:solidFill>
                    </a:ln>
                  </pic:spPr>
                </pic:pic>
              </a:graphicData>
            </a:graphic>
          </wp:inline>
        </w:drawing>
      </w:r>
    </w:p>
    <w:p w14:paraId="17F3A952" w14:textId="77777777" w:rsidR="001D44C7" w:rsidRPr="009C52C4" w:rsidRDefault="0030104F" w:rsidP="00574A75">
      <w:pPr>
        <w:rPr>
          <w:rFonts w:ascii="Times New Roman" w:hAnsi="Times New Roman" w:cs="Times New Roman"/>
          <w:sz w:val="24"/>
          <w:szCs w:val="24"/>
        </w:rPr>
      </w:pPr>
      <w:r w:rsidRPr="009C52C4">
        <w:rPr>
          <w:rFonts w:ascii="Times New Roman" w:hAnsi="Times New Roman" w:cs="Times New Roman"/>
          <w:sz w:val="24"/>
          <w:szCs w:val="24"/>
        </w:rPr>
        <w:t xml:space="preserve">Izvor: Program obnove višestambenih zgrada </w:t>
      </w:r>
    </w:p>
    <w:p w14:paraId="79B3779E" w14:textId="77777777" w:rsidR="0030104F" w:rsidRPr="009C52C4" w:rsidRDefault="0030104F" w:rsidP="001D44C7">
      <w:pPr>
        <w:ind w:left="360"/>
        <w:rPr>
          <w:rFonts w:ascii="Times New Roman" w:hAnsi="Times New Roman" w:cs="Times New Roman"/>
          <w:sz w:val="24"/>
          <w:szCs w:val="24"/>
        </w:rPr>
      </w:pPr>
    </w:p>
    <w:p w14:paraId="7500D784" w14:textId="4230F1C7" w:rsidR="001D44C7" w:rsidRPr="009C52C4" w:rsidRDefault="001D44C7" w:rsidP="00DE2735">
      <w:pPr>
        <w:tabs>
          <w:tab w:val="left" w:pos="0"/>
        </w:tabs>
        <w:rPr>
          <w:rFonts w:ascii="Times New Roman" w:hAnsi="Times New Roman" w:cs="Times New Roman"/>
          <w:sz w:val="24"/>
          <w:szCs w:val="24"/>
        </w:rPr>
      </w:pPr>
      <w:r w:rsidRPr="009C52C4">
        <w:rPr>
          <w:rFonts w:ascii="Times New Roman" w:hAnsi="Times New Roman" w:cs="Times New Roman"/>
          <w:sz w:val="24"/>
          <w:szCs w:val="24"/>
        </w:rPr>
        <w:t>Na razini EU</w:t>
      </w:r>
      <w:r w:rsidR="00716C3C" w:rsidRPr="009C52C4">
        <w:rPr>
          <w:rFonts w:ascii="Times New Roman" w:hAnsi="Times New Roman" w:cs="Times New Roman"/>
          <w:sz w:val="24"/>
          <w:szCs w:val="24"/>
        </w:rPr>
        <w:t>-a</w:t>
      </w:r>
      <w:r w:rsidRPr="009C52C4">
        <w:rPr>
          <w:rFonts w:ascii="Times New Roman" w:hAnsi="Times New Roman" w:cs="Times New Roman"/>
          <w:sz w:val="24"/>
          <w:szCs w:val="24"/>
        </w:rPr>
        <w:t xml:space="preserve">, u kojoj stambene zgrade predstavljaju 75% ukupnog fonda zgrada, razrađeno je nekoliko scenarija strukture i intenziteta provedbe energetske obnove ukupnog fonda stambenih i ostalih zgrada. U slučaju cjelovite energetske obnove, godišnja ušteda neposredne energije 2020. godine je procijenjena na 527 TWh, odnosno na 13% u odnosu na neposrednu </w:t>
      </w:r>
      <w:r w:rsidRPr="009C52C4">
        <w:rPr>
          <w:rFonts w:ascii="Times New Roman" w:hAnsi="Times New Roman" w:cs="Times New Roman"/>
          <w:sz w:val="24"/>
          <w:szCs w:val="24"/>
        </w:rPr>
        <w:lastRenderedPageBreak/>
        <w:t>potrošnju energije 2011. godine. Novčana ulaganja u energetsku obnovu zgrada bi prema ovom planu iznosila 477 milijardi €, a novčana ušteda 487 milijardi €. Godišnja smanjenje ispuštanja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bi 2020. godine iznosilo 161 Mt. Provedbom programa energetske obnove zgrada bi po scenariju cjelovite obnove</w:t>
      </w:r>
      <w:r w:rsidR="00716C3C" w:rsidRPr="009C52C4">
        <w:rPr>
          <w:rFonts w:ascii="Times New Roman" w:hAnsi="Times New Roman" w:cs="Times New Roman"/>
          <w:sz w:val="24"/>
          <w:szCs w:val="24"/>
        </w:rPr>
        <w:t>,</w:t>
      </w:r>
      <w:r w:rsidRPr="009C52C4">
        <w:rPr>
          <w:rFonts w:ascii="Times New Roman" w:hAnsi="Times New Roman" w:cs="Times New Roman"/>
          <w:sz w:val="24"/>
          <w:szCs w:val="24"/>
        </w:rPr>
        <w:t xml:space="preserve"> godišnje na razini EU</w:t>
      </w:r>
      <w:r w:rsidR="00716C3C" w:rsidRPr="009C52C4">
        <w:rPr>
          <w:rFonts w:ascii="Times New Roman" w:hAnsi="Times New Roman" w:cs="Times New Roman"/>
          <w:sz w:val="24"/>
          <w:szCs w:val="24"/>
        </w:rPr>
        <w:t>-a</w:t>
      </w:r>
      <w:r w:rsidRPr="009C52C4">
        <w:rPr>
          <w:rFonts w:ascii="Times New Roman" w:hAnsi="Times New Roman" w:cs="Times New Roman"/>
          <w:sz w:val="24"/>
          <w:szCs w:val="24"/>
        </w:rPr>
        <w:t xml:space="preserve"> bilo stvoreno 1,2 milijuna radnih mjesta. Pokretanjem Programa obnove višestambenih zgrada i obiteljskih kuća pojavit će se dvije grupe građevina – obnovljene i neobnovljene. Pritom će ove prve imati veću tržišnu cijenu, što dakle znači porast cijena nekretnina. No, iako Program obnove znači inicijalni porast cijena nekretnina, u skladu s mikroekonomskom teorijom, kako ponuda obnovljenih nekretnina raste, njihove će se cijena smanjivati, no u svakom će slučaju uvijek biti veća od cijene neobnovljene nekretnine. Iskustva iz EU zemalja, primjerice iz Irske, pokazuju da je razlika u cijeni nekretnine energetskog razreda A/B i F/G prosječno 16%</w:t>
      </w:r>
      <w:r w:rsidRPr="009C52C4">
        <w:rPr>
          <w:rStyle w:val="FootnoteReference"/>
          <w:rFonts w:ascii="Times New Roman" w:hAnsi="Times New Roman" w:cs="Times New Roman"/>
          <w:sz w:val="24"/>
          <w:szCs w:val="24"/>
        </w:rPr>
        <w:footnoteReference w:id="65"/>
      </w:r>
      <w:r w:rsidRPr="009C52C4">
        <w:rPr>
          <w:rFonts w:ascii="Times New Roman" w:hAnsi="Times New Roman" w:cs="Times New Roman"/>
          <w:sz w:val="24"/>
          <w:szCs w:val="24"/>
        </w:rPr>
        <w:t>.</w:t>
      </w:r>
      <w:r w:rsidR="00673D05" w:rsidRPr="009C52C4">
        <w:rPr>
          <w:rFonts w:ascii="Times New Roman" w:hAnsi="Times New Roman" w:cs="Times New Roman"/>
          <w:sz w:val="24"/>
          <w:szCs w:val="24"/>
        </w:rPr>
        <w:t xml:space="preserve"> </w:t>
      </w:r>
      <w:r w:rsidRPr="009C52C4">
        <w:rPr>
          <w:rFonts w:ascii="Times New Roman" w:hAnsi="Times New Roman" w:cs="Times New Roman"/>
          <w:sz w:val="24"/>
          <w:szCs w:val="24"/>
        </w:rPr>
        <w:t>Ovo je dodatni učinak Programa obnove, jer predstavlja poticaj vlasnicima</w:t>
      </w:r>
      <w:r w:rsidR="00673D05" w:rsidRPr="009C52C4">
        <w:rPr>
          <w:rFonts w:ascii="Times New Roman" w:hAnsi="Times New Roman" w:cs="Times New Roman"/>
          <w:sz w:val="24"/>
          <w:szCs w:val="24"/>
        </w:rPr>
        <w:t xml:space="preserve"> </w:t>
      </w:r>
      <w:r w:rsidRPr="009C52C4">
        <w:rPr>
          <w:rFonts w:ascii="Times New Roman" w:hAnsi="Times New Roman" w:cs="Times New Roman"/>
          <w:sz w:val="24"/>
          <w:szCs w:val="24"/>
        </w:rPr>
        <w:t>zgrada da investiraju u obnovu jer će prodajom/iznajmljivanjem</w:t>
      </w:r>
      <w:r w:rsidR="00673D05" w:rsidRPr="009C52C4">
        <w:rPr>
          <w:rFonts w:ascii="Times New Roman" w:hAnsi="Times New Roman" w:cs="Times New Roman"/>
          <w:sz w:val="24"/>
          <w:szCs w:val="24"/>
        </w:rPr>
        <w:t xml:space="preserve"> </w:t>
      </w:r>
      <w:r w:rsidRPr="009C52C4">
        <w:rPr>
          <w:rFonts w:ascii="Times New Roman" w:hAnsi="Times New Roman" w:cs="Times New Roman"/>
          <w:sz w:val="24"/>
          <w:szCs w:val="24"/>
        </w:rPr>
        <w:t>moći postići bolju cijenu.</w:t>
      </w:r>
    </w:p>
    <w:p w14:paraId="3C58CB2E" w14:textId="77777777" w:rsidR="00673D05" w:rsidRPr="009C52C4" w:rsidRDefault="00673D05" w:rsidP="00DE2735">
      <w:pPr>
        <w:ind w:left="360"/>
        <w:rPr>
          <w:rFonts w:ascii="Times New Roman" w:hAnsi="Times New Roman" w:cs="Times New Roman"/>
          <w:sz w:val="24"/>
          <w:szCs w:val="24"/>
        </w:rPr>
      </w:pPr>
    </w:p>
    <w:p w14:paraId="357770AA" w14:textId="77777777" w:rsidR="00F64457" w:rsidRPr="009C52C4" w:rsidRDefault="00F64457">
      <w:pPr>
        <w:rPr>
          <w:rFonts w:ascii="Times New Roman" w:hAnsi="Times New Roman" w:cs="Times New Roman"/>
          <w:b/>
          <w:sz w:val="24"/>
          <w:szCs w:val="24"/>
        </w:rPr>
      </w:pPr>
      <w:r w:rsidRPr="009C52C4">
        <w:rPr>
          <w:rFonts w:ascii="Times New Roman" w:hAnsi="Times New Roman" w:cs="Times New Roman"/>
          <w:sz w:val="24"/>
          <w:szCs w:val="24"/>
        </w:rPr>
        <w:br w:type="page"/>
      </w:r>
    </w:p>
    <w:p w14:paraId="4229F224" w14:textId="77777777" w:rsidR="00B122B4" w:rsidRPr="009C52C4" w:rsidRDefault="00F54CC3" w:rsidP="00AE7037">
      <w:pPr>
        <w:pStyle w:val="Heading2"/>
        <w:numPr>
          <w:ilvl w:val="1"/>
          <w:numId w:val="1"/>
        </w:numPr>
        <w:ind w:hanging="719"/>
        <w:rPr>
          <w:rFonts w:ascii="Times New Roman" w:hAnsi="Times New Roman" w:cs="Times New Roman"/>
          <w:sz w:val="24"/>
          <w:szCs w:val="24"/>
        </w:rPr>
      </w:pPr>
      <w:bookmarkStart w:id="166" w:name="_Toc3277923"/>
      <w:r w:rsidRPr="009C52C4">
        <w:rPr>
          <w:rFonts w:ascii="Times New Roman" w:hAnsi="Times New Roman" w:cs="Times New Roman"/>
          <w:sz w:val="24"/>
          <w:szCs w:val="24"/>
        </w:rPr>
        <w:lastRenderedPageBreak/>
        <w:t>Analiza postojećih prepreka za integralnu energetsku obnovu zgrada</w:t>
      </w:r>
      <w:bookmarkEnd w:id="166"/>
    </w:p>
    <w:p w14:paraId="5E3B1463" w14:textId="77777777" w:rsidR="00B122B4" w:rsidRPr="009C52C4" w:rsidRDefault="00B122B4">
      <w:pPr>
        <w:rPr>
          <w:rFonts w:ascii="Times New Roman" w:hAnsi="Times New Roman" w:cs="Times New Roman"/>
          <w:sz w:val="24"/>
          <w:szCs w:val="24"/>
        </w:rPr>
      </w:pPr>
    </w:p>
    <w:p w14:paraId="1B89F47B" w14:textId="6AB83562"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Postojeće prepreke za integralnu energetsku obnovu zgrada su brojne</w:t>
      </w:r>
      <w:r w:rsidR="00716C3C" w:rsidRPr="009C52C4">
        <w:rPr>
          <w:rFonts w:ascii="Times New Roman" w:hAnsi="Times New Roman" w:cs="Times New Roman"/>
          <w:sz w:val="24"/>
          <w:szCs w:val="24"/>
        </w:rPr>
        <w:t>,</w:t>
      </w:r>
      <w:r w:rsidRPr="009C52C4">
        <w:rPr>
          <w:rFonts w:ascii="Times New Roman" w:hAnsi="Times New Roman" w:cs="Times New Roman"/>
          <w:sz w:val="24"/>
          <w:szCs w:val="24"/>
        </w:rPr>
        <w:t xml:space="preserve"> a općenito se mogu podijeliti u 4 glavne kategorije prikazane na</w:t>
      </w:r>
      <w:r w:rsidR="00AB3EC7" w:rsidRPr="009C52C4">
        <w:rPr>
          <w:rFonts w:ascii="Times New Roman" w:hAnsi="Times New Roman" w:cs="Times New Roman"/>
          <w:sz w:val="24"/>
          <w:szCs w:val="24"/>
        </w:rPr>
        <w:t xml:space="preserve"> sljedećoj slici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_Ref483405638 \h </w:instrText>
      </w:r>
      <w:r w:rsidR="00EA5461"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Slika </w:t>
      </w:r>
      <w:r w:rsidR="009D1A7F" w:rsidRPr="009C52C4">
        <w:rPr>
          <w:rFonts w:ascii="Times New Roman" w:hAnsi="Times New Roman" w:cs="Times New Roman"/>
          <w:noProof/>
          <w:sz w:val="24"/>
          <w:szCs w:val="24"/>
        </w:rPr>
        <w:t>4.1</w:t>
      </w:r>
      <w:r w:rsidRPr="009C52C4">
        <w:rPr>
          <w:rFonts w:ascii="Times New Roman" w:hAnsi="Times New Roman" w:cs="Times New Roman"/>
          <w:sz w:val="24"/>
          <w:szCs w:val="24"/>
        </w:rPr>
        <w:fldChar w:fldCharType="end"/>
      </w:r>
      <w:r w:rsidR="00AB3EC7" w:rsidRPr="009C52C4">
        <w:rPr>
          <w:rFonts w:ascii="Times New Roman" w:hAnsi="Times New Roman" w:cs="Times New Roman"/>
          <w:sz w:val="24"/>
          <w:szCs w:val="24"/>
        </w:rPr>
        <w:t>)</w:t>
      </w:r>
      <w:r w:rsidRPr="009C52C4">
        <w:rPr>
          <w:rFonts w:ascii="Times New Roman" w:hAnsi="Times New Roman" w:cs="Times New Roman"/>
          <w:sz w:val="24"/>
          <w:szCs w:val="24"/>
        </w:rPr>
        <w:t>.</w:t>
      </w:r>
    </w:p>
    <w:p w14:paraId="1674D659" w14:textId="77777777" w:rsidR="004F09F1" w:rsidRPr="009C52C4" w:rsidRDefault="00ED6D1F" w:rsidP="004F09F1">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73D4C351" wp14:editId="205307FA">
            <wp:extent cx="4002339" cy="2400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2339" cy="2400952"/>
                    </a:xfrm>
                    <a:prstGeom prst="rect">
                      <a:avLst/>
                    </a:prstGeom>
                    <a:noFill/>
                    <a:ln>
                      <a:noFill/>
                    </a:ln>
                  </pic:spPr>
                </pic:pic>
              </a:graphicData>
            </a:graphic>
          </wp:inline>
        </w:drawing>
      </w:r>
    </w:p>
    <w:p w14:paraId="1B4FC8A2" w14:textId="3705991B" w:rsidR="004F09F1" w:rsidRPr="009C52C4" w:rsidRDefault="004F09F1" w:rsidP="004F09F1">
      <w:pPr>
        <w:pStyle w:val="Caption"/>
        <w:rPr>
          <w:rFonts w:ascii="Times New Roman" w:hAnsi="Times New Roman" w:cs="Times New Roman"/>
          <w:sz w:val="24"/>
          <w:szCs w:val="24"/>
        </w:rPr>
      </w:pPr>
      <w:bookmarkStart w:id="167" w:name="_Ref483405638"/>
      <w:bookmarkStart w:id="168" w:name="_Toc2681279"/>
      <w:r w:rsidRPr="009C52C4">
        <w:rPr>
          <w:rFonts w:ascii="Times New Roman" w:hAnsi="Times New Roman" w:cs="Times New Roman"/>
          <w:sz w:val="24"/>
          <w:szCs w:val="24"/>
        </w:rPr>
        <w:t xml:space="preserve">Slika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r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Slika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67"/>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Glavne kategorije postojećih prepreka za integralnu energetsku obnovu nacionalnog fonda zgrada Republike Hrvatske</w:t>
      </w:r>
      <w:r w:rsidRPr="009C52C4">
        <w:rPr>
          <w:rFonts w:ascii="Times New Roman" w:hAnsi="Times New Roman" w:cs="Times New Roman"/>
          <w:b w:val="0"/>
          <w:sz w:val="24"/>
          <w:szCs w:val="24"/>
          <w:vertAlign w:val="superscript"/>
        </w:rPr>
        <w:footnoteReference w:id="66"/>
      </w:r>
      <w:bookmarkEnd w:id="168"/>
    </w:p>
    <w:p w14:paraId="5ED0C072" w14:textId="77777777" w:rsidR="004F09F1" w:rsidRPr="009C52C4" w:rsidRDefault="004F09F1" w:rsidP="004F09F1">
      <w:pPr>
        <w:rPr>
          <w:rFonts w:ascii="Times New Roman" w:hAnsi="Times New Roman" w:cs="Times New Roman"/>
          <w:sz w:val="24"/>
          <w:szCs w:val="24"/>
        </w:rPr>
      </w:pPr>
      <w:bookmarkStart w:id="169" w:name="h.43ky6rz" w:colFirst="0" w:colLast="0"/>
      <w:bookmarkEnd w:id="169"/>
    </w:p>
    <w:p w14:paraId="1823F8C1" w14:textId="37E4E57E" w:rsidR="00866719" w:rsidRPr="009C52C4" w:rsidRDefault="004F09F1" w:rsidP="000C5A09">
      <w:pPr>
        <w:rPr>
          <w:rFonts w:ascii="Times New Roman" w:hAnsi="Times New Roman" w:cs="Times New Roman"/>
          <w:sz w:val="24"/>
          <w:szCs w:val="24"/>
        </w:rPr>
      </w:pPr>
      <w:r w:rsidRPr="009C52C4">
        <w:rPr>
          <w:rFonts w:ascii="Times New Roman" w:hAnsi="Times New Roman" w:cs="Times New Roman"/>
          <w:sz w:val="24"/>
          <w:szCs w:val="24"/>
        </w:rPr>
        <w:t>Generalno se može zaključiti da su glavne prepreke obnovi nacionalnog fonda zgrada Republike Hrvatske financijske prirode</w:t>
      </w:r>
      <w:r w:rsidRPr="009C52C4">
        <w:rPr>
          <w:rFonts w:ascii="Times New Roman" w:hAnsi="Times New Roman" w:cs="Times New Roman"/>
          <w:sz w:val="24"/>
          <w:szCs w:val="24"/>
          <w:vertAlign w:val="superscript"/>
        </w:rPr>
        <w:footnoteReference w:id="67"/>
      </w:r>
      <w:r w:rsidRPr="009C52C4">
        <w:rPr>
          <w:rFonts w:ascii="Times New Roman" w:hAnsi="Times New Roman" w:cs="Times New Roman"/>
          <w:sz w:val="24"/>
          <w:szCs w:val="24"/>
        </w:rPr>
        <w:t xml:space="preserve"> ali i da integralnu energetsku obnovu zgrada u velikoj mjeri koči neupućenost i nedovoljna motiviranost investitora, javnosti i interesnih grupa. </w:t>
      </w:r>
      <w:r w:rsidR="00F47A80" w:rsidRPr="009C52C4">
        <w:rPr>
          <w:rFonts w:ascii="Times New Roman" w:hAnsi="Times New Roman" w:cs="Times New Roman"/>
          <w:sz w:val="24"/>
          <w:szCs w:val="24"/>
        </w:rPr>
        <w:t>Direktiva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nalaže potporu razvoja tržišta energetskih usluga, razvoj novih financijskih mehanizama i poticaja te institucionalnih, financijskih i pravnih okvira za uklanjanje postojećih tržišnih prepreka i nedostataka koji spr</w:t>
      </w:r>
      <w:r w:rsidR="00716C3C" w:rsidRPr="009C52C4">
        <w:rPr>
          <w:rFonts w:ascii="Times New Roman" w:hAnsi="Times New Roman" w:cs="Times New Roman"/>
          <w:sz w:val="24"/>
          <w:szCs w:val="24"/>
        </w:rPr>
        <w:t>j</w:t>
      </w:r>
      <w:r w:rsidRPr="009C52C4">
        <w:rPr>
          <w:rFonts w:ascii="Times New Roman" w:hAnsi="Times New Roman" w:cs="Times New Roman"/>
          <w:sz w:val="24"/>
          <w:szCs w:val="24"/>
        </w:rPr>
        <w:t xml:space="preserve">ečavaju učinkovitu krajnju potrošnju energije. Slijedom toga, u ovom poglavlju su identificirane pravne, financijske i organizacijske prepreke široj provedbi mjera povećanja energetske učinkovitosti. </w:t>
      </w:r>
    </w:p>
    <w:p w14:paraId="370AD39D" w14:textId="77777777" w:rsidR="004F09F1" w:rsidRPr="009C52C4" w:rsidRDefault="004F09F1" w:rsidP="004F09F1">
      <w:pPr>
        <w:rPr>
          <w:rFonts w:ascii="Times New Roman" w:hAnsi="Times New Roman" w:cs="Times New Roman"/>
          <w:sz w:val="24"/>
          <w:szCs w:val="24"/>
        </w:rPr>
      </w:pPr>
    </w:p>
    <w:p w14:paraId="3564FD29" w14:textId="6344D409"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Ulaskom u Europsku uniju Hrvatska je preuzela obvezu potpune usklađenosti relevantne nacionalne legislative s EU direktivama</w:t>
      </w:r>
      <w:r w:rsidR="003B3EEF" w:rsidRPr="009C52C4">
        <w:rPr>
          <w:rFonts w:ascii="Times New Roman" w:hAnsi="Times New Roman" w:cs="Times New Roman"/>
          <w:sz w:val="24"/>
          <w:szCs w:val="24"/>
        </w:rPr>
        <w:t>. I</w:t>
      </w:r>
      <w:r w:rsidRPr="009C52C4">
        <w:rPr>
          <w:rFonts w:ascii="Times New Roman" w:hAnsi="Times New Roman" w:cs="Times New Roman"/>
          <w:sz w:val="24"/>
          <w:szCs w:val="24"/>
        </w:rPr>
        <w:t>majući u vidu složenost zadatka, investiranje u integralnu obnovu nacionalnog fonda zgrada predstavlja rizik svim zainteresiranim stranama: od investitora preko financijskih institucija do vlasnika</w:t>
      </w:r>
      <w:r w:rsidR="00716C3C" w:rsidRPr="009C52C4">
        <w:rPr>
          <w:rFonts w:ascii="Times New Roman" w:hAnsi="Times New Roman" w:cs="Times New Roman"/>
          <w:sz w:val="24"/>
          <w:szCs w:val="24"/>
        </w:rPr>
        <w:t>,</w:t>
      </w:r>
      <w:r w:rsidRPr="009C52C4">
        <w:rPr>
          <w:rFonts w:ascii="Times New Roman" w:hAnsi="Times New Roman" w:cs="Times New Roman"/>
          <w:sz w:val="24"/>
          <w:szCs w:val="24"/>
        </w:rPr>
        <w:t xml:space="preserve"> odnosno korisnika zgrada.</w:t>
      </w:r>
    </w:p>
    <w:p w14:paraId="7E50E089" w14:textId="77777777" w:rsidR="00866719" w:rsidRPr="009C52C4" w:rsidRDefault="00866719" w:rsidP="004F09F1">
      <w:pPr>
        <w:rPr>
          <w:rFonts w:ascii="Times New Roman" w:hAnsi="Times New Roman" w:cs="Times New Roman"/>
          <w:sz w:val="24"/>
          <w:szCs w:val="24"/>
        </w:rPr>
      </w:pPr>
    </w:p>
    <w:p w14:paraId="7FC2F561"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Postojeća hrvatska legislativa je zadovoljavajuća u dijelu koji se odnosi na tehničke smjernice i zahtjeve za energetskom obnovom zgrada te ne predstavlja prepreku u tehničkom smislu, ali nedostaje regulativa koja bi obvezala na energetsku obnovu postojećih zgrada uz obavezno korištenje optimalnog obnovljivog izvora energije za grijanje i hlađenje</w:t>
      </w:r>
      <w:r w:rsidR="003B43FE" w:rsidRPr="009C52C4">
        <w:rPr>
          <w:rFonts w:ascii="Times New Roman" w:hAnsi="Times New Roman" w:cs="Times New Roman"/>
          <w:sz w:val="24"/>
          <w:szCs w:val="24"/>
        </w:rPr>
        <w:t xml:space="preserve"> gdje je to tehnički izvedivo i ekonomski isplativo</w:t>
      </w:r>
      <w:r w:rsidRPr="009C52C4">
        <w:rPr>
          <w:rFonts w:ascii="Times New Roman" w:hAnsi="Times New Roman" w:cs="Times New Roman"/>
          <w:sz w:val="24"/>
          <w:szCs w:val="24"/>
        </w:rPr>
        <w:t>. U ovom je trenutku regulirana jedino obveza provedbe energetskih pregleda i izrade i izlaganja energetskih certifikata.</w:t>
      </w:r>
    </w:p>
    <w:p w14:paraId="754C9620" w14:textId="77777777" w:rsidR="00ED6D1F" w:rsidRPr="009C52C4" w:rsidRDefault="00ED6D1F" w:rsidP="004F09F1">
      <w:pPr>
        <w:rPr>
          <w:rFonts w:ascii="Times New Roman" w:hAnsi="Times New Roman" w:cs="Times New Roman"/>
          <w:sz w:val="24"/>
          <w:szCs w:val="24"/>
        </w:rPr>
      </w:pPr>
    </w:p>
    <w:p w14:paraId="16284EA0" w14:textId="77777777" w:rsidR="00D9126F"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Velika gospodarska kriza u Hrvatskoj, rezultirala je znatnim smanjenjem investicijskog kapaciteta za ulaganje u sve grane gospodarstva pa tako i u građevinski sektor u dijelu koji se odnosi na obnovu postojećih zgrada koji je u velikoj mjeri ovisan o gospodarskim pokazateljima na nacionalnoj razini. </w:t>
      </w:r>
    </w:p>
    <w:p w14:paraId="235D137D" w14:textId="77777777" w:rsidR="00D9126F" w:rsidRPr="009C52C4" w:rsidRDefault="00D9126F" w:rsidP="004F09F1">
      <w:pPr>
        <w:rPr>
          <w:rFonts w:ascii="Times New Roman" w:hAnsi="Times New Roman" w:cs="Times New Roman"/>
          <w:sz w:val="24"/>
          <w:szCs w:val="24"/>
        </w:rPr>
      </w:pPr>
    </w:p>
    <w:p w14:paraId="44C16133" w14:textId="798D9101"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lastRenderedPageBreak/>
        <w:t>Kako od početka gospodarske krize 200</w:t>
      </w:r>
      <w:r w:rsidR="00716C3C" w:rsidRPr="009C52C4">
        <w:rPr>
          <w:rFonts w:ascii="Times New Roman" w:hAnsi="Times New Roman" w:cs="Times New Roman"/>
          <w:sz w:val="24"/>
          <w:szCs w:val="24"/>
        </w:rPr>
        <w:t>8</w:t>
      </w:r>
      <w:r w:rsidRPr="009C52C4">
        <w:rPr>
          <w:rFonts w:ascii="Times New Roman" w:hAnsi="Times New Roman" w:cs="Times New Roman"/>
          <w:sz w:val="24"/>
          <w:szCs w:val="24"/>
        </w:rPr>
        <w:t xml:space="preserve">. godine hrvatsko gospodarstvo bilježi stalan pad i obnova svih vrsta građevina je u konstantnom opadanju. Važan pokazatelj kretanja u građevinskom sektoru je indeks fizičkog obujma građevinskih radova koji se temelji na odrađenim satima radnika na gradilištima prema Metodologiji za kratkoročne poslovne statistike. Prema podacima Državnog zavoda za statistiku, indeks fizičkog obujma građevinskih radova je do 2008. godine bilježio konstantan rast da bi od tada do </w:t>
      </w:r>
      <w:r w:rsidR="003B43FE" w:rsidRPr="009C52C4">
        <w:rPr>
          <w:rFonts w:ascii="Times New Roman" w:hAnsi="Times New Roman" w:cs="Times New Roman"/>
          <w:sz w:val="24"/>
          <w:szCs w:val="24"/>
        </w:rPr>
        <w:t xml:space="preserve">2014. godine </w:t>
      </w:r>
      <w:r w:rsidRPr="009C52C4">
        <w:rPr>
          <w:rFonts w:ascii="Times New Roman" w:hAnsi="Times New Roman" w:cs="Times New Roman"/>
          <w:sz w:val="24"/>
          <w:szCs w:val="24"/>
        </w:rPr>
        <w:t xml:space="preserve">bilježio pad Budući da </w:t>
      </w:r>
      <w:r w:rsidR="003B43FE" w:rsidRPr="009C52C4">
        <w:rPr>
          <w:rFonts w:ascii="Times New Roman" w:hAnsi="Times New Roman" w:cs="Times New Roman"/>
          <w:sz w:val="24"/>
          <w:szCs w:val="24"/>
        </w:rPr>
        <w:t xml:space="preserve">je </w:t>
      </w:r>
      <w:r w:rsidRPr="009C52C4">
        <w:rPr>
          <w:rFonts w:ascii="Times New Roman" w:hAnsi="Times New Roman" w:cs="Times New Roman"/>
          <w:sz w:val="24"/>
          <w:szCs w:val="24"/>
        </w:rPr>
        <w:t xml:space="preserve">oporavku građevinskog sektora u Hrvatskoj </w:t>
      </w:r>
      <w:r w:rsidR="003B43FE" w:rsidRPr="009C52C4">
        <w:rPr>
          <w:rFonts w:ascii="Times New Roman" w:hAnsi="Times New Roman" w:cs="Times New Roman"/>
          <w:sz w:val="24"/>
          <w:szCs w:val="24"/>
        </w:rPr>
        <w:t xml:space="preserve">prethodio </w:t>
      </w:r>
      <w:r w:rsidRPr="009C52C4">
        <w:rPr>
          <w:rFonts w:ascii="Times New Roman" w:hAnsi="Times New Roman" w:cs="Times New Roman"/>
          <w:sz w:val="24"/>
          <w:szCs w:val="24"/>
        </w:rPr>
        <w:t xml:space="preserve">oporavak cijelog realnog sektora (posljedično i tržišta rada) prilično je realno očekivati </w:t>
      </w:r>
      <w:r w:rsidR="003B43FE" w:rsidRPr="009C52C4">
        <w:rPr>
          <w:rFonts w:ascii="Times New Roman" w:hAnsi="Times New Roman" w:cs="Times New Roman"/>
          <w:sz w:val="24"/>
          <w:szCs w:val="24"/>
        </w:rPr>
        <w:t xml:space="preserve">nastavak trenda pozitivnih pomaka </w:t>
      </w:r>
      <w:r w:rsidRPr="009C52C4">
        <w:rPr>
          <w:rFonts w:ascii="Times New Roman" w:hAnsi="Times New Roman" w:cs="Times New Roman"/>
          <w:sz w:val="24"/>
          <w:szCs w:val="24"/>
        </w:rPr>
        <w:t xml:space="preserve">koji </w:t>
      </w:r>
      <w:r w:rsidR="003B43FE" w:rsidRPr="009C52C4">
        <w:rPr>
          <w:rFonts w:ascii="Times New Roman" w:hAnsi="Times New Roman" w:cs="Times New Roman"/>
          <w:sz w:val="24"/>
          <w:szCs w:val="24"/>
        </w:rPr>
        <w:t xml:space="preserve">će </w:t>
      </w:r>
      <w:r w:rsidRPr="009C52C4">
        <w:rPr>
          <w:rFonts w:ascii="Times New Roman" w:hAnsi="Times New Roman" w:cs="Times New Roman"/>
          <w:sz w:val="24"/>
          <w:szCs w:val="24"/>
        </w:rPr>
        <w:t xml:space="preserve">značajnije pridonijeli njegovom </w:t>
      </w:r>
      <w:r w:rsidR="003B43FE" w:rsidRPr="009C52C4">
        <w:rPr>
          <w:rFonts w:ascii="Times New Roman" w:hAnsi="Times New Roman" w:cs="Times New Roman"/>
          <w:sz w:val="24"/>
          <w:szCs w:val="24"/>
        </w:rPr>
        <w:t>daljnjem</w:t>
      </w:r>
      <w:r w:rsidR="0053653F" w:rsidRPr="009C52C4">
        <w:rPr>
          <w:rFonts w:ascii="Times New Roman" w:hAnsi="Times New Roman" w:cs="Times New Roman"/>
          <w:sz w:val="24"/>
          <w:szCs w:val="24"/>
        </w:rPr>
        <w:t xml:space="preserve"> </w:t>
      </w:r>
      <w:r w:rsidRPr="009C52C4">
        <w:rPr>
          <w:rFonts w:ascii="Times New Roman" w:hAnsi="Times New Roman" w:cs="Times New Roman"/>
          <w:sz w:val="24"/>
          <w:szCs w:val="24"/>
        </w:rPr>
        <w:t>oporavku, osobito u svjetlu kapitalnih investicija.</w:t>
      </w:r>
    </w:p>
    <w:p w14:paraId="49BAC39C" w14:textId="77777777" w:rsidR="004F09F1" w:rsidRPr="009C52C4" w:rsidRDefault="004F09F1" w:rsidP="004F09F1">
      <w:pPr>
        <w:rPr>
          <w:rFonts w:ascii="Times New Roman" w:hAnsi="Times New Roman" w:cs="Times New Roman"/>
          <w:sz w:val="24"/>
          <w:szCs w:val="24"/>
        </w:rPr>
      </w:pPr>
    </w:p>
    <w:p w14:paraId="1CEF0899" w14:textId="25C67686"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Ako se generalno lošoj financijskoj situaciji u Hrvatskoj doda i prilično dug</w:t>
      </w:r>
      <w:r w:rsidR="00A83EC5" w:rsidRPr="009C52C4">
        <w:rPr>
          <w:rFonts w:ascii="Times New Roman" w:hAnsi="Times New Roman" w:cs="Times New Roman"/>
          <w:sz w:val="24"/>
          <w:szCs w:val="24"/>
        </w:rPr>
        <w:t>o</w:t>
      </w:r>
      <w:r w:rsidRPr="009C52C4">
        <w:rPr>
          <w:rFonts w:ascii="Times New Roman" w:hAnsi="Times New Roman" w:cs="Times New Roman"/>
          <w:sz w:val="24"/>
          <w:szCs w:val="24"/>
        </w:rPr>
        <w:t xml:space="preserve"> </w:t>
      </w:r>
      <w:r w:rsidR="00D4611E" w:rsidRPr="009C52C4">
        <w:rPr>
          <w:rFonts w:ascii="Times New Roman" w:hAnsi="Times New Roman" w:cs="Times New Roman"/>
          <w:sz w:val="24"/>
          <w:szCs w:val="24"/>
        </w:rPr>
        <w:t>razdoblje</w:t>
      </w:r>
      <w:r w:rsidRPr="009C52C4">
        <w:rPr>
          <w:rFonts w:ascii="Times New Roman" w:hAnsi="Times New Roman" w:cs="Times New Roman"/>
          <w:sz w:val="24"/>
          <w:szCs w:val="24"/>
        </w:rPr>
        <w:t xml:space="preserve"> povrata investicije ulaganja u obnovu, te nedovoljni financijski poticaji i nedostatak</w:t>
      </w:r>
      <w:r w:rsidR="00AB2664" w:rsidRPr="009C52C4">
        <w:rPr>
          <w:rFonts w:ascii="Times New Roman" w:hAnsi="Times New Roman" w:cs="Times New Roman"/>
          <w:sz w:val="24"/>
          <w:szCs w:val="24"/>
        </w:rPr>
        <w:t xml:space="preserve"> uspješnih financijskih modela </w:t>
      </w:r>
      <w:r w:rsidRPr="009C52C4">
        <w:rPr>
          <w:rFonts w:ascii="Times New Roman" w:hAnsi="Times New Roman" w:cs="Times New Roman"/>
          <w:sz w:val="24"/>
          <w:szCs w:val="24"/>
        </w:rPr>
        <w:t xml:space="preserve">financijske barijere još više dobivaju na snazi. Izostanak sustava snažnih poticaja i nedovoljna pripremljenost financijskih institucija za kreditiranje energetske obnove zgrada dodatno usporavaju cijeli proces. I u velikoj mjeri socijalno određena cijena energenata u Hrvatskoj destimulira provođenje mjera energetske učinkovitosti, prvenstveno onih s relativno dugim </w:t>
      </w:r>
      <w:r w:rsidR="00716C3C" w:rsidRPr="009C52C4">
        <w:rPr>
          <w:rFonts w:ascii="Times New Roman" w:hAnsi="Times New Roman" w:cs="Times New Roman"/>
          <w:sz w:val="24"/>
          <w:szCs w:val="24"/>
        </w:rPr>
        <w:t>razdobljem</w:t>
      </w:r>
      <w:r w:rsidRPr="009C52C4">
        <w:rPr>
          <w:rFonts w:ascii="Times New Roman" w:hAnsi="Times New Roman" w:cs="Times New Roman"/>
          <w:sz w:val="24"/>
          <w:szCs w:val="24"/>
        </w:rPr>
        <w:t xml:space="preserve"> povrata investicija. Očekivanim porastom cijena energenata, energetska će obnova biti financijski isplativija i ova će se barijera vremenom smanjivati. </w:t>
      </w:r>
    </w:p>
    <w:p w14:paraId="19298FA7" w14:textId="77777777" w:rsidR="004F09F1" w:rsidRPr="009C52C4" w:rsidRDefault="004F09F1" w:rsidP="004F09F1">
      <w:pPr>
        <w:rPr>
          <w:rFonts w:ascii="Times New Roman" w:hAnsi="Times New Roman" w:cs="Times New Roman"/>
          <w:sz w:val="24"/>
          <w:szCs w:val="24"/>
        </w:rPr>
      </w:pPr>
    </w:p>
    <w:p w14:paraId="6A78CABD" w14:textId="090B6B62"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Sljedeća barijera o kojoj se </w:t>
      </w:r>
      <w:r w:rsidR="00384358" w:rsidRPr="009C52C4">
        <w:rPr>
          <w:rFonts w:ascii="Times New Roman" w:hAnsi="Times New Roman" w:cs="Times New Roman"/>
          <w:sz w:val="24"/>
          <w:szCs w:val="24"/>
        </w:rPr>
        <w:t xml:space="preserve">vodi računa samo djelomično </w:t>
      </w:r>
      <w:r w:rsidRPr="009C52C4">
        <w:rPr>
          <w:rFonts w:ascii="Times New Roman" w:hAnsi="Times New Roman" w:cs="Times New Roman"/>
          <w:sz w:val="24"/>
          <w:szCs w:val="24"/>
        </w:rPr>
        <w:t xml:space="preserve">je informiranost, educiranost i sudjelovanje javnosti u donošenju važnih odluka o obnovi zgrada. Nedovoljna informiranost o pozitivnim učincima za svakog pojedinca i društvo u cjelini koje integralna obnova čitavog nacionalnog fonda zgrada sigurno donosi, rezultira nedovoljnom motiviranošću, te često i neutemeljenim povećanjem rizika koji dodatno blokiraju potencijalne investitore. Nadalje, za razliku od zgrada javne namjene, gdje su vlasnički odnosi relativno jednostavni, vlasnički odnosi višestambenih zgrada su iznimno složeni jer je za donošenje odluka o ulaganju u obnovu, u ovisnosti o visini ulaganja nužna suglasnost </w:t>
      </w:r>
      <w:r w:rsidR="00333C4E" w:rsidRPr="009C52C4">
        <w:rPr>
          <w:rFonts w:ascii="Times New Roman" w:hAnsi="Times New Roman" w:cs="Times New Roman"/>
          <w:sz w:val="24"/>
          <w:szCs w:val="24"/>
        </w:rPr>
        <w:t>natpolovične većine suvlasnika zgrade koja se računa po suvlasničkim dijelovima i po broju suvlasnika nekretnine.</w:t>
      </w:r>
    </w:p>
    <w:p w14:paraId="3706A308" w14:textId="77777777" w:rsidR="004F09F1" w:rsidRPr="009C52C4" w:rsidRDefault="004F09F1" w:rsidP="004F09F1">
      <w:pPr>
        <w:rPr>
          <w:rFonts w:ascii="Times New Roman" w:hAnsi="Times New Roman" w:cs="Times New Roman"/>
          <w:sz w:val="24"/>
          <w:szCs w:val="24"/>
        </w:rPr>
      </w:pPr>
    </w:p>
    <w:p w14:paraId="14A932B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Preduvjet uspješnog pokretanja i provođenja integralne energetske obnove nacionalnog fonda zgrada je dobra razvijenost tržišta građevinskih i energetskih usluga, te dovoljan broj iskusnih tvrtki specijaliziranih za provođenje integralne energetske obnove koja obuhvaća strojarske, energetske i građevinske elemente zgrade i zahtjeva interdisciplinarni pristup. Kriza hrvatskog građevinskog i energetskog sektora koja je rezultirala zatvaranjem ili odlaskom u stečaj velikog broja tvrtki, je dodatno pojačala postojeću barijeru nedovoljnog kapaciteta, znanja, sposobnosti i vještina za uspješno provođenje složenog zadatka integralne obnove zgrada. </w:t>
      </w:r>
    </w:p>
    <w:p w14:paraId="3A0C456B" w14:textId="77777777" w:rsidR="00DE2735" w:rsidRPr="009C52C4" w:rsidRDefault="00DE2735" w:rsidP="004F09F1">
      <w:pPr>
        <w:rPr>
          <w:rFonts w:ascii="Times New Roman" w:hAnsi="Times New Roman" w:cs="Times New Roman"/>
          <w:sz w:val="24"/>
          <w:szCs w:val="24"/>
        </w:rPr>
      </w:pPr>
    </w:p>
    <w:p w14:paraId="03CFDBAA" w14:textId="501D1D82"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Važnu barijeru uspješnoj provedbi integralne obnove zgrada, čine i demografski i migracijski trendovi, kao i promjene u kulturi stanovanja i životnim navikama. Integralna obnova zgrada je složen postupak s velikim brojem sudionika međusobno povezanih različitim interesima i ciljevima koji čine još jednu u nizu barijera uspješnoj provedbi. Neriješeni imovinsko-pravni odnosi i status vlasništva nad nekretninom su sljedeća prepreka u donošenju odluke o energetskoj obnovi.</w:t>
      </w:r>
    </w:p>
    <w:p w14:paraId="582AA84D" w14:textId="77777777" w:rsidR="00FF3F82" w:rsidRPr="009C52C4" w:rsidRDefault="00FF3F82" w:rsidP="004F09F1">
      <w:pPr>
        <w:rPr>
          <w:rFonts w:ascii="Times New Roman" w:hAnsi="Times New Roman" w:cs="Times New Roman"/>
          <w:sz w:val="24"/>
          <w:szCs w:val="24"/>
        </w:rPr>
      </w:pPr>
    </w:p>
    <w:p w14:paraId="7A3A72E8" w14:textId="4423F196" w:rsidR="008F4661" w:rsidRPr="009C52C4" w:rsidRDefault="004F09F1" w:rsidP="000C5A09">
      <w:pPr>
        <w:rPr>
          <w:rFonts w:ascii="Times New Roman" w:hAnsi="Times New Roman" w:cs="Times New Roman"/>
          <w:sz w:val="24"/>
          <w:szCs w:val="24"/>
        </w:rPr>
      </w:pPr>
      <w:r w:rsidRPr="009C52C4">
        <w:rPr>
          <w:rFonts w:ascii="Times New Roman" w:hAnsi="Times New Roman" w:cs="Times New Roman"/>
          <w:sz w:val="24"/>
          <w:szCs w:val="24"/>
        </w:rPr>
        <w:t>Karakteristična prepreka koja usporava proces energetske obnove zgrada javnog sektora je proces javne nabave koji je uvijek dugotrajan</w:t>
      </w:r>
      <w:r w:rsidR="00214978"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a u većem broju slučajeva i nezadovoljavajućih rezultata. </w:t>
      </w:r>
      <w:r w:rsidR="00120934" w:rsidRPr="009C52C4">
        <w:rPr>
          <w:rFonts w:ascii="Times New Roman" w:hAnsi="Times New Roman" w:cs="Times New Roman"/>
          <w:sz w:val="24"/>
          <w:szCs w:val="24"/>
        </w:rPr>
        <w:t>Do sada provedeni p</w:t>
      </w:r>
      <w:r w:rsidRPr="009C52C4">
        <w:rPr>
          <w:rFonts w:ascii="Times New Roman" w:hAnsi="Times New Roman" w:cs="Times New Roman"/>
          <w:sz w:val="24"/>
          <w:szCs w:val="24"/>
        </w:rPr>
        <w:t xml:space="preserve">rocesi nabave koji </w:t>
      </w:r>
      <w:r w:rsidR="00120934" w:rsidRPr="009C52C4">
        <w:rPr>
          <w:rFonts w:ascii="Times New Roman" w:hAnsi="Times New Roman" w:cs="Times New Roman"/>
          <w:sz w:val="24"/>
          <w:szCs w:val="24"/>
        </w:rPr>
        <w:t xml:space="preserve">su </w:t>
      </w:r>
      <w:r w:rsidRPr="009C52C4">
        <w:rPr>
          <w:rFonts w:ascii="Times New Roman" w:hAnsi="Times New Roman" w:cs="Times New Roman"/>
          <w:sz w:val="24"/>
          <w:szCs w:val="24"/>
        </w:rPr>
        <w:t xml:space="preserve">se </w:t>
      </w:r>
      <w:r w:rsidR="00120934" w:rsidRPr="009C52C4">
        <w:rPr>
          <w:rFonts w:ascii="Times New Roman" w:hAnsi="Times New Roman" w:cs="Times New Roman"/>
          <w:sz w:val="24"/>
          <w:szCs w:val="24"/>
        </w:rPr>
        <w:t xml:space="preserve">temeljili </w:t>
      </w:r>
      <w:r w:rsidRPr="009C52C4">
        <w:rPr>
          <w:rFonts w:ascii="Times New Roman" w:hAnsi="Times New Roman" w:cs="Times New Roman"/>
          <w:sz w:val="24"/>
          <w:szCs w:val="24"/>
        </w:rPr>
        <w:t xml:space="preserve">na financijski najpovoljnijim kriterijima odabira izvođača jednostavno </w:t>
      </w:r>
      <w:r w:rsidR="00120934" w:rsidRPr="009C52C4">
        <w:rPr>
          <w:rFonts w:ascii="Times New Roman" w:hAnsi="Times New Roman" w:cs="Times New Roman"/>
          <w:sz w:val="24"/>
          <w:szCs w:val="24"/>
        </w:rPr>
        <w:t xml:space="preserve">nisu davali </w:t>
      </w:r>
      <w:r w:rsidRPr="009C52C4">
        <w:rPr>
          <w:rFonts w:ascii="Times New Roman" w:hAnsi="Times New Roman" w:cs="Times New Roman"/>
          <w:sz w:val="24"/>
          <w:szCs w:val="24"/>
        </w:rPr>
        <w:t xml:space="preserve">dobre rezultate. Takvi ugovorni odnosi </w:t>
      </w:r>
      <w:r w:rsidRPr="009C52C4">
        <w:rPr>
          <w:rFonts w:ascii="Times New Roman" w:hAnsi="Times New Roman" w:cs="Times New Roman"/>
          <w:sz w:val="24"/>
          <w:szCs w:val="24"/>
        </w:rPr>
        <w:lastRenderedPageBreak/>
        <w:t>ne jamče kvalitetu, poštivanje rokova gradnje niti dugoročno jamstvo za izvedene radove. Potrebno je tijekom sl</w:t>
      </w:r>
      <w:r w:rsidR="00214978" w:rsidRPr="009C52C4">
        <w:rPr>
          <w:rFonts w:ascii="Times New Roman" w:hAnsi="Times New Roman" w:cs="Times New Roman"/>
          <w:sz w:val="24"/>
          <w:szCs w:val="24"/>
        </w:rPr>
        <w:t>j</w:t>
      </w:r>
      <w:r w:rsidRPr="009C52C4">
        <w:rPr>
          <w:rFonts w:ascii="Times New Roman" w:hAnsi="Times New Roman" w:cs="Times New Roman"/>
          <w:sz w:val="24"/>
          <w:szCs w:val="24"/>
        </w:rPr>
        <w:t xml:space="preserve">edećih godina, na području ugovaranja radova u javnom sektoru, </w:t>
      </w:r>
      <w:r w:rsidR="00120934" w:rsidRPr="009C52C4">
        <w:rPr>
          <w:rFonts w:ascii="Times New Roman" w:hAnsi="Times New Roman" w:cs="Times New Roman"/>
          <w:sz w:val="24"/>
          <w:szCs w:val="24"/>
        </w:rPr>
        <w:t xml:space="preserve">primjenom modela ekonomski najpovoljnije ponude </w:t>
      </w:r>
      <w:r w:rsidRPr="009C52C4">
        <w:rPr>
          <w:rFonts w:ascii="Times New Roman" w:hAnsi="Times New Roman" w:cs="Times New Roman"/>
          <w:sz w:val="24"/>
          <w:szCs w:val="24"/>
        </w:rPr>
        <w:t xml:space="preserve">primjenjivati </w:t>
      </w:r>
      <w:r w:rsidR="00120934" w:rsidRPr="009C52C4">
        <w:rPr>
          <w:rFonts w:ascii="Times New Roman" w:hAnsi="Times New Roman" w:cs="Times New Roman"/>
          <w:sz w:val="24"/>
          <w:szCs w:val="24"/>
        </w:rPr>
        <w:t xml:space="preserve">i kriterije </w:t>
      </w:r>
      <w:r w:rsidRPr="009C52C4">
        <w:rPr>
          <w:rFonts w:ascii="Times New Roman" w:hAnsi="Times New Roman" w:cs="Times New Roman"/>
          <w:sz w:val="24"/>
          <w:szCs w:val="24"/>
        </w:rPr>
        <w:t>poput tzv. Projektiraj i gradi</w:t>
      </w:r>
      <w:r w:rsidR="00C1206E" w:rsidRPr="009C52C4">
        <w:rPr>
          <w:rStyle w:val="FootnoteReference"/>
          <w:rFonts w:ascii="Times New Roman" w:hAnsi="Times New Roman" w:cs="Times New Roman"/>
          <w:sz w:val="24"/>
          <w:szCs w:val="24"/>
        </w:rPr>
        <w:footnoteReference w:id="68"/>
      </w:r>
      <w:r w:rsidRPr="009C52C4">
        <w:rPr>
          <w:rFonts w:ascii="Times New Roman" w:hAnsi="Times New Roman" w:cs="Times New Roman"/>
          <w:sz w:val="24"/>
          <w:szCs w:val="24"/>
        </w:rPr>
        <w:t xml:space="preserve"> (engl. </w:t>
      </w:r>
      <w:r w:rsidRPr="009C52C4">
        <w:rPr>
          <w:rFonts w:ascii="Times New Roman" w:hAnsi="Times New Roman" w:cs="Times New Roman"/>
          <w:i/>
          <w:sz w:val="24"/>
          <w:szCs w:val="24"/>
        </w:rPr>
        <w:t>Design and Build</w:t>
      </w:r>
      <w:r w:rsidRPr="009C52C4">
        <w:rPr>
          <w:rFonts w:ascii="Times New Roman" w:hAnsi="Times New Roman" w:cs="Times New Roman"/>
          <w:sz w:val="24"/>
          <w:szCs w:val="24"/>
        </w:rPr>
        <w:t xml:space="preserve">) ili ESCO </w:t>
      </w:r>
      <w:r w:rsidR="00120934" w:rsidRPr="009C52C4">
        <w:rPr>
          <w:rFonts w:ascii="Times New Roman" w:hAnsi="Times New Roman" w:cs="Times New Roman"/>
          <w:sz w:val="24"/>
          <w:szCs w:val="24"/>
        </w:rPr>
        <w:t>odnosno JPP modela</w:t>
      </w:r>
      <w:r w:rsidR="00BC54C0" w:rsidRPr="009C52C4">
        <w:rPr>
          <w:rStyle w:val="FootnoteReference"/>
          <w:rFonts w:ascii="Times New Roman" w:hAnsi="Times New Roman" w:cs="Times New Roman"/>
          <w:sz w:val="24"/>
          <w:szCs w:val="24"/>
        </w:rPr>
        <w:footnoteReference w:id="69"/>
      </w:r>
      <w:r w:rsidR="00BC54C0"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realizacije s obveznim </w:t>
      </w:r>
      <w:r w:rsidR="006107D4" w:rsidRPr="009C52C4">
        <w:rPr>
          <w:rFonts w:ascii="Times New Roman" w:hAnsi="Times New Roman" w:cs="Times New Roman"/>
          <w:sz w:val="24"/>
          <w:szCs w:val="24"/>
        </w:rPr>
        <w:t>kriterijima</w:t>
      </w:r>
      <w:r w:rsidRPr="009C52C4">
        <w:rPr>
          <w:rFonts w:ascii="Times New Roman" w:hAnsi="Times New Roman" w:cs="Times New Roman"/>
          <w:sz w:val="24"/>
          <w:szCs w:val="24"/>
        </w:rPr>
        <w:t xml:space="preserve"> odabira ponuditelja poput najnižeg ukupnog životnog troška (engl. </w:t>
      </w:r>
      <w:r w:rsidRPr="009C52C4">
        <w:rPr>
          <w:rFonts w:ascii="Times New Roman" w:hAnsi="Times New Roman" w:cs="Times New Roman"/>
          <w:i/>
          <w:sz w:val="24"/>
          <w:szCs w:val="24"/>
        </w:rPr>
        <w:t>Whole Life Cicle Cost</w:t>
      </w:r>
      <w:r w:rsidRPr="009C52C4">
        <w:rPr>
          <w:rFonts w:ascii="Times New Roman" w:hAnsi="Times New Roman" w:cs="Times New Roman"/>
          <w:sz w:val="24"/>
          <w:szCs w:val="24"/>
        </w:rPr>
        <w:t>), postizanja zajamčenih ušteda te jamstava na izvedene radove.</w:t>
      </w:r>
    </w:p>
    <w:p w14:paraId="3BDE90F7" w14:textId="77777777" w:rsidR="004F09F1" w:rsidRPr="009C52C4" w:rsidRDefault="004F09F1" w:rsidP="004F09F1">
      <w:pPr>
        <w:rPr>
          <w:rFonts w:ascii="Times New Roman" w:hAnsi="Times New Roman" w:cs="Times New Roman"/>
          <w:sz w:val="24"/>
          <w:szCs w:val="24"/>
        </w:rPr>
      </w:pPr>
    </w:p>
    <w:p w14:paraId="646C1FEE" w14:textId="72FE85ED" w:rsidR="004F09F1" w:rsidRPr="009C52C4" w:rsidRDefault="004F09F1" w:rsidP="00C960C8">
      <w:pPr>
        <w:rPr>
          <w:rFonts w:ascii="Times New Roman" w:hAnsi="Times New Roman" w:cs="Times New Roman"/>
          <w:sz w:val="24"/>
          <w:szCs w:val="24"/>
        </w:rPr>
      </w:pPr>
      <w:r w:rsidRPr="009C52C4">
        <w:rPr>
          <w:rFonts w:ascii="Times New Roman" w:hAnsi="Times New Roman" w:cs="Times New Roman"/>
          <w:sz w:val="24"/>
          <w:szCs w:val="24"/>
        </w:rPr>
        <w:t>Sukladno Zakonu o proračunu</w:t>
      </w:r>
      <w:r w:rsidR="00214978" w:rsidRPr="009C52C4">
        <w:rPr>
          <w:rFonts w:ascii="Times New Roman" w:hAnsi="Times New Roman" w:cs="Times New Roman"/>
          <w:sz w:val="24"/>
          <w:szCs w:val="24"/>
        </w:rPr>
        <w:t xml:space="preserve"> (NN 87/08, 136/12 i 15/15)</w:t>
      </w:r>
      <w:r w:rsidRPr="009C52C4">
        <w:rPr>
          <w:rFonts w:ascii="Times New Roman" w:hAnsi="Times New Roman" w:cs="Times New Roman"/>
          <w:sz w:val="24"/>
          <w:szCs w:val="24"/>
        </w:rPr>
        <w:t xml:space="preserve">, jedinice lokalne i područne (regionalne) samouprave mogu se zaduživati uzimanjem kredita, zajmova i izdavanjem vrijednosnih papira. Ukupna godišnja obveza jedinica lokalne i područne (regionalne) samouprave može iznositi najviše do 20% ostvarenih prihoda u godini koja prethodi godini u kojoj se zadužuju. No, ta odredba se ne odnosi na projekte koji se sufinanciraju iz pretpristupnih programa i fondova Europske unije te na projekte iz područja unaprjeđenja energetske učinkovitosti u kojima sudjeluju jedinice lokalne i područne (regionalne) samouprave kao i porezni i računovodstveni tretman ugovora o energetskom učinku koji u RH nije dovoljno transparentan. Iz prethodno analiziranih prepreka nameće se potreba dorade tipskog ugovora o energetskom učinku, koji je osnova za uspostavljanje održivog modela i otklanjanje važnih barijera za provedbu. Kako su uvjeti ugovora u provođenju postupka javne nabave definirani dokumentacijom za nadmetanje, izrada tipskog ugovora olakšava i samu provedbu postupka javne nabave te smanjuje administrativni teret. Dokumentacija za javnu nabavu treba sadržavati, osim uobičajenih dijelova i ranije opisanu tehničku podlogu, tipski ugovor o energetskom učinku i pravila postupanja pri verifikaciji ušteda i/ili projekta energetske obnove zgrade, a kriteriji za odabir moraju biti predvidljivi, transparentni i nediskriminirajući. </w:t>
      </w:r>
    </w:p>
    <w:p w14:paraId="2311E340" w14:textId="77777777" w:rsidR="004F09F1" w:rsidRPr="009C52C4" w:rsidRDefault="004F09F1" w:rsidP="004F09F1">
      <w:pPr>
        <w:rPr>
          <w:rFonts w:ascii="Times New Roman" w:hAnsi="Times New Roman" w:cs="Times New Roman"/>
          <w:sz w:val="24"/>
          <w:szCs w:val="24"/>
        </w:rPr>
      </w:pPr>
    </w:p>
    <w:p w14:paraId="0047D669" w14:textId="55A4D442"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U praksi se pojavljuje problem različitih tumačenja opsega javno-privatnog partnerstva u odnosu na ugovor o energetskom učinku. Jasno razgraničenje ova dva instituta preduvjet su za sigurnost javnog sektora, koji je često dobivao kontradiktorne upute vezano uz ugovaranje, odnosno p</w:t>
      </w:r>
      <w:r w:rsidR="00DB3991" w:rsidRPr="009C52C4">
        <w:rPr>
          <w:rFonts w:ascii="Times New Roman" w:hAnsi="Times New Roman" w:cs="Times New Roman"/>
          <w:sz w:val="24"/>
          <w:szCs w:val="24"/>
        </w:rPr>
        <w:t xml:space="preserve">rimjenu ova dva modela. Iako </w:t>
      </w:r>
      <w:r w:rsidRPr="009C52C4">
        <w:rPr>
          <w:rFonts w:ascii="Times New Roman" w:hAnsi="Times New Roman" w:cs="Times New Roman"/>
          <w:sz w:val="24"/>
          <w:szCs w:val="24"/>
        </w:rPr>
        <w:t xml:space="preserve">postoje različiti tipovi partnerstava između javnih i privatnih subjekata, bez sumnje velik utjecaj u ovom području ima razumijevanje pojedinih važnih općih pojmova i njihovo pravilno korištenje u praksi. Pojam javno-privatnog partnerstva shvaća se u najširem mogućem smislu, odnosno kao bilo koji „ugovorni ili zakonom uređen odnos između javnih i privatnih subjekata usmjeren ka unapređenju i/ili širenju infrastrukturnih usluga.” U takvoj definiciji, JPP u smislu Zakona o javno-privatnom partnerstvu </w:t>
      </w:r>
      <w:r w:rsidR="00494596" w:rsidRPr="009C52C4">
        <w:rPr>
          <w:rFonts w:ascii="Times New Roman" w:hAnsi="Times New Roman" w:cs="Times New Roman"/>
          <w:sz w:val="24"/>
          <w:szCs w:val="24"/>
        </w:rPr>
        <w:t>(NN</w:t>
      </w:r>
      <w:r w:rsidR="00CD7981" w:rsidRPr="009C52C4">
        <w:rPr>
          <w:rFonts w:ascii="Times New Roman" w:hAnsi="Times New Roman" w:cs="Times New Roman"/>
          <w:sz w:val="24"/>
          <w:szCs w:val="24"/>
        </w:rPr>
        <w:t xml:space="preserve"> </w:t>
      </w:r>
      <w:r w:rsidRPr="009C52C4">
        <w:rPr>
          <w:rFonts w:ascii="Times New Roman" w:hAnsi="Times New Roman" w:cs="Times New Roman"/>
          <w:sz w:val="24"/>
          <w:szCs w:val="24"/>
        </w:rPr>
        <w:t>78/12</w:t>
      </w:r>
      <w:r w:rsidR="00214978" w:rsidRPr="009C52C4">
        <w:rPr>
          <w:rFonts w:ascii="Times New Roman" w:hAnsi="Times New Roman" w:cs="Times New Roman"/>
          <w:sz w:val="24"/>
          <w:szCs w:val="24"/>
        </w:rPr>
        <w:t>,</w:t>
      </w:r>
      <w:r w:rsidRPr="009C52C4">
        <w:rPr>
          <w:rFonts w:ascii="Times New Roman" w:hAnsi="Times New Roman" w:cs="Times New Roman"/>
          <w:sz w:val="24"/>
          <w:szCs w:val="24"/>
        </w:rPr>
        <w:t xml:space="preserve"> 152/14</w:t>
      </w:r>
      <w:r w:rsidR="00214978" w:rsidRPr="009C52C4">
        <w:rPr>
          <w:rFonts w:ascii="Times New Roman" w:hAnsi="Times New Roman" w:cs="Times New Roman"/>
          <w:sz w:val="24"/>
          <w:szCs w:val="24"/>
        </w:rPr>
        <w:t xml:space="preserve"> i 114/08</w:t>
      </w:r>
      <w:r w:rsidRPr="009C52C4">
        <w:rPr>
          <w:rFonts w:ascii="Times New Roman" w:hAnsi="Times New Roman" w:cs="Times New Roman"/>
          <w:sz w:val="24"/>
          <w:szCs w:val="24"/>
        </w:rPr>
        <w:t xml:space="preserve">) samo je jedan od pojavnih </w:t>
      </w:r>
      <w:r w:rsidR="006107D4" w:rsidRPr="009C52C4">
        <w:rPr>
          <w:rFonts w:ascii="Times New Roman" w:hAnsi="Times New Roman" w:cs="Times New Roman"/>
          <w:sz w:val="24"/>
          <w:szCs w:val="24"/>
        </w:rPr>
        <w:t>oblika javno</w:t>
      </w:r>
      <w:r w:rsidRPr="009C52C4">
        <w:rPr>
          <w:rFonts w:ascii="Times New Roman" w:hAnsi="Times New Roman" w:cs="Times New Roman"/>
          <w:sz w:val="24"/>
          <w:szCs w:val="24"/>
        </w:rPr>
        <w:t>-privatnog partnerstva, specifičan za hrvatsko zakonodavstvo.</w:t>
      </w:r>
    </w:p>
    <w:p w14:paraId="5EF92A8C" w14:textId="77777777" w:rsidR="00384358" w:rsidRPr="009C52C4" w:rsidRDefault="00384358" w:rsidP="004F09F1">
      <w:pPr>
        <w:rPr>
          <w:rFonts w:ascii="Times New Roman" w:hAnsi="Times New Roman" w:cs="Times New Roman"/>
          <w:sz w:val="24"/>
          <w:szCs w:val="24"/>
        </w:rPr>
      </w:pPr>
    </w:p>
    <w:p w14:paraId="17E223B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Polazeći od takve definicije, energetska usluga mogla bi se okarakterizirati kao javno-privatno partnerstvo </w:t>
      </w:r>
      <w:r w:rsidR="00B70136" w:rsidRPr="009C52C4">
        <w:rPr>
          <w:rFonts w:ascii="Times New Roman" w:hAnsi="Times New Roman" w:cs="Times New Roman"/>
          <w:sz w:val="24"/>
          <w:szCs w:val="24"/>
        </w:rPr>
        <w:t xml:space="preserve">(u statističkom smislu, ali ne i u smislu Zakona o javno-privatnom partnerstvu) </w:t>
      </w:r>
      <w:r w:rsidRPr="009C52C4">
        <w:rPr>
          <w:rFonts w:ascii="Times New Roman" w:hAnsi="Times New Roman" w:cs="Times New Roman"/>
          <w:sz w:val="24"/>
          <w:szCs w:val="24"/>
        </w:rPr>
        <w:t xml:space="preserve">isključivo u situaciji kada se tijekom provedbe energetske usluge pruža </w:t>
      </w:r>
      <w:r w:rsidR="00037D15" w:rsidRPr="009C52C4">
        <w:rPr>
          <w:rFonts w:ascii="Times New Roman" w:hAnsi="Times New Roman" w:cs="Times New Roman"/>
          <w:sz w:val="24"/>
          <w:szCs w:val="24"/>
        </w:rPr>
        <w:t xml:space="preserve">i </w:t>
      </w:r>
      <w:r w:rsidRPr="009C52C4">
        <w:rPr>
          <w:rFonts w:ascii="Times New Roman" w:hAnsi="Times New Roman" w:cs="Times New Roman"/>
          <w:sz w:val="24"/>
          <w:szCs w:val="24"/>
        </w:rPr>
        <w:t>usluga održavanja</w:t>
      </w:r>
      <w:r w:rsidR="00B70136" w:rsidRPr="009C52C4">
        <w:rPr>
          <w:rFonts w:ascii="Times New Roman" w:hAnsi="Times New Roman" w:cs="Times New Roman"/>
          <w:sz w:val="24"/>
          <w:szCs w:val="24"/>
        </w:rPr>
        <w:t xml:space="preserve"> </w:t>
      </w:r>
      <w:r w:rsidR="00B70136" w:rsidRPr="009C52C4">
        <w:rPr>
          <w:rFonts w:ascii="Times New Roman" w:hAnsi="Times New Roman" w:cs="Times New Roman"/>
          <w:sz w:val="24"/>
          <w:szCs w:val="24"/>
        </w:rPr>
        <w:lastRenderedPageBreak/>
        <w:t>svih građevnih dijelova i tehničkih sustava zgrade, uključujući i one koji nemaju direktan utjecaj na energetska svojstva zgrade</w:t>
      </w:r>
      <w:r w:rsidRPr="009C52C4">
        <w:rPr>
          <w:rFonts w:ascii="Times New Roman" w:hAnsi="Times New Roman" w:cs="Times New Roman"/>
          <w:sz w:val="24"/>
          <w:szCs w:val="24"/>
        </w:rPr>
        <w:t xml:space="preserve">. Razlikovanje modela javno-privatnog partnerstva i energetske usluge sukladno Zakonu o javno-privatnom partnerstvu najjasnije se očituje u tri elementa koje </w:t>
      </w:r>
      <w:r w:rsidR="00D261BB" w:rsidRPr="009C52C4">
        <w:rPr>
          <w:rFonts w:ascii="Times New Roman" w:hAnsi="Times New Roman" w:cs="Times New Roman"/>
          <w:sz w:val="24"/>
          <w:szCs w:val="24"/>
        </w:rPr>
        <w:t>isti</w:t>
      </w:r>
      <w:r w:rsidRPr="009C52C4">
        <w:rPr>
          <w:rFonts w:ascii="Times New Roman" w:hAnsi="Times New Roman" w:cs="Times New Roman"/>
          <w:sz w:val="24"/>
          <w:szCs w:val="24"/>
        </w:rPr>
        <w:t xml:space="preserve"> definira:</w:t>
      </w:r>
    </w:p>
    <w:p w14:paraId="5981DA95" w14:textId="19977C7B" w:rsidR="004F09F1" w:rsidRPr="009C52C4" w:rsidRDefault="004F09F1" w:rsidP="004F09F1">
      <w:pPr>
        <w:ind w:left="720"/>
        <w:rPr>
          <w:rFonts w:ascii="Times New Roman" w:hAnsi="Times New Roman" w:cs="Times New Roman"/>
          <w:sz w:val="24"/>
          <w:szCs w:val="24"/>
        </w:rPr>
      </w:pPr>
      <w:r w:rsidRPr="009C52C4">
        <w:rPr>
          <w:rFonts w:ascii="Times New Roman" w:hAnsi="Times New Roman" w:cs="Times New Roman"/>
          <w:sz w:val="24"/>
          <w:szCs w:val="24"/>
        </w:rPr>
        <w:t>I.</w:t>
      </w:r>
      <w:r w:rsidRPr="009C52C4">
        <w:rPr>
          <w:rFonts w:ascii="Times New Roman" w:hAnsi="Times New Roman" w:cs="Times New Roman"/>
          <w:sz w:val="24"/>
          <w:szCs w:val="24"/>
        </w:rPr>
        <w:tab/>
      </w:r>
      <w:r w:rsidR="00214978" w:rsidRPr="009C52C4">
        <w:rPr>
          <w:rFonts w:ascii="Times New Roman" w:hAnsi="Times New Roman" w:cs="Times New Roman"/>
          <w:sz w:val="24"/>
          <w:szCs w:val="24"/>
        </w:rPr>
        <w:t>d</w:t>
      </w:r>
      <w:r w:rsidRPr="009C52C4">
        <w:rPr>
          <w:rFonts w:ascii="Times New Roman" w:hAnsi="Times New Roman" w:cs="Times New Roman"/>
          <w:sz w:val="24"/>
          <w:szCs w:val="24"/>
        </w:rPr>
        <w:t>efinicija projekta javno-privatnog partnerstva</w:t>
      </w:r>
    </w:p>
    <w:p w14:paraId="65AB668F" w14:textId="0AC4A036" w:rsidR="004F09F1" w:rsidRPr="009C52C4" w:rsidRDefault="004F09F1" w:rsidP="004F09F1">
      <w:pPr>
        <w:ind w:left="720"/>
        <w:rPr>
          <w:rFonts w:ascii="Times New Roman" w:hAnsi="Times New Roman" w:cs="Times New Roman"/>
          <w:sz w:val="24"/>
          <w:szCs w:val="24"/>
        </w:rPr>
      </w:pPr>
      <w:r w:rsidRPr="009C52C4">
        <w:rPr>
          <w:rFonts w:ascii="Times New Roman" w:hAnsi="Times New Roman" w:cs="Times New Roman"/>
          <w:sz w:val="24"/>
          <w:szCs w:val="24"/>
        </w:rPr>
        <w:t>II.</w:t>
      </w:r>
      <w:r w:rsidRPr="009C52C4">
        <w:rPr>
          <w:rFonts w:ascii="Times New Roman" w:hAnsi="Times New Roman" w:cs="Times New Roman"/>
          <w:sz w:val="24"/>
          <w:szCs w:val="24"/>
        </w:rPr>
        <w:tab/>
      </w:r>
      <w:r w:rsidR="00214978" w:rsidRPr="009C52C4">
        <w:rPr>
          <w:rFonts w:ascii="Times New Roman" w:hAnsi="Times New Roman" w:cs="Times New Roman"/>
          <w:sz w:val="24"/>
          <w:szCs w:val="24"/>
        </w:rPr>
        <w:t>o</w:t>
      </w:r>
      <w:r w:rsidRPr="009C52C4">
        <w:rPr>
          <w:rFonts w:ascii="Times New Roman" w:hAnsi="Times New Roman" w:cs="Times New Roman"/>
          <w:sz w:val="24"/>
          <w:szCs w:val="24"/>
        </w:rPr>
        <w:t>bveza uspostavljanja društva posebne namjene</w:t>
      </w:r>
    </w:p>
    <w:p w14:paraId="7B8A7362" w14:textId="07139FF4" w:rsidR="004F09F1" w:rsidRPr="009C52C4" w:rsidRDefault="004F09F1" w:rsidP="004F09F1">
      <w:pPr>
        <w:ind w:left="720"/>
        <w:rPr>
          <w:rFonts w:ascii="Times New Roman" w:hAnsi="Times New Roman" w:cs="Times New Roman"/>
          <w:sz w:val="24"/>
          <w:szCs w:val="24"/>
        </w:rPr>
      </w:pPr>
      <w:r w:rsidRPr="009C52C4">
        <w:rPr>
          <w:rFonts w:ascii="Times New Roman" w:hAnsi="Times New Roman" w:cs="Times New Roman"/>
          <w:sz w:val="24"/>
          <w:szCs w:val="24"/>
        </w:rPr>
        <w:t>III.</w:t>
      </w:r>
      <w:r w:rsidRPr="009C52C4">
        <w:rPr>
          <w:rFonts w:ascii="Times New Roman" w:hAnsi="Times New Roman" w:cs="Times New Roman"/>
          <w:sz w:val="24"/>
          <w:szCs w:val="24"/>
        </w:rPr>
        <w:tab/>
      </w:r>
      <w:r w:rsidR="00214978" w:rsidRPr="009C52C4">
        <w:rPr>
          <w:rFonts w:ascii="Times New Roman" w:hAnsi="Times New Roman" w:cs="Times New Roman"/>
          <w:sz w:val="24"/>
          <w:szCs w:val="24"/>
        </w:rPr>
        <w:t>p</w:t>
      </w:r>
      <w:r w:rsidRPr="009C52C4">
        <w:rPr>
          <w:rFonts w:ascii="Times New Roman" w:hAnsi="Times New Roman" w:cs="Times New Roman"/>
          <w:sz w:val="24"/>
          <w:szCs w:val="24"/>
        </w:rPr>
        <w:t>ravo građenja ili koncesija kao obvezan dio ugovora o javno-privatnom partnerstvu.</w:t>
      </w:r>
    </w:p>
    <w:p w14:paraId="097964F9" w14:textId="77777777" w:rsidR="004F09F1" w:rsidRPr="009C52C4" w:rsidRDefault="004F09F1" w:rsidP="004F09F1">
      <w:pPr>
        <w:rPr>
          <w:rFonts w:ascii="Times New Roman" w:hAnsi="Times New Roman" w:cs="Times New Roman"/>
          <w:sz w:val="24"/>
          <w:szCs w:val="24"/>
        </w:rPr>
      </w:pPr>
    </w:p>
    <w:p w14:paraId="11236D5E"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Sukladno važećim pravilima o javnom dugu i deficitu, odnosno Europskom računovodstvenom standardu, bitno obilježje JPP-a je da, u slučaju renoviranja postojeće zgrade, ulaganja privatnog partnera moraju iznositi više od 50% konačne tržišne vrijednosti zgrade nakon obnove. Ukoliko ovakva razina ulaganja nije postignuta, takav ugovor nije ugovor o JPP-u. Kako se ugovorom o energetskom učinku nikada ne postižu takvi iznosi za postojeće zgrade, ovo pravilo postavlja i jasno razgraničenje ugovora o energetskom učinku i ugovora o javno- privatnom partnerstvu.</w:t>
      </w:r>
    </w:p>
    <w:p w14:paraId="17275883" w14:textId="16EC0CBD"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Iz navedene analize proizlazi sljedeće:</w:t>
      </w:r>
    </w:p>
    <w:p w14:paraId="5B7B5741" w14:textId="78B171DE" w:rsidR="004F09F1" w:rsidRPr="009C52C4" w:rsidRDefault="004F09F1" w:rsidP="004F09F1">
      <w:pPr>
        <w:numPr>
          <w:ilvl w:val="0"/>
          <w:numId w:val="47"/>
        </w:numPr>
        <w:contextualSpacing/>
        <w:rPr>
          <w:rFonts w:ascii="Times New Roman" w:hAnsi="Times New Roman" w:cs="Times New Roman"/>
          <w:sz w:val="24"/>
          <w:szCs w:val="24"/>
        </w:rPr>
      </w:pPr>
      <w:r w:rsidRPr="009C52C4">
        <w:rPr>
          <w:rFonts w:ascii="Times New Roman" w:hAnsi="Times New Roman" w:cs="Times New Roman"/>
          <w:sz w:val="24"/>
          <w:szCs w:val="24"/>
        </w:rPr>
        <w:t>Ugovorom o javno-privatnom partnerstvu ugovaraju se ulaganja kod kojih nastaje nova nekretnina u svrhu pružanja javne usluge, ili su ulaganja viša od 50% konačne vrijednosti zgrade nakon obnove</w:t>
      </w:r>
    </w:p>
    <w:p w14:paraId="25CF4543" w14:textId="4A6A4F3A" w:rsidR="004F09F1" w:rsidRPr="009C52C4" w:rsidRDefault="004F09F1" w:rsidP="004F09F1">
      <w:pPr>
        <w:numPr>
          <w:ilvl w:val="0"/>
          <w:numId w:val="47"/>
        </w:numPr>
        <w:contextualSpacing/>
        <w:rPr>
          <w:rFonts w:ascii="Times New Roman" w:hAnsi="Times New Roman" w:cs="Times New Roman"/>
          <w:sz w:val="24"/>
          <w:szCs w:val="24"/>
        </w:rPr>
      </w:pPr>
      <w:r w:rsidRPr="009C52C4">
        <w:rPr>
          <w:rFonts w:ascii="Times New Roman" w:hAnsi="Times New Roman" w:cs="Times New Roman"/>
          <w:sz w:val="24"/>
          <w:szCs w:val="24"/>
        </w:rPr>
        <w:t>Ugovorom o energetskom učinku obnavljaju se zgrade kojima nije planirana promjena namjene i/ili intenziteta korištenja, s ciljem da se ulaganjem ostvari ušteda energije najmanje jednaka vrijednosti plaćanja naknade koja se temeljem takvog ugovora plaća pružatelju energetske usluge</w:t>
      </w:r>
    </w:p>
    <w:p w14:paraId="1BA0DD5B" w14:textId="77777777" w:rsidR="004F09F1" w:rsidRPr="009C52C4" w:rsidRDefault="004F09F1" w:rsidP="004F09F1">
      <w:pPr>
        <w:rPr>
          <w:rFonts w:ascii="Times New Roman" w:hAnsi="Times New Roman" w:cs="Times New Roman"/>
          <w:sz w:val="24"/>
          <w:szCs w:val="24"/>
        </w:rPr>
      </w:pPr>
    </w:p>
    <w:p w14:paraId="0558A083"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Značajan utjecaj na nastanak većeg broja financijskih prepreka za provođenje mjera energetske učinkovitosti u zgradama javnog sektora imala je ekonomska kriza, koja Hrvatsku prati od 2008. godine. Ona je prouzročila općenitu tržišnu nesigurnost, odgodivši mnoge projekte i investicije te obeshrabrivši potencijalne klijente.</w:t>
      </w:r>
    </w:p>
    <w:p w14:paraId="34127AC3" w14:textId="77777777" w:rsidR="004F09F1" w:rsidRPr="009C52C4" w:rsidRDefault="004F09F1" w:rsidP="004F09F1">
      <w:pPr>
        <w:rPr>
          <w:rFonts w:ascii="Times New Roman" w:hAnsi="Times New Roman" w:cs="Times New Roman"/>
          <w:sz w:val="24"/>
          <w:szCs w:val="24"/>
        </w:rPr>
      </w:pPr>
    </w:p>
    <w:p w14:paraId="43FC5505" w14:textId="0FCFDEB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Prema podacima Ministarstva financija o Ostvarenju proračuna </w:t>
      </w:r>
      <w:r w:rsidR="00214978" w:rsidRPr="009C52C4">
        <w:rPr>
          <w:rFonts w:ascii="Times New Roman" w:hAnsi="Times New Roman" w:cs="Times New Roman"/>
          <w:sz w:val="24"/>
          <w:szCs w:val="24"/>
        </w:rPr>
        <w:t xml:space="preserve">jedinica lokalne i područne (regionalne) samouprave </w:t>
      </w:r>
      <w:r w:rsidRPr="009C52C4">
        <w:rPr>
          <w:rFonts w:ascii="Times New Roman" w:hAnsi="Times New Roman" w:cs="Times New Roman"/>
          <w:sz w:val="24"/>
          <w:szCs w:val="24"/>
        </w:rPr>
        <w:t>za razdoblje 2010. - 2014., izdaci za kamate na primljene kredite i zajmove na razini svih promatranih JLP(R)S-ova su se povećali za 64% u četverogodišnjem razdoblju. Iz navedenih podataka proizlazi jedna od glavnih prepreka provođenju energetske obnove zgrada javnog sektora, a to je nedostatak financijskih sredstava i kreditne sposobnosti. Taj problem dolazi do izražaja naročito kada zgrada nije pogodna za obnovu putem ESCO modela. Naime, unatoč udjelu bespovratnih sredstava u projektima energetske obnove zgrada javnog sektora neke JLP(R)S (nisu u mogućnosti osigurati preostali dio potrebne investicije. Potencijalni pružatelji energetske usluge su poduzeća iz građevinskog sektora, a ona su već preopterećena zbog zaduženosti i nedovoljnog prihoda uslijed nepovoljnih gospodarskih kretanja na tržištu posljednjih godina. Oba čimbenika ograničavaju njihovu kreditnu sposobnost, naročito za potrebe dizanja opetovanih dugoročnih zajmova. S druge strane, niska razina prihoda osigurava ograničen iznos vlastitih sredstava. Banke u Republici Hrvatskoj ne pokazuju dostatan interes za financiranjem projekata po principu ugovaranja energetskog učinka. Za takav stav postoji više razloga:</w:t>
      </w:r>
    </w:p>
    <w:p w14:paraId="425673E9" w14:textId="349FC462" w:rsidR="004F09F1" w:rsidRPr="009C52C4" w:rsidRDefault="004F09F1" w:rsidP="004F09F1">
      <w:pPr>
        <w:numPr>
          <w:ilvl w:val="0"/>
          <w:numId w:val="48"/>
        </w:numPr>
        <w:contextualSpacing/>
        <w:rPr>
          <w:rFonts w:ascii="Times New Roman" w:hAnsi="Times New Roman" w:cs="Times New Roman"/>
          <w:sz w:val="24"/>
          <w:szCs w:val="24"/>
        </w:rPr>
      </w:pPr>
      <w:r w:rsidRPr="009C52C4">
        <w:rPr>
          <w:rFonts w:ascii="Times New Roman" w:hAnsi="Times New Roman" w:cs="Times New Roman"/>
          <w:sz w:val="24"/>
          <w:szCs w:val="24"/>
        </w:rPr>
        <w:t>kreditna nesposobnost velikog broja potencijalnih pružatelja energetske usluge</w:t>
      </w:r>
    </w:p>
    <w:p w14:paraId="09A99C59" w14:textId="703DBC64" w:rsidR="004F09F1" w:rsidRPr="009C52C4" w:rsidRDefault="004F09F1" w:rsidP="004F09F1">
      <w:pPr>
        <w:numPr>
          <w:ilvl w:val="0"/>
          <w:numId w:val="48"/>
        </w:numPr>
        <w:contextualSpacing/>
        <w:rPr>
          <w:rFonts w:ascii="Times New Roman" w:hAnsi="Times New Roman" w:cs="Times New Roman"/>
          <w:sz w:val="24"/>
          <w:szCs w:val="24"/>
        </w:rPr>
      </w:pPr>
      <w:r w:rsidRPr="009C52C4">
        <w:rPr>
          <w:rFonts w:ascii="Times New Roman" w:hAnsi="Times New Roman" w:cs="Times New Roman"/>
          <w:sz w:val="24"/>
          <w:szCs w:val="24"/>
        </w:rPr>
        <w:t>nedostatni iznos jamstava</w:t>
      </w:r>
    </w:p>
    <w:p w14:paraId="4ADFA89F" w14:textId="0B712B89" w:rsidR="004F09F1" w:rsidRPr="009C52C4" w:rsidRDefault="004F09F1" w:rsidP="004F09F1">
      <w:pPr>
        <w:numPr>
          <w:ilvl w:val="0"/>
          <w:numId w:val="48"/>
        </w:numPr>
        <w:contextualSpacing/>
        <w:rPr>
          <w:rFonts w:ascii="Times New Roman" w:hAnsi="Times New Roman" w:cs="Times New Roman"/>
          <w:sz w:val="24"/>
          <w:szCs w:val="24"/>
        </w:rPr>
      </w:pPr>
      <w:r w:rsidRPr="009C52C4">
        <w:rPr>
          <w:rFonts w:ascii="Times New Roman" w:hAnsi="Times New Roman" w:cs="Times New Roman"/>
          <w:sz w:val="24"/>
          <w:szCs w:val="24"/>
        </w:rPr>
        <w:t>visok trošak kapitala u Republici Hrvatskoj</w:t>
      </w:r>
    </w:p>
    <w:p w14:paraId="0154AEA3" w14:textId="77777777" w:rsidR="004F09F1" w:rsidRPr="009C52C4" w:rsidRDefault="004F09F1" w:rsidP="004F09F1">
      <w:pPr>
        <w:rPr>
          <w:rFonts w:ascii="Times New Roman" w:hAnsi="Times New Roman" w:cs="Times New Roman"/>
          <w:sz w:val="24"/>
          <w:szCs w:val="24"/>
        </w:rPr>
      </w:pPr>
    </w:p>
    <w:p w14:paraId="28BC52A5" w14:textId="339BEA0D" w:rsidR="004F09F1" w:rsidRPr="009C52C4" w:rsidRDefault="0038674A" w:rsidP="004F09F1">
      <w:pPr>
        <w:rPr>
          <w:rFonts w:ascii="Times New Roman" w:hAnsi="Times New Roman" w:cs="Times New Roman"/>
          <w:sz w:val="24"/>
          <w:szCs w:val="24"/>
        </w:rPr>
      </w:pPr>
      <w:r w:rsidRPr="009C52C4">
        <w:rPr>
          <w:rFonts w:ascii="Times New Roman" w:hAnsi="Times New Roman" w:cs="Times New Roman"/>
          <w:sz w:val="24"/>
          <w:szCs w:val="24"/>
        </w:rPr>
        <w:lastRenderedPageBreak/>
        <w:t>T</w:t>
      </w:r>
      <w:r w:rsidR="004F09F1" w:rsidRPr="009C52C4">
        <w:rPr>
          <w:rFonts w:ascii="Times New Roman" w:hAnsi="Times New Roman" w:cs="Times New Roman"/>
          <w:sz w:val="24"/>
          <w:szCs w:val="24"/>
        </w:rPr>
        <w:t xml:space="preserve">rošak kapitala je </w:t>
      </w:r>
      <w:r w:rsidRPr="009C52C4">
        <w:rPr>
          <w:rFonts w:ascii="Times New Roman" w:hAnsi="Times New Roman" w:cs="Times New Roman"/>
          <w:sz w:val="24"/>
          <w:szCs w:val="24"/>
        </w:rPr>
        <w:t xml:space="preserve">u Republici Hrvatskoj </w:t>
      </w:r>
      <w:r w:rsidR="004F09F1" w:rsidRPr="009C52C4">
        <w:rPr>
          <w:rFonts w:ascii="Times New Roman" w:hAnsi="Times New Roman" w:cs="Times New Roman"/>
          <w:sz w:val="24"/>
          <w:szCs w:val="24"/>
        </w:rPr>
        <w:t>visok. Dodatno, banke nivo rizika procjenjuju zasebno za pružatelja energetske usluge, odnosno klijenta. Banke nisu spremne dugoročno financirati klijenta koji u projektu u potpunosti preuzima rizik na sebe. Stoga, banke traže dodatne garancije poput založnog prava na nekretninu. Kamatne stope su visoke, kako zbog rizika zemlje</w:t>
      </w:r>
      <w:r w:rsidR="00214978" w:rsidRPr="009C52C4">
        <w:rPr>
          <w:rFonts w:ascii="Times New Roman" w:hAnsi="Times New Roman" w:cs="Times New Roman"/>
          <w:sz w:val="24"/>
          <w:szCs w:val="24"/>
        </w:rPr>
        <w:t>,</w:t>
      </w:r>
      <w:r w:rsidR="004F09F1" w:rsidRPr="009C52C4">
        <w:rPr>
          <w:rFonts w:ascii="Times New Roman" w:hAnsi="Times New Roman" w:cs="Times New Roman"/>
          <w:sz w:val="24"/>
          <w:szCs w:val="24"/>
        </w:rPr>
        <w:t xml:space="preserve"> </w:t>
      </w:r>
      <w:r w:rsidR="00214978" w:rsidRPr="009C52C4">
        <w:rPr>
          <w:rFonts w:ascii="Times New Roman" w:hAnsi="Times New Roman" w:cs="Times New Roman"/>
          <w:sz w:val="24"/>
          <w:szCs w:val="24"/>
        </w:rPr>
        <w:t>tak</w:t>
      </w:r>
      <w:r w:rsidR="004F09F1" w:rsidRPr="009C52C4">
        <w:rPr>
          <w:rFonts w:ascii="Times New Roman" w:hAnsi="Times New Roman" w:cs="Times New Roman"/>
          <w:sz w:val="24"/>
          <w:szCs w:val="24"/>
        </w:rPr>
        <w:t xml:space="preserve">o i rizika klijenta. Prema iskustvima iz Programa energetske obnove zgrada javnog sektora za razdoblje 2014. - 2015., sustav garancija izdanih od strane HAMAG BICRO nije </w:t>
      </w:r>
      <w:r w:rsidR="006107D4" w:rsidRPr="009C52C4">
        <w:rPr>
          <w:rFonts w:ascii="Times New Roman" w:hAnsi="Times New Roman" w:cs="Times New Roman"/>
          <w:sz w:val="24"/>
          <w:szCs w:val="24"/>
        </w:rPr>
        <w:t>zaživio</w:t>
      </w:r>
      <w:r w:rsidR="004F09F1" w:rsidRPr="009C52C4">
        <w:rPr>
          <w:rFonts w:ascii="Times New Roman" w:hAnsi="Times New Roman" w:cs="Times New Roman"/>
          <w:sz w:val="24"/>
          <w:szCs w:val="24"/>
        </w:rPr>
        <w:t xml:space="preserve">. Na hrvatskom tržištu ne postoje financijski instrumenti dostatni za energetsku obnovu cjelokupnog potencijala zgrada javnog sektora. Upravo zbog toga, ova </w:t>
      </w:r>
      <w:r w:rsidR="004F68D2" w:rsidRPr="009C52C4">
        <w:rPr>
          <w:rFonts w:ascii="Times New Roman" w:hAnsi="Times New Roman" w:cs="Times New Roman"/>
          <w:sz w:val="24"/>
          <w:szCs w:val="24"/>
        </w:rPr>
        <w:t>Dugoročne strategije za poticanje ulaganja u obnovu nacionalnog fonda zgrada Republike Hrvatske</w:t>
      </w:r>
      <w:r w:rsidR="004F09F1" w:rsidRPr="009C52C4">
        <w:rPr>
          <w:rFonts w:ascii="Times New Roman" w:hAnsi="Times New Roman" w:cs="Times New Roman"/>
          <w:sz w:val="24"/>
          <w:szCs w:val="24"/>
        </w:rPr>
        <w:t xml:space="preserve"> </w:t>
      </w:r>
      <w:r w:rsidR="00120934" w:rsidRPr="009C52C4">
        <w:rPr>
          <w:rFonts w:ascii="Times New Roman" w:hAnsi="Times New Roman" w:cs="Times New Roman"/>
          <w:sz w:val="24"/>
          <w:szCs w:val="24"/>
        </w:rPr>
        <w:t xml:space="preserve">uz već izrađene </w:t>
      </w:r>
      <w:r w:rsidR="00214978" w:rsidRPr="009C52C4">
        <w:rPr>
          <w:rFonts w:ascii="Times New Roman" w:hAnsi="Times New Roman" w:cs="Times New Roman"/>
          <w:sz w:val="24"/>
          <w:szCs w:val="24"/>
        </w:rPr>
        <w:t>p</w:t>
      </w:r>
      <w:r w:rsidR="00120934" w:rsidRPr="009C52C4">
        <w:rPr>
          <w:rFonts w:ascii="Times New Roman" w:hAnsi="Times New Roman" w:cs="Times New Roman"/>
          <w:sz w:val="24"/>
          <w:szCs w:val="24"/>
        </w:rPr>
        <w:t xml:space="preserve">rogramske dokumente energetske obnove zgrada </w:t>
      </w:r>
      <w:r w:rsidR="004F09F1" w:rsidRPr="009C52C4">
        <w:rPr>
          <w:rFonts w:ascii="Times New Roman" w:hAnsi="Times New Roman" w:cs="Times New Roman"/>
          <w:sz w:val="24"/>
          <w:szCs w:val="24"/>
        </w:rPr>
        <w:t>ima za cilj definirati potrebne financijske instrumente kojima bi se postigao cilj obnove.</w:t>
      </w:r>
    </w:p>
    <w:p w14:paraId="5BBB5CF5" w14:textId="77777777" w:rsidR="004F09F1" w:rsidRPr="009C52C4" w:rsidRDefault="004F09F1" w:rsidP="004F09F1">
      <w:pPr>
        <w:rPr>
          <w:rFonts w:ascii="Times New Roman" w:hAnsi="Times New Roman" w:cs="Times New Roman"/>
          <w:sz w:val="24"/>
          <w:szCs w:val="24"/>
        </w:rPr>
      </w:pPr>
    </w:p>
    <w:p w14:paraId="3DEA0041"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Kategorija zgrada za koju je provođenje energetske obnove još složeniji proces su zgrade upisane u Registar kulturnih dobara Ministarstva kulture. U Republici Hrvatskoj u Registru kulturnih dobara upisano je 6.207 pojedinačnih nepokretnih kulturnih dobara i grupa kulturnih dobara što trajno, a što preventivno zaštićenih. Uz pretpostavljenu prosječnu površinu od 1000m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u Hrvatskoj je trenutačno oko 6,2 milijuna m</w:t>
      </w:r>
      <w:r w:rsidRPr="009C52C4">
        <w:rPr>
          <w:rFonts w:ascii="Times New Roman" w:hAnsi="Times New Roman" w:cs="Times New Roman"/>
          <w:sz w:val="24"/>
          <w:szCs w:val="24"/>
          <w:vertAlign w:val="superscript"/>
        </w:rPr>
        <w:t>2</w:t>
      </w:r>
      <w:r w:rsidRPr="009C52C4">
        <w:rPr>
          <w:rFonts w:ascii="Times New Roman" w:hAnsi="Times New Roman" w:cs="Times New Roman"/>
          <w:sz w:val="24"/>
          <w:szCs w:val="24"/>
        </w:rPr>
        <w:t xml:space="preserve"> zaštićenih površina zgrada, što čini gotovo 3% ukupne površine nacionalnog fonda zgrada.</w:t>
      </w:r>
    </w:p>
    <w:p w14:paraId="5518864B" w14:textId="77777777" w:rsidR="004F09F1" w:rsidRPr="009C52C4" w:rsidRDefault="004F09F1" w:rsidP="004F09F1">
      <w:pPr>
        <w:rPr>
          <w:rFonts w:ascii="Times New Roman" w:hAnsi="Times New Roman" w:cs="Times New Roman"/>
          <w:sz w:val="24"/>
          <w:szCs w:val="24"/>
        </w:rPr>
      </w:pPr>
    </w:p>
    <w:p w14:paraId="28E4CC6E" w14:textId="77777777" w:rsidR="004F09F1" w:rsidRPr="009C52C4" w:rsidRDefault="004F09F1" w:rsidP="00C26120">
      <w:pPr>
        <w:rPr>
          <w:rFonts w:ascii="Times New Roman" w:hAnsi="Times New Roman" w:cs="Times New Roman"/>
          <w:sz w:val="24"/>
          <w:szCs w:val="24"/>
        </w:rPr>
      </w:pPr>
      <w:r w:rsidRPr="009C52C4">
        <w:rPr>
          <w:rFonts w:ascii="Times New Roman" w:hAnsi="Times New Roman" w:cs="Times New Roman"/>
          <w:sz w:val="24"/>
          <w:szCs w:val="24"/>
        </w:rPr>
        <w:t xml:space="preserve">Utjecaj raznih prepreka na proces integralne obnove nacionalnog fonda zgrada </w:t>
      </w:r>
      <w:r w:rsidR="0040391F" w:rsidRPr="009C52C4">
        <w:rPr>
          <w:rFonts w:ascii="Times New Roman" w:hAnsi="Times New Roman" w:cs="Times New Roman"/>
          <w:sz w:val="24"/>
          <w:szCs w:val="24"/>
        </w:rPr>
        <w:t>jav</w:t>
      </w:r>
      <w:r w:rsidR="00E95BBE" w:rsidRPr="009C52C4">
        <w:rPr>
          <w:rFonts w:ascii="Times New Roman" w:hAnsi="Times New Roman" w:cs="Times New Roman"/>
          <w:sz w:val="24"/>
          <w:szCs w:val="24"/>
        </w:rPr>
        <w:t>ne</w:t>
      </w:r>
      <w:r w:rsidR="0040391F" w:rsidRPr="009C52C4">
        <w:rPr>
          <w:rFonts w:ascii="Times New Roman" w:hAnsi="Times New Roman" w:cs="Times New Roman"/>
          <w:sz w:val="24"/>
          <w:szCs w:val="24"/>
        </w:rPr>
        <w:t xml:space="preserve"> namjene </w:t>
      </w:r>
      <w:r w:rsidRPr="009C52C4">
        <w:rPr>
          <w:rFonts w:ascii="Times New Roman" w:hAnsi="Times New Roman" w:cs="Times New Roman"/>
          <w:sz w:val="24"/>
          <w:szCs w:val="24"/>
        </w:rPr>
        <w:t>Republike Hrvatske nije jednak i u cilju određivanja potencijalnih rizika, pojedine će identificirane prepreke u ovisnosti o utjecaju biti podijeljene na prepreke velikog, srednjeg i malog utjecaja. Prepreke čiji je utjecaj na proces integralne obnove zgrada velik su sljedeće:</w:t>
      </w:r>
    </w:p>
    <w:p w14:paraId="6C8361FD" w14:textId="3651393A" w:rsidR="004F09F1" w:rsidRPr="009C52C4" w:rsidRDefault="004F09F1" w:rsidP="00C26120">
      <w:pPr>
        <w:numPr>
          <w:ilvl w:val="0"/>
          <w:numId w:val="31"/>
        </w:numPr>
        <w:ind w:hanging="359"/>
        <w:rPr>
          <w:rFonts w:ascii="Times New Roman" w:hAnsi="Times New Roman" w:cs="Times New Roman"/>
          <w:sz w:val="24"/>
          <w:szCs w:val="24"/>
        </w:rPr>
      </w:pPr>
      <w:r w:rsidRPr="009C52C4">
        <w:rPr>
          <w:rFonts w:ascii="Times New Roman" w:hAnsi="Times New Roman" w:cs="Times New Roman"/>
          <w:sz w:val="24"/>
          <w:szCs w:val="24"/>
        </w:rPr>
        <w:t>nedostatak jakih financijskih poticaja za energetsku obnovu zgrada</w:t>
      </w:r>
    </w:p>
    <w:p w14:paraId="07531270" w14:textId="650D2768" w:rsidR="004F09F1" w:rsidRPr="009C52C4" w:rsidRDefault="004F09F1" w:rsidP="00C26120">
      <w:pPr>
        <w:numPr>
          <w:ilvl w:val="0"/>
          <w:numId w:val="31"/>
        </w:numPr>
        <w:ind w:hanging="359"/>
        <w:rPr>
          <w:rFonts w:ascii="Times New Roman" w:hAnsi="Times New Roman" w:cs="Times New Roman"/>
          <w:sz w:val="24"/>
          <w:szCs w:val="24"/>
        </w:rPr>
      </w:pPr>
      <w:r w:rsidRPr="009C52C4">
        <w:rPr>
          <w:rFonts w:ascii="Times New Roman" w:hAnsi="Times New Roman" w:cs="Times New Roman"/>
          <w:sz w:val="24"/>
          <w:szCs w:val="24"/>
        </w:rPr>
        <w:t>nedostatak razvijenih i testiranih financijskih modela za investiranje u energetsku obnovu zgrada</w:t>
      </w:r>
    </w:p>
    <w:p w14:paraId="18F6F8FB" w14:textId="44ADA99B" w:rsidR="004F09F1" w:rsidRPr="009C52C4" w:rsidRDefault="004F09F1" w:rsidP="00C26120">
      <w:pPr>
        <w:numPr>
          <w:ilvl w:val="0"/>
          <w:numId w:val="31"/>
        </w:numPr>
        <w:ind w:hanging="359"/>
        <w:rPr>
          <w:rFonts w:ascii="Times New Roman" w:hAnsi="Times New Roman" w:cs="Times New Roman"/>
          <w:sz w:val="24"/>
          <w:szCs w:val="24"/>
        </w:rPr>
      </w:pPr>
      <w:r w:rsidRPr="009C52C4">
        <w:rPr>
          <w:rFonts w:ascii="Times New Roman" w:hAnsi="Times New Roman" w:cs="Times New Roman"/>
          <w:sz w:val="24"/>
          <w:szCs w:val="24"/>
        </w:rPr>
        <w:t>nedovoljna pripremljenosti financijskih institucija za kreditiranje (npr. na temelju projektnog financiranja) u svrhu poticanja ESCO tržišta</w:t>
      </w:r>
    </w:p>
    <w:p w14:paraId="55BA61B1" w14:textId="0BEE10DA" w:rsidR="004F09F1" w:rsidRPr="009C52C4" w:rsidRDefault="004F09F1" w:rsidP="00C26120">
      <w:pPr>
        <w:numPr>
          <w:ilvl w:val="0"/>
          <w:numId w:val="31"/>
        </w:numPr>
        <w:ind w:hanging="359"/>
        <w:rPr>
          <w:rFonts w:ascii="Times New Roman" w:hAnsi="Times New Roman" w:cs="Times New Roman"/>
          <w:sz w:val="24"/>
          <w:szCs w:val="24"/>
        </w:rPr>
      </w:pPr>
      <w:r w:rsidRPr="009C52C4">
        <w:rPr>
          <w:rFonts w:ascii="Times New Roman" w:hAnsi="Times New Roman" w:cs="Times New Roman"/>
          <w:sz w:val="24"/>
          <w:szCs w:val="24"/>
        </w:rPr>
        <w:t>nedostatak regulative koja obvezuje na primjenu kriterija odabira na temelju najnižeg ukupnog životnog troška građevine, postizanja zajamčenih ušteda primjenom mjera obnove te jamstava na izvedene radove i ugovorene standarde</w:t>
      </w:r>
    </w:p>
    <w:p w14:paraId="6A429917" w14:textId="77777777" w:rsidR="00384358" w:rsidRPr="009C52C4" w:rsidRDefault="00384358" w:rsidP="00C26120">
      <w:pPr>
        <w:ind w:right="357"/>
        <w:rPr>
          <w:rFonts w:ascii="Times New Roman" w:hAnsi="Times New Roman" w:cs="Times New Roman"/>
          <w:sz w:val="24"/>
          <w:szCs w:val="24"/>
        </w:rPr>
      </w:pPr>
    </w:p>
    <w:p w14:paraId="17F806BD" w14:textId="77777777" w:rsidR="004F09F1" w:rsidRPr="009C52C4" w:rsidRDefault="004F09F1" w:rsidP="00C26120">
      <w:pPr>
        <w:ind w:right="357"/>
        <w:rPr>
          <w:rFonts w:ascii="Times New Roman" w:hAnsi="Times New Roman" w:cs="Times New Roman"/>
          <w:sz w:val="24"/>
          <w:szCs w:val="24"/>
        </w:rPr>
      </w:pPr>
      <w:r w:rsidRPr="009C52C4">
        <w:rPr>
          <w:rFonts w:ascii="Times New Roman" w:hAnsi="Times New Roman" w:cs="Times New Roman"/>
          <w:sz w:val="24"/>
          <w:szCs w:val="24"/>
        </w:rPr>
        <w:t>Srednji utjecaj na proces integralne obnove zgrada imaju sljedeće barijere:</w:t>
      </w:r>
    </w:p>
    <w:p w14:paraId="21272C0C" w14:textId="47092142"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nedovoljna razvijenosti tržišta energetskih usluga, prvenstveno kroz nedovoljan broj tvrtki specijaliziranih za pružanje usluge cjelovite obnove zgrada i manjak njihovog financijskog potencijala</w:t>
      </w:r>
    </w:p>
    <w:p w14:paraId="76D1825A" w14:textId="444DC54E"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nedovoljna informiranost, educiranost i sudjelovanje javnosti u donošenju važnih odluka o obnovi zgrada</w:t>
      </w:r>
    </w:p>
    <w:p w14:paraId="5E82A729" w14:textId="7697237D"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socijalno diktirana cijena energenata</w:t>
      </w:r>
    </w:p>
    <w:p w14:paraId="5553C275" w14:textId="77777777" w:rsidR="004F09F1" w:rsidRPr="009C52C4" w:rsidRDefault="004F09F1" w:rsidP="00C26120">
      <w:pPr>
        <w:ind w:left="357" w:right="357"/>
        <w:rPr>
          <w:rFonts w:ascii="Times New Roman" w:hAnsi="Times New Roman" w:cs="Times New Roman"/>
          <w:sz w:val="24"/>
          <w:szCs w:val="24"/>
        </w:rPr>
      </w:pPr>
    </w:p>
    <w:p w14:paraId="0957F84B" w14:textId="77777777" w:rsidR="004F09F1" w:rsidRPr="009C52C4" w:rsidRDefault="004F09F1" w:rsidP="00C26120">
      <w:pPr>
        <w:rPr>
          <w:rFonts w:ascii="Times New Roman" w:hAnsi="Times New Roman" w:cs="Times New Roman"/>
          <w:sz w:val="24"/>
          <w:szCs w:val="24"/>
        </w:rPr>
      </w:pPr>
      <w:r w:rsidRPr="009C52C4">
        <w:rPr>
          <w:rFonts w:ascii="Times New Roman" w:hAnsi="Times New Roman" w:cs="Times New Roman"/>
          <w:sz w:val="24"/>
          <w:szCs w:val="24"/>
        </w:rPr>
        <w:t>Mali, ali ne i zanemariv utjecaj na provedbu integralne obnove zgrada imaju sljedeće prepreke:</w:t>
      </w:r>
    </w:p>
    <w:p w14:paraId="0EDD1D68" w14:textId="1F3970AB"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složenost postupka pokretanja i provedbe procesa</w:t>
      </w:r>
    </w:p>
    <w:p w14:paraId="53BDCF2F" w14:textId="248C91DC"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nužnost individualnog i multidisciplinarnog pristupa svakoj pojedinoj zgradi</w:t>
      </w:r>
    </w:p>
    <w:p w14:paraId="33C224F4" w14:textId="79A40624"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neriješeni imovinsko-pravni odnosi</w:t>
      </w:r>
    </w:p>
    <w:p w14:paraId="3A10672D" w14:textId="0B5CE965" w:rsidR="004F09F1" w:rsidRPr="009C52C4" w:rsidRDefault="004F09F1" w:rsidP="00C26120">
      <w:pPr>
        <w:numPr>
          <w:ilvl w:val="0"/>
          <w:numId w:val="45"/>
        </w:numPr>
        <w:ind w:hanging="359"/>
        <w:rPr>
          <w:rFonts w:ascii="Times New Roman" w:hAnsi="Times New Roman" w:cs="Times New Roman"/>
          <w:sz w:val="24"/>
          <w:szCs w:val="24"/>
        </w:rPr>
      </w:pPr>
      <w:r w:rsidRPr="009C52C4">
        <w:rPr>
          <w:rFonts w:ascii="Times New Roman" w:hAnsi="Times New Roman" w:cs="Times New Roman"/>
          <w:sz w:val="24"/>
          <w:szCs w:val="24"/>
        </w:rPr>
        <w:t>dodatna složenost postupka obnove zgrada upisanih u Registar kulturnih dobara Ministarstva kulture.</w:t>
      </w:r>
      <w:r w:rsidR="0066004C" w:rsidRPr="009C52C4">
        <w:rPr>
          <w:rFonts w:ascii="Times New Roman" w:hAnsi="Times New Roman" w:cs="Times New Roman"/>
          <w:sz w:val="24"/>
          <w:szCs w:val="24"/>
        </w:rPr>
        <w:t xml:space="preserve"> </w:t>
      </w:r>
    </w:p>
    <w:p w14:paraId="05687DCE" w14:textId="77777777" w:rsidR="0066004C" w:rsidRPr="009C52C4" w:rsidRDefault="0066004C" w:rsidP="00C26120">
      <w:pPr>
        <w:rPr>
          <w:rFonts w:ascii="Times New Roman" w:hAnsi="Times New Roman" w:cs="Times New Roman"/>
          <w:sz w:val="24"/>
          <w:szCs w:val="24"/>
        </w:rPr>
      </w:pPr>
    </w:p>
    <w:p w14:paraId="067278C6" w14:textId="2A7ECDCA" w:rsidR="0066004C" w:rsidRPr="009C52C4" w:rsidRDefault="0066004C" w:rsidP="00C26120">
      <w:pPr>
        <w:rPr>
          <w:rFonts w:ascii="Times New Roman" w:hAnsi="Times New Roman" w:cs="Times New Roman"/>
          <w:sz w:val="24"/>
          <w:szCs w:val="24"/>
        </w:rPr>
      </w:pPr>
      <w:r w:rsidRPr="009C52C4">
        <w:rPr>
          <w:rFonts w:ascii="Times New Roman" w:hAnsi="Times New Roman" w:cs="Times New Roman"/>
          <w:sz w:val="24"/>
          <w:szCs w:val="24"/>
        </w:rPr>
        <w:t xml:space="preserve">Integralna obnova zgrada sa statusom kulturnog dobra, uključivo i zgrada unutar zaštićenih kulturno povijesnih cjelina predstavlja dio dugoročne strategije Ministarstva kulture. U tom </w:t>
      </w:r>
      <w:r w:rsidRPr="009C52C4">
        <w:rPr>
          <w:rFonts w:ascii="Times New Roman" w:hAnsi="Times New Roman" w:cs="Times New Roman"/>
          <w:sz w:val="24"/>
          <w:szCs w:val="24"/>
        </w:rPr>
        <w:lastRenderedPageBreak/>
        <w:t>smislu Ministarstvo</w:t>
      </w:r>
      <w:r w:rsidR="00214978" w:rsidRPr="009C52C4">
        <w:rPr>
          <w:rFonts w:ascii="Times New Roman" w:hAnsi="Times New Roman" w:cs="Times New Roman"/>
          <w:sz w:val="24"/>
          <w:szCs w:val="24"/>
        </w:rPr>
        <w:t xml:space="preserve"> kulture</w:t>
      </w:r>
      <w:r w:rsidRPr="009C52C4">
        <w:rPr>
          <w:rFonts w:ascii="Times New Roman" w:hAnsi="Times New Roman" w:cs="Times New Roman"/>
          <w:sz w:val="24"/>
          <w:szCs w:val="24"/>
        </w:rPr>
        <w:t xml:space="preserve"> je pokrenulo niz aktivnosti na uklanjanju prepreka u primjeni energetske učinkovitosti na kulturnim dobrima, temeljene na odgovarajućem pristupu s obzirom na specifičnosti toga dijela nacionalnog fonda zgrada.</w:t>
      </w:r>
    </w:p>
    <w:p w14:paraId="22530E94" w14:textId="77777777" w:rsidR="0040391F" w:rsidRPr="009C52C4" w:rsidRDefault="0040391F" w:rsidP="00C26120">
      <w:pPr>
        <w:rPr>
          <w:rFonts w:ascii="Times New Roman" w:hAnsi="Times New Roman" w:cs="Times New Roman"/>
          <w:sz w:val="24"/>
          <w:szCs w:val="24"/>
        </w:rPr>
      </w:pPr>
      <w:bookmarkStart w:id="170" w:name="h.2iq8gzs" w:colFirst="0" w:colLast="0"/>
      <w:bookmarkEnd w:id="170"/>
    </w:p>
    <w:p w14:paraId="67630673" w14:textId="77A6E95A" w:rsidR="004F09F1" w:rsidRPr="009C52C4" w:rsidRDefault="0040391F" w:rsidP="00C26120">
      <w:pPr>
        <w:rPr>
          <w:rFonts w:ascii="Times New Roman" w:hAnsi="Times New Roman" w:cs="Times New Roman"/>
          <w:b/>
          <w:sz w:val="24"/>
          <w:szCs w:val="24"/>
        </w:rPr>
      </w:pPr>
      <w:r w:rsidRPr="009C52C4">
        <w:rPr>
          <w:rFonts w:ascii="Times New Roman" w:hAnsi="Times New Roman" w:cs="Times New Roman"/>
          <w:sz w:val="24"/>
          <w:szCs w:val="24"/>
        </w:rPr>
        <w:t>U postojećim višestambenim zgradama i obitelj</w:t>
      </w:r>
      <w:r w:rsidR="005E19A2" w:rsidRPr="009C52C4">
        <w:rPr>
          <w:rFonts w:ascii="Times New Roman" w:hAnsi="Times New Roman" w:cs="Times New Roman"/>
          <w:sz w:val="24"/>
          <w:szCs w:val="24"/>
        </w:rPr>
        <w:t>sk</w:t>
      </w:r>
      <w:r w:rsidRPr="009C52C4">
        <w:rPr>
          <w:rFonts w:ascii="Times New Roman" w:hAnsi="Times New Roman" w:cs="Times New Roman"/>
          <w:sz w:val="24"/>
          <w:szCs w:val="24"/>
        </w:rPr>
        <w:t xml:space="preserve">im kućama postojeći </w:t>
      </w:r>
      <w:r w:rsidR="00214978" w:rsidRPr="009C52C4">
        <w:rPr>
          <w:rFonts w:ascii="Times New Roman" w:hAnsi="Times New Roman" w:cs="Times New Roman"/>
          <w:sz w:val="24"/>
          <w:szCs w:val="24"/>
        </w:rPr>
        <w:t>p</w:t>
      </w:r>
      <w:r w:rsidRPr="009C52C4">
        <w:rPr>
          <w:rFonts w:ascii="Times New Roman" w:hAnsi="Times New Roman" w:cs="Times New Roman"/>
          <w:sz w:val="24"/>
          <w:szCs w:val="24"/>
        </w:rPr>
        <w:t xml:space="preserve">rogrami se fokusiraju isključivo na toplinske potrebe zgrada, tj. mjere energetske učinkovitosti usmjerene na smanjenje potrošnje energije za grijanje i pripremu </w:t>
      </w:r>
      <w:r w:rsidR="00214978" w:rsidRPr="009C52C4">
        <w:rPr>
          <w:rFonts w:ascii="Times New Roman" w:hAnsi="Times New Roman" w:cs="Times New Roman"/>
          <w:sz w:val="24"/>
          <w:szCs w:val="24"/>
        </w:rPr>
        <w:t>potrošne tople vode</w:t>
      </w:r>
      <w:r w:rsidRPr="009C52C4">
        <w:rPr>
          <w:rFonts w:ascii="Times New Roman" w:hAnsi="Times New Roman" w:cs="Times New Roman"/>
          <w:sz w:val="24"/>
          <w:szCs w:val="24"/>
        </w:rPr>
        <w:t xml:space="preserve">. Glede ostalih energetskih potreba, poglavito glede kućanskih uređaja i unutarnje rasvjete, daljnji razvoj standarda i regulative u ovom području (npr. zabrana prodaje izvora svjetlosti sa žarnom niti, stroži uvjeti za razrede energetske učinkovitosti i dr.) već donosi vidljive rezultate na tržištu te u pravilu zahtijevaju manje investicijske troškove nego mjere obnove zgrada koje su predložene </w:t>
      </w:r>
      <w:r w:rsidR="00214978" w:rsidRPr="009C52C4">
        <w:rPr>
          <w:rFonts w:ascii="Times New Roman" w:hAnsi="Times New Roman" w:cs="Times New Roman"/>
          <w:sz w:val="24"/>
          <w:szCs w:val="24"/>
        </w:rPr>
        <w:t>p</w:t>
      </w:r>
      <w:r w:rsidRPr="009C52C4">
        <w:rPr>
          <w:rFonts w:ascii="Times New Roman" w:hAnsi="Times New Roman" w:cs="Times New Roman"/>
          <w:sz w:val="24"/>
          <w:szCs w:val="24"/>
        </w:rPr>
        <w:t>rogramima, a preduvjet su integralne obnove.</w:t>
      </w:r>
      <w:r w:rsidR="004F09F1" w:rsidRPr="009C52C4">
        <w:rPr>
          <w:rFonts w:ascii="Times New Roman" w:hAnsi="Times New Roman" w:cs="Times New Roman"/>
          <w:sz w:val="24"/>
          <w:szCs w:val="24"/>
        </w:rPr>
        <w:br w:type="page"/>
      </w:r>
    </w:p>
    <w:p w14:paraId="5CFB5CF1" w14:textId="77777777" w:rsidR="00B122B4" w:rsidRPr="009C52C4" w:rsidRDefault="00F54CC3" w:rsidP="00AE7037">
      <w:pPr>
        <w:pStyle w:val="Heading2"/>
        <w:numPr>
          <w:ilvl w:val="1"/>
          <w:numId w:val="1"/>
        </w:numPr>
        <w:ind w:hanging="719"/>
        <w:rPr>
          <w:rFonts w:ascii="Times New Roman" w:hAnsi="Times New Roman" w:cs="Times New Roman"/>
          <w:sz w:val="24"/>
          <w:szCs w:val="24"/>
        </w:rPr>
      </w:pPr>
      <w:bookmarkStart w:id="171" w:name="_Toc3277924"/>
      <w:r w:rsidRPr="009C52C4">
        <w:rPr>
          <w:rFonts w:ascii="Times New Roman" w:hAnsi="Times New Roman" w:cs="Times New Roman"/>
          <w:sz w:val="24"/>
          <w:szCs w:val="24"/>
        </w:rPr>
        <w:lastRenderedPageBreak/>
        <w:t>Prijedlozi rješenja i novih mjera za svladavanje postojećih prepreka</w:t>
      </w:r>
      <w:bookmarkEnd w:id="171"/>
    </w:p>
    <w:p w14:paraId="32296A5C" w14:textId="77777777" w:rsidR="00B122B4" w:rsidRPr="009C52C4" w:rsidRDefault="00B122B4">
      <w:pPr>
        <w:rPr>
          <w:rFonts w:ascii="Times New Roman" w:hAnsi="Times New Roman" w:cs="Times New Roman"/>
          <w:sz w:val="24"/>
          <w:szCs w:val="24"/>
        </w:rPr>
      </w:pPr>
    </w:p>
    <w:p w14:paraId="79E218F8" w14:textId="16234647" w:rsidR="004F09F1" w:rsidRPr="009C52C4" w:rsidRDefault="004F09F1" w:rsidP="004F09F1">
      <w:pPr>
        <w:rPr>
          <w:rFonts w:ascii="Times New Roman" w:hAnsi="Times New Roman" w:cs="Times New Roman"/>
          <w:sz w:val="24"/>
          <w:szCs w:val="24"/>
        </w:rPr>
      </w:pPr>
      <w:bookmarkStart w:id="172" w:name="h.1x0gk37" w:colFirst="0" w:colLast="0"/>
      <w:bookmarkEnd w:id="172"/>
      <w:r w:rsidRPr="009C52C4">
        <w:rPr>
          <w:rFonts w:ascii="Times New Roman" w:hAnsi="Times New Roman" w:cs="Times New Roman"/>
          <w:sz w:val="24"/>
          <w:szCs w:val="24"/>
        </w:rPr>
        <w:t>Identifikacija djelotvornih mjera za poticanje troškovno učinkovite integralne obnove nacionalnog fonda zgrada Republike Hrvatske će se bazirati na planu mogućih ciljeva i pokazatelja za razdoblje do 2050. godine prema Energetskom putokazu do 2050. godine (</w:t>
      </w:r>
      <w:r w:rsidR="006107D4" w:rsidRPr="009C52C4">
        <w:rPr>
          <w:rFonts w:ascii="Times New Roman" w:hAnsi="Times New Roman" w:cs="Times New Roman"/>
          <w:i/>
          <w:sz w:val="24"/>
          <w:szCs w:val="24"/>
        </w:rPr>
        <w:t>engl</w:t>
      </w:r>
      <w:r w:rsidRPr="009C52C4">
        <w:rPr>
          <w:rFonts w:ascii="Times New Roman" w:hAnsi="Times New Roman" w:cs="Times New Roman"/>
          <w:i/>
          <w:sz w:val="24"/>
          <w:szCs w:val="24"/>
        </w:rPr>
        <w:t>. Energy Roadmap 2050</w:t>
      </w:r>
      <w:r w:rsidRPr="009C52C4">
        <w:rPr>
          <w:rFonts w:ascii="Times New Roman" w:hAnsi="Times New Roman" w:cs="Times New Roman"/>
          <w:sz w:val="24"/>
          <w:szCs w:val="24"/>
        </w:rPr>
        <w:t>) Europskog parlamenta donesenom u siječnju 2013. godine (</w:t>
      </w:r>
      <w:r w:rsidRPr="009C52C4">
        <w:rPr>
          <w:rFonts w:ascii="Times New Roman" w:hAnsi="Times New Roman" w:cs="Times New Roman"/>
          <w:sz w:val="24"/>
          <w:szCs w:val="24"/>
        </w:rPr>
        <w:fldChar w:fldCharType="begin"/>
      </w:r>
      <w:r w:rsidRPr="009C52C4">
        <w:rPr>
          <w:rFonts w:ascii="Times New Roman" w:hAnsi="Times New Roman" w:cs="Times New Roman"/>
          <w:sz w:val="24"/>
          <w:szCs w:val="24"/>
        </w:rPr>
        <w:instrText xml:space="preserve"> REF _Ref483405712 \h </w:instrText>
      </w:r>
      <w:r w:rsidR="00873572" w:rsidRPr="009C52C4">
        <w:rPr>
          <w:rFonts w:ascii="Times New Roman" w:hAnsi="Times New Roman" w:cs="Times New Roman"/>
          <w:sz w:val="24"/>
          <w:szCs w:val="24"/>
        </w:rPr>
        <w:instrText xml:space="preserve"> \* MERGEFORMAT </w:instrText>
      </w:r>
      <w:r w:rsidRPr="009C52C4">
        <w:rPr>
          <w:rFonts w:ascii="Times New Roman" w:hAnsi="Times New Roman" w:cs="Times New Roman"/>
          <w:sz w:val="24"/>
          <w:szCs w:val="24"/>
        </w:rPr>
      </w:r>
      <w:r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4</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3</w:t>
      </w:r>
      <w:r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p>
    <w:p w14:paraId="71E4E238" w14:textId="77777777" w:rsidR="004F09F1" w:rsidRPr="009C52C4" w:rsidRDefault="004F09F1" w:rsidP="004F09F1">
      <w:pPr>
        <w:rPr>
          <w:rFonts w:ascii="Times New Roman" w:hAnsi="Times New Roman" w:cs="Times New Roman"/>
          <w:sz w:val="24"/>
          <w:szCs w:val="24"/>
        </w:rPr>
      </w:pPr>
    </w:p>
    <w:p w14:paraId="74C76F8F" w14:textId="59532040" w:rsidR="004F09F1" w:rsidRPr="009C52C4" w:rsidRDefault="004F09F1" w:rsidP="004F09F1">
      <w:pPr>
        <w:pStyle w:val="Caption"/>
        <w:rPr>
          <w:rFonts w:ascii="Times New Roman" w:hAnsi="Times New Roman" w:cs="Times New Roman"/>
          <w:b w:val="0"/>
          <w:sz w:val="24"/>
          <w:szCs w:val="24"/>
        </w:rPr>
      </w:pPr>
      <w:bookmarkStart w:id="173" w:name="h.3hv69ve" w:colFirst="0" w:colLast="0"/>
      <w:bookmarkStart w:id="174" w:name="_Ref483405712"/>
      <w:bookmarkStart w:id="175" w:name="_Toc2681325"/>
      <w:bookmarkEnd w:id="173"/>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bookmarkEnd w:id="174"/>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Dugoročni plan integralne obnove nacionalnog fonda zgrada do 2050. godine</w:t>
      </w:r>
      <w:r w:rsidRPr="009C52C4">
        <w:rPr>
          <w:rFonts w:ascii="Times New Roman" w:hAnsi="Times New Roman" w:cs="Times New Roman"/>
          <w:b w:val="0"/>
          <w:sz w:val="24"/>
          <w:szCs w:val="24"/>
          <w:vertAlign w:val="superscript"/>
        </w:rPr>
        <w:footnoteReference w:id="70"/>
      </w:r>
      <w:r w:rsidR="00214978" w:rsidRPr="009C52C4">
        <w:rPr>
          <w:rFonts w:ascii="Times New Roman" w:hAnsi="Times New Roman" w:cs="Times New Roman"/>
          <w:b w:val="0"/>
          <w:sz w:val="24"/>
          <w:szCs w:val="24"/>
        </w:rPr>
        <w:t xml:space="preserve"> </w:t>
      </w:r>
      <w:r w:rsidRPr="009C52C4">
        <w:rPr>
          <w:rFonts w:ascii="Times New Roman" w:hAnsi="Times New Roman" w:cs="Times New Roman"/>
          <w:b w:val="0"/>
          <w:sz w:val="24"/>
          <w:szCs w:val="24"/>
        </w:rPr>
        <w:t>(Energy Roadmap 2050)</w:t>
      </w:r>
      <w:bookmarkEnd w:id="175"/>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24"/>
        <w:gridCol w:w="8498"/>
      </w:tblGrid>
      <w:tr w:rsidR="004F09F1" w:rsidRPr="009C52C4" w14:paraId="30FEB58B" w14:textId="77777777" w:rsidTr="00CB0DFB">
        <w:trPr>
          <w:trHeight w:val="283"/>
        </w:trPr>
        <w:tc>
          <w:tcPr>
            <w:tcW w:w="824" w:type="dxa"/>
            <w:tcBorders>
              <w:bottom w:val="single" w:sz="4" w:space="0" w:color="000000"/>
            </w:tcBorders>
            <w:shd w:val="clear" w:color="auto" w:fill="C2D69B" w:themeFill="accent3" w:themeFillTint="99"/>
            <w:tcMar>
              <w:left w:w="115" w:type="dxa"/>
              <w:right w:w="115" w:type="dxa"/>
            </w:tcMar>
          </w:tcPr>
          <w:p w14:paraId="220FAC79"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b/>
                <w:sz w:val="24"/>
                <w:szCs w:val="24"/>
              </w:rPr>
              <w:t>Ciljna godina</w:t>
            </w:r>
          </w:p>
        </w:tc>
        <w:tc>
          <w:tcPr>
            <w:tcW w:w="8498" w:type="dxa"/>
            <w:tcBorders>
              <w:bottom w:val="single" w:sz="4" w:space="0" w:color="000000"/>
            </w:tcBorders>
            <w:shd w:val="clear" w:color="auto" w:fill="C2D69B" w:themeFill="accent3" w:themeFillTint="99"/>
            <w:tcMar>
              <w:left w:w="115" w:type="dxa"/>
              <w:right w:w="115" w:type="dxa"/>
            </w:tcMar>
          </w:tcPr>
          <w:p w14:paraId="4E586A9C" w14:textId="77777777" w:rsidR="004F09F1" w:rsidRPr="009C52C4" w:rsidRDefault="004F09F1" w:rsidP="004F09F1">
            <w:pPr>
              <w:spacing w:before="120"/>
              <w:jc w:val="center"/>
              <w:rPr>
                <w:rFonts w:ascii="Times New Roman" w:hAnsi="Times New Roman" w:cs="Times New Roman"/>
                <w:sz w:val="24"/>
                <w:szCs w:val="24"/>
              </w:rPr>
            </w:pPr>
            <w:r w:rsidRPr="009C52C4">
              <w:rPr>
                <w:rFonts w:ascii="Times New Roman" w:hAnsi="Times New Roman" w:cs="Times New Roman"/>
                <w:b/>
                <w:sz w:val="24"/>
                <w:szCs w:val="24"/>
              </w:rPr>
              <w:t>Cilj</w:t>
            </w:r>
          </w:p>
        </w:tc>
      </w:tr>
      <w:tr w:rsidR="004F09F1" w:rsidRPr="009C52C4" w14:paraId="4F96AD54" w14:textId="77777777" w:rsidTr="00CB0DFB">
        <w:trPr>
          <w:trHeight w:val="283"/>
        </w:trPr>
        <w:tc>
          <w:tcPr>
            <w:tcW w:w="824" w:type="dxa"/>
            <w:shd w:val="clear" w:color="auto" w:fill="EAF1DD" w:themeFill="accent3" w:themeFillTint="33"/>
            <w:tcMar>
              <w:left w:w="115" w:type="dxa"/>
              <w:right w:w="115" w:type="dxa"/>
            </w:tcMar>
            <w:vAlign w:val="center"/>
          </w:tcPr>
          <w:p w14:paraId="36876B4A"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2050.</w:t>
            </w:r>
          </w:p>
        </w:tc>
        <w:tc>
          <w:tcPr>
            <w:tcW w:w="8498" w:type="dxa"/>
            <w:shd w:val="clear" w:color="auto" w:fill="EAF1DD" w:themeFill="accent3" w:themeFillTint="33"/>
            <w:tcMar>
              <w:left w:w="115" w:type="dxa"/>
              <w:right w:w="115" w:type="dxa"/>
            </w:tcMar>
          </w:tcPr>
          <w:p w14:paraId="042BCEE7"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Smanjenje </w:t>
            </w:r>
            <w:r w:rsidRPr="009C52C4">
              <w:rPr>
                <w:rFonts w:ascii="Times New Roman" w:hAnsi="Times New Roman" w:cs="Times New Roman"/>
                <w:color w:val="auto"/>
                <w:sz w:val="24"/>
                <w:szCs w:val="24"/>
              </w:rPr>
              <w:t xml:space="preserve">emisije stakleničkih plinova  </w:t>
            </w:r>
            <w:r w:rsidRPr="009C52C4">
              <w:rPr>
                <w:rFonts w:ascii="Times New Roman" w:hAnsi="Times New Roman" w:cs="Times New Roman"/>
                <w:sz w:val="24"/>
                <w:szCs w:val="24"/>
              </w:rPr>
              <w:t>u zgradama za 80%</w:t>
            </w:r>
          </w:p>
          <w:p w14:paraId="1FAD1F4E" w14:textId="650914AF"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Sve zgrade gotovo nula energetske ili s visokom razinom energetske učinkovitosti</w:t>
            </w:r>
          </w:p>
        </w:tc>
      </w:tr>
      <w:tr w:rsidR="004F09F1" w:rsidRPr="009C52C4" w14:paraId="17355FBD" w14:textId="77777777" w:rsidTr="00CB0DFB">
        <w:trPr>
          <w:trHeight w:val="283"/>
        </w:trPr>
        <w:tc>
          <w:tcPr>
            <w:tcW w:w="824" w:type="dxa"/>
            <w:shd w:val="clear" w:color="auto" w:fill="EAF1DD" w:themeFill="accent3" w:themeFillTint="33"/>
            <w:tcMar>
              <w:left w:w="115" w:type="dxa"/>
              <w:right w:w="115" w:type="dxa"/>
            </w:tcMar>
            <w:vAlign w:val="center"/>
          </w:tcPr>
          <w:p w14:paraId="62845FFB"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2040.</w:t>
            </w:r>
          </w:p>
        </w:tc>
        <w:tc>
          <w:tcPr>
            <w:tcW w:w="8498" w:type="dxa"/>
            <w:shd w:val="clear" w:color="auto" w:fill="EAF1DD" w:themeFill="accent3" w:themeFillTint="33"/>
            <w:tcMar>
              <w:left w:w="115" w:type="dxa"/>
              <w:right w:w="115" w:type="dxa"/>
            </w:tcMar>
          </w:tcPr>
          <w:p w14:paraId="0B6312A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65% zgrada gotovo nula energetske ili s visokom razinom energetske učinkovitosti</w:t>
            </w:r>
          </w:p>
          <w:p w14:paraId="72D03F4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Oko 3,5% zgrada godišnje se cjelovito obnavlja</w:t>
            </w:r>
          </w:p>
          <w:p w14:paraId="3A195F9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Godišnje se obnavlja 4% povijesnih zgrada ili zgrada od kulturološkog značaja </w:t>
            </w:r>
          </w:p>
          <w:p w14:paraId="7A75E093"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95% korisnika je svjesno pozitivnih učinaka integralne obnove zgrada</w:t>
            </w:r>
          </w:p>
        </w:tc>
      </w:tr>
      <w:tr w:rsidR="004F09F1" w:rsidRPr="009C52C4" w14:paraId="555B6158" w14:textId="77777777" w:rsidTr="00CB0DFB">
        <w:trPr>
          <w:trHeight w:val="283"/>
        </w:trPr>
        <w:tc>
          <w:tcPr>
            <w:tcW w:w="824" w:type="dxa"/>
            <w:shd w:val="clear" w:color="auto" w:fill="EAF1DD" w:themeFill="accent3" w:themeFillTint="33"/>
            <w:tcMar>
              <w:left w:w="115" w:type="dxa"/>
              <w:right w:w="115" w:type="dxa"/>
            </w:tcMar>
            <w:vAlign w:val="center"/>
          </w:tcPr>
          <w:p w14:paraId="75A6A4B5"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2030.</w:t>
            </w:r>
          </w:p>
        </w:tc>
        <w:tc>
          <w:tcPr>
            <w:tcW w:w="8498" w:type="dxa"/>
            <w:shd w:val="clear" w:color="auto" w:fill="EAF1DD" w:themeFill="accent3" w:themeFillTint="33"/>
            <w:tcMar>
              <w:left w:w="115" w:type="dxa"/>
              <w:right w:w="115" w:type="dxa"/>
            </w:tcMar>
          </w:tcPr>
          <w:p w14:paraId="1509A5CC"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30% zgrada je obnovljeno na razinu gotovo nula-energetsku i visokih svojstava energetske učinkovitosti</w:t>
            </w:r>
          </w:p>
          <w:p w14:paraId="2E2A4845"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Oko 3,5% zgrada godišnje se cjelovito obnavlja</w:t>
            </w:r>
          </w:p>
          <w:p w14:paraId="27234BA5"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Pripremljena regulativa za zahtjeve da sva svojstva zgrade budu na visokoj energetski učinkovitoj razini kao uvjet za prodaju ili najam.</w:t>
            </w:r>
          </w:p>
          <w:p w14:paraId="1019C4D9"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Potpuna obnova potpuno razvijena s optimiziranim troškovima</w:t>
            </w:r>
          </w:p>
          <w:p w14:paraId="47A16C62" w14:textId="286B6AD2"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Izvođačke kompanije s certifikatom za obnovu i s radnicima koji su obrazovani za izvođenje radova u energetskoj obnovi zgrada.</w:t>
            </w:r>
          </w:p>
          <w:p w14:paraId="16C7C43F"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50% korisnika je svjesno prednosti obnove</w:t>
            </w:r>
          </w:p>
          <w:p w14:paraId="08C053CC" w14:textId="3BEDCDAF"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Razvijene tehnike za obnovu povijesnih i zgrada od kulturološkog značaja</w:t>
            </w:r>
            <w:r w:rsidR="0066004C" w:rsidRPr="009C52C4">
              <w:rPr>
                <w:rFonts w:ascii="Times New Roman" w:hAnsi="Times New Roman" w:cs="Times New Roman"/>
                <w:sz w:val="24"/>
                <w:szCs w:val="24"/>
              </w:rPr>
              <w:t>. U svrhu savladavanja postojećih prepreka izrađen je i Nacrt preporuka za primjenu mjera energetske učinkovitosti na kulturnu baštinu usklađen s regulativom MGIPU.</w:t>
            </w:r>
          </w:p>
        </w:tc>
      </w:tr>
      <w:tr w:rsidR="004F09F1" w:rsidRPr="009C52C4" w14:paraId="657B5FA4" w14:textId="77777777" w:rsidTr="00CB0DFB">
        <w:trPr>
          <w:trHeight w:val="283"/>
        </w:trPr>
        <w:tc>
          <w:tcPr>
            <w:tcW w:w="824" w:type="dxa"/>
            <w:shd w:val="clear" w:color="auto" w:fill="EAF1DD" w:themeFill="accent3" w:themeFillTint="33"/>
            <w:tcMar>
              <w:left w:w="115" w:type="dxa"/>
              <w:right w:w="115" w:type="dxa"/>
            </w:tcMar>
            <w:vAlign w:val="center"/>
          </w:tcPr>
          <w:p w14:paraId="2DB25B90"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2025.</w:t>
            </w:r>
          </w:p>
        </w:tc>
        <w:tc>
          <w:tcPr>
            <w:tcW w:w="8498" w:type="dxa"/>
            <w:shd w:val="clear" w:color="auto" w:fill="EAF1DD" w:themeFill="accent3" w:themeFillTint="33"/>
            <w:tcMar>
              <w:left w:w="115" w:type="dxa"/>
              <w:right w:w="115" w:type="dxa"/>
            </w:tcMar>
          </w:tcPr>
          <w:p w14:paraId="2E6F810D"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15% zgrada je obnovljeno na razinu gotovo nula-energetsku i visokih svojstava energetske učinkovitosti.</w:t>
            </w:r>
          </w:p>
          <w:p w14:paraId="06B68C1E"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Oko 3% zgrada godišnje se cjelovito obnavlja</w:t>
            </w:r>
          </w:p>
          <w:p w14:paraId="242A1DD0"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Razvijene tehnike obnove za sve tipove zgrada</w:t>
            </w:r>
          </w:p>
          <w:p w14:paraId="7EC66FE7"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20% korisnika je svjesno prednosti obnove</w:t>
            </w:r>
          </w:p>
          <w:p w14:paraId="1DBFEBBA"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Razvijaju se tehnike za obnovu povijesnih i zgrada od kulturološkog značaja</w:t>
            </w:r>
          </w:p>
          <w:p w14:paraId="66C30D51"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50% izvođačkih kompanija je sa certifikatom za energetsku obnovu nula energetskih zgrada i 50% radnika koji su obrazovani za izvođenje takvih radova </w:t>
            </w:r>
          </w:p>
          <w:p w14:paraId="63E2D8F4"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Vlada daje podršku bankama u kreditiranju cjelovite obnove za socijalno osjetljive grupacije  </w:t>
            </w:r>
          </w:p>
          <w:p w14:paraId="10AA0480"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Provodi se obrazovanje korisnika o prednostima obnove</w:t>
            </w:r>
          </w:p>
        </w:tc>
      </w:tr>
      <w:tr w:rsidR="004F09F1" w:rsidRPr="009C52C4" w14:paraId="1225B62C" w14:textId="77777777" w:rsidTr="00CB0DFB">
        <w:trPr>
          <w:trHeight w:val="283"/>
        </w:trPr>
        <w:tc>
          <w:tcPr>
            <w:tcW w:w="824" w:type="dxa"/>
            <w:shd w:val="clear" w:color="auto" w:fill="EAF1DD" w:themeFill="accent3" w:themeFillTint="33"/>
            <w:tcMar>
              <w:left w:w="115" w:type="dxa"/>
              <w:right w:w="115" w:type="dxa"/>
            </w:tcMar>
            <w:vAlign w:val="center"/>
          </w:tcPr>
          <w:p w14:paraId="4910F8CF"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2020.</w:t>
            </w:r>
          </w:p>
        </w:tc>
        <w:tc>
          <w:tcPr>
            <w:tcW w:w="8498" w:type="dxa"/>
            <w:shd w:val="clear" w:color="auto" w:fill="EAF1DD" w:themeFill="accent3" w:themeFillTint="33"/>
            <w:tcMar>
              <w:left w:w="115" w:type="dxa"/>
              <w:right w:w="115" w:type="dxa"/>
            </w:tcMar>
          </w:tcPr>
          <w:p w14:paraId="2B25FC0F"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5% zgrada je obnovljeno na razinu gotovo nula-energetsku i visokih svojstava energetske učinkovitosti</w:t>
            </w:r>
          </w:p>
          <w:p w14:paraId="6B43A3A3"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Oko 1% zgrada godišnje se cjelovito obnavlja na razinu nula-energetske zgrade</w:t>
            </w:r>
          </w:p>
          <w:p w14:paraId="1CE99C67"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Razvijene tehnike obnove za većinu tipova zgrada</w:t>
            </w:r>
          </w:p>
          <w:p w14:paraId="4921DC61"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lastRenderedPageBreak/>
              <w:t>Razvijena tehnika cjelovite obnove</w:t>
            </w:r>
          </w:p>
          <w:p w14:paraId="33106196"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20% izvođačkih kompanija je sa certifikatom za energetsku obnovu nula energetskih zgrada i 20% radnika koji su obrazovani za izvođenje takvih radova </w:t>
            </w:r>
          </w:p>
          <w:p w14:paraId="167C83FF"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Vlada osigurava proračun za obnovu javnih zgrada i daje poticaje za obnovu zgrada socijalnog karaktera.</w:t>
            </w:r>
          </w:p>
          <w:p w14:paraId="41E09292"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Obrazovanje korisnika se provodi od strane energetskih agencija i sl.</w:t>
            </w:r>
          </w:p>
          <w:p w14:paraId="5F63C913"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Pripremljeni edukacijski materijali za provođenje obrazovanja u školama i na fakultetima</w:t>
            </w:r>
          </w:p>
        </w:tc>
      </w:tr>
      <w:tr w:rsidR="004F09F1" w:rsidRPr="009C52C4" w14:paraId="0E3AC92A" w14:textId="77777777" w:rsidTr="00CB0DFB">
        <w:trPr>
          <w:trHeight w:val="283"/>
        </w:trPr>
        <w:tc>
          <w:tcPr>
            <w:tcW w:w="824" w:type="dxa"/>
            <w:shd w:val="clear" w:color="auto" w:fill="EAF1DD" w:themeFill="accent3" w:themeFillTint="33"/>
            <w:tcMar>
              <w:left w:w="115" w:type="dxa"/>
              <w:right w:w="115" w:type="dxa"/>
            </w:tcMar>
            <w:vAlign w:val="center"/>
          </w:tcPr>
          <w:p w14:paraId="4BCA6869"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lastRenderedPageBreak/>
              <w:t>2017.</w:t>
            </w:r>
          </w:p>
        </w:tc>
        <w:tc>
          <w:tcPr>
            <w:tcW w:w="8498" w:type="dxa"/>
            <w:shd w:val="clear" w:color="auto" w:fill="EAF1DD" w:themeFill="accent3" w:themeFillTint="33"/>
            <w:tcMar>
              <w:left w:w="115" w:type="dxa"/>
              <w:right w:w="115" w:type="dxa"/>
            </w:tcMar>
          </w:tcPr>
          <w:p w14:paraId="2F14675A"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Razvijene tehnike cjelovite obnove za većinu tipova zgrada</w:t>
            </w:r>
          </w:p>
          <w:p w14:paraId="3CCDAE0E"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5% izvođačkih kompanija je certificirano za energetsku obnovu nula energetskih zgrada i 5% djelatnika je obrazovano za izvođenje takvih radova </w:t>
            </w:r>
          </w:p>
          <w:p w14:paraId="399B1811"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Sveučilišta i škole su uvele energetsku obnovu u nastavni program</w:t>
            </w:r>
          </w:p>
          <w:p w14:paraId="0DF71ADF"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Vlada je pripremila planove financiranja obnove javnih zgrada i socijalnih stanova</w:t>
            </w:r>
          </w:p>
          <w:p w14:paraId="5BCE968E"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Vlada podupire istraživanja i predstavljanja energetske obnove</w:t>
            </w:r>
          </w:p>
          <w:p w14:paraId="1F72B29C"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Vlada podupire obrazovanje radnika u izvođenju obnove</w:t>
            </w:r>
          </w:p>
        </w:tc>
      </w:tr>
      <w:tr w:rsidR="004F09F1" w:rsidRPr="009C52C4" w14:paraId="1C9BE574" w14:textId="77777777" w:rsidTr="00CB0DFB">
        <w:tblPrEx>
          <w:shd w:val="clear" w:color="auto" w:fill="EAF1DD" w:themeFill="accent3" w:themeFillTint="33"/>
        </w:tblPrEx>
        <w:trPr>
          <w:trHeight w:val="283"/>
        </w:trPr>
        <w:tc>
          <w:tcPr>
            <w:tcW w:w="824" w:type="dxa"/>
            <w:shd w:val="clear" w:color="auto" w:fill="EAF1DD" w:themeFill="accent3" w:themeFillTint="33"/>
            <w:tcMar>
              <w:left w:w="115" w:type="dxa"/>
              <w:right w:w="115" w:type="dxa"/>
            </w:tcMar>
            <w:vAlign w:val="center"/>
          </w:tcPr>
          <w:p w14:paraId="00441678" w14:textId="77777777" w:rsidR="004F09F1" w:rsidRPr="009C52C4" w:rsidRDefault="004F09F1" w:rsidP="004F09F1">
            <w:pPr>
              <w:jc w:val="center"/>
              <w:rPr>
                <w:rFonts w:ascii="Times New Roman" w:hAnsi="Times New Roman" w:cs="Times New Roman"/>
                <w:sz w:val="24"/>
                <w:szCs w:val="24"/>
              </w:rPr>
            </w:pPr>
            <w:r w:rsidRPr="009C52C4">
              <w:rPr>
                <w:rFonts w:ascii="Times New Roman" w:hAnsi="Times New Roman" w:cs="Times New Roman"/>
                <w:sz w:val="24"/>
                <w:szCs w:val="24"/>
              </w:rPr>
              <w:t>2015.</w:t>
            </w:r>
          </w:p>
        </w:tc>
        <w:tc>
          <w:tcPr>
            <w:tcW w:w="8498" w:type="dxa"/>
            <w:shd w:val="clear" w:color="auto" w:fill="EAF1DD" w:themeFill="accent3" w:themeFillTint="33"/>
            <w:tcMar>
              <w:left w:w="115" w:type="dxa"/>
              <w:right w:w="115" w:type="dxa"/>
            </w:tcMar>
          </w:tcPr>
          <w:p w14:paraId="4F1EB4A3"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U potpunosti pripremljeni materijali za obnovu postojećeg fonda zgrada</w:t>
            </w:r>
          </w:p>
          <w:p w14:paraId="6804B026"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Sporazum o razini potrebnih svojstava zgrade koje obnovljene zgrade trebaju dostići u 2050. i strategija kako to postići</w:t>
            </w:r>
          </w:p>
          <w:p w14:paraId="16E68F5A"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Pregled tehnika cjelovite obnov</w:t>
            </w:r>
            <w:r w:rsidR="00CB0DFB" w:rsidRPr="009C52C4">
              <w:rPr>
                <w:rFonts w:ascii="Times New Roman" w:hAnsi="Times New Roman" w:cs="Times New Roman"/>
                <w:sz w:val="24"/>
                <w:szCs w:val="24"/>
              </w:rPr>
              <w:t xml:space="preserve">e </w:t>
            </w:r>
            <w:r w:rsidRPr="009C52C4">
              <w:rPr>
                <w:rFonts w:ascii="Times New Roman" w:hAnsi="Times New Roman" w:cs="Times New Roman"/>
                <w:sz w:val="24"/>
                <w:szCs w:val="24"/>
              </w:rPr>
              <w:t>uključivo primjenljivost na različite tipove zgrada</w:t>
            </w:r>
          </w:p>
          <w:p w14:paraId="2616389A"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Razvijena tehnika cjelovite obnove za većinu tipova zgrada</w:t>
            </w:r>
          </w:p>
          <w:p w14:paraId="3D863BAB"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Pripremljeni materijali za edukaciju</w:t>
            </w:r>
          </w:p>
          <w:p w14:paraId="61ABF326"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Podrška Vlade istraživanjima obnove</w:t>
            </w:r>
          </w:p>
        </w:tc>
      </w:tr>
    </w:tbl>
    <w:p w14:paraId="23BE5528" w14:textId="77777777" w:rsidR="004F09F1" w:rsidRPr="009C52C4" w:rsidRDefault="004F09F1" w:rsidP="004F09F1">
      <w:pPr>
        <w:rPr>
          <w:rFonts w:ascii="Times New Roman" w:hAnsi="Times New Roman" w:cs="Times New Roman"/>
          <w:sz w:val="24"/>
          <w:szCs w:val="24"/>
        </w:rPr>
      </w:pPr>
    </w:p>
    <w:p w14:paraId="57D593FB" w14:textId="77777777" w:rsidR="00CB0DFB" w:rsidRPr="009C52C4" w:rsidRDefault="00CB0DFB" w:rsidP="004F09F1">
      <w:pPr>
        <w:rPr>
          <w:rFonts w:ascii="Times New Roman" w:hAnsi="Times New Roman" w:cs="Times New Roman"/>
          <w:sz w:val="24"/>
          <w:szCs w:val="24"/>
        </w:rPr>
      </w:pPr>
    </w:p>
    <w:p w14:paraId="379AE3B8"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Hrvatska nacionalna politika integralne obnove nacionalnog fonda zgrada za ostvarenje postavljenih ciljeva u skladu s odredbama</w:t>
      </w:r>
      <w:r w:rsidR="008003E6" w:rsidRPr="009C52C4">
        <w:rPr>
          <w:rFonts w:ascii="Times New Roman" w:hAnsi="Times New Roman" w:cs="Times New Roman"/>
          <w:sz w:val="24"/>
          <w:szCs w:val="24"/>
        </w:rPr>
        <w:t xml:space="preserve"> EU direktiva treba obuhvatiti šest</w:t>
      </w:r>
      <w:r w:rsidRPr="009C52C4">
        <w:rPr>
          <w:rFonts w:ascii="Times New Roman" w:hAnsi="Times New Roman" w:cs="Times New Roman"/>
          <w:sz w:val="24"/>
          <w:szCs w:val="24"/>
        </w:rPr>
        <w:t xml:space="preserve"> kategorija mjera</w:t>
      </w:r>
      <w:r w:rsidRPr="009C52C4">
        <w:rPr>
          <w:rFonts w:ascii="Times New Roman" w:hAnsi="Times New Roman" w:cs="Times New Roman"/>
          <w:sz w:val="24"/>
          <w:szCs w:val="24"/>
          <w:vertAlign w:val="superscript"/>
        </w:rPr>
        <w:footnoteReference w:id="71"/>
      </w:r>
      <w:r w:rsidRPr="009C52C4">
        <w:rPr>
          <w:rFonts w:ascii="Times New Roman" w:hAnsi="Times New Roman" w:cs="Times New Roman"/>
          <w:sz w:val="24"/>
          <w:szCs w:val="24"/>
        </w:rPr>
        <w:t>:</w:t>
      </w:r>
    </w:p>
    <w:p w14:paraId="4C1ED406" w14:textId="2CF892C9"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strateške</w:t>
      </w:r>
    </w:p>
    <w:p w14:paraId="55B8BD46" w14:textId="5723E530"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legislativne</w:t>
      </w:r>
    </w:p>
    <w:p w14:paraId="2B421121" w14:textId="171C36CF"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tehničke</w:t>
      </w:r>
    </w:p>
    <w:p w14:paraId="2097EBA4" w14:textId="306F6AE8"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financijske</w:t>
      </w:r>
    </w:p>
    <w:p w14:paraId="7F37C572" w14:textId="3D65199A"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komunikacijske i mjere za jačanje kapaciteta</w:t>
      </w:r>
    </w:p>
    <w:p w14:paraId="199EA293" w14:textId="6A94022F" w:rsidR="004F09F1" w:rsidRPr="009C52C4" w:rsidRDefault="004F09F1" w:rsidP="004F09F1">
      <w:pPr>
        <w:numPr>
          <w:ilvl w:val="0"/>
          <w:numId w:val="49"/>
        </w:numPr>
        <w:ind w:hanging="359"/>
        <w:contextualSpacing/>
        <w:jc w:val="left"/>
        <w:rPr>
          <w:rFonts w:ascii="Times New Roman" w:hAnsi="Times New Roman" w:cs="Times New Roman"/>
          <w:sz w:val="24"/>
          <w:szCs w:val="24"/>
        </w:rPr>
      </w:pPr>
      <w:r w:rsidRPr="009C52C4">
        <w:rPr>
          <w:rFonts w:ascii="Times New Roman" w:hAnsi="Times New Roman" w:cs="Times New Roman"/>
          <w:sz w:val="24"/>
          <w:szCs w:val="24"/>
        </w:rPr>
        <w:t>istraživačko-razvojne</w:t>
      </w:r>
    </w:p>
    <w:p w14:paraId="75CF9420" w14:textId="77777777" w:rsidR="004F09F1" w:rsidRPr="009C52C4" w:rsidRDefault="004F09F1" w:rsidP="004F09F1">
      <w:pPr>
        <w:rPr>
          <w:rFonts w:ascii="Times New Roman" w:hAnsi="Times New Roman" w:cs="Times New Roman"/>
          <w:sz w:val="24"/>
          <w:szCs w:val="24"/>
        </w:rPr>
      </w:pPr>
    </w:p>
    <w:p w14:paraId="37728EB4" w14:textId="1C519CA4" w:rsidR="007B2634" w:rsidRPr="009C52C4" w:rsidRDefault="007B2634" w:rsidP="004F09F1">
      <w:pPr>
        <w:rPr>
          <w:rFonts w:ascii="Times New Roman" w:hAnsi="Times New Roman" w:cs="Times New Roman"/>
          <w:sz w:val="24"/>
          <w:szCs w:val="24"/>
        </w:rPr>
      </w:pPr>
      <w:r w:rsidRPr="009C52C4">
        <w:rPr>
          <w:rFonts w:ascii="Times New Roman" w:hAnsi="Times New Roman" w:cs="Times New Roman"/>
          <w:sz w:val="24"/>
          <w:szCs w:val="24"/>
        </w:rPr>
        <w:t>Sukladno zaključcima i pr</w:t>
      </w:r>
      <w:r w:rsidR="006E4424" w:rsidRPr="009C52C4">
        <w:rPr>
          <w:rFonts w:ascii="Times New Roman" w:hAnsi="Times New Roman" w:cs="Times New Roman"/>
          <w:sz w:val="24"/>
          <w:szCs w:val="24"/>
        </w:rPr>
        <w:t>e</w:t>
      </w:r>
      <w:r w:rsidRPr="009C52C4">
        <w:rPr>
          <w:rFonts w:ascii="Times New Roman" w:hAnsi="Times New Roman" w:cs="Times New Roman"/>
          <w:sz w:val="24"/>
          <w:szCs w:val="24"/>
        </w:rPr>
        <w:t>porukama provedenog EU projekta Build Upon</w:t>
      </w:r>
      <w:r w:rsidR="00FE734E" w:rsidRPr="009C52C4">
        <w:rPr>
          <w:rStyle w:val="FootnoteReference"/>
          <w:rFonts w:ascii="Times New Roman" w:hAnsi="Times New Roman" w:cs="Times New Roman"/>
          <w:sz w:val="24"/>
          <w:szCs w:val="24"/>
        </w:rPr>
        <w:t>62</w:t>
      </w:r>
      <w:r w:rsidRPr="009C52C4">
        <w:rPr>
          <w:rFonts w:ascii="Times New Roman" w:hAnsi="Times New Roman" w:cs="Times New Roman"/>
          <w:sz w:val="24"/>
          <w:szCs w:val="24"/>
        </w:rPr>
        <w:t xml:space="preserve"> ova </w:t>
      </w:r>
      <w:r w:rsidR="004F68D2" w:rsidRPr="009C52C4">
        <w:rPr>
          <w:rFonts w:ascii="Times New Roman" w:hAnsi="Times New Roman" w:cs="Times New Roman"/>
          <w:sz w:val="24"/>
          <w:szCs w:val="24"/>
        </w:rPr>
        <w:t>Dugoročna strategija za poticanje ulaganja u obnovu nacionalnog fonda zgrada Republike Hrvatske</w:t>
      </w:r>
      <w:r w:rsidR="006A4BDB" w:rsidRPr="009C52C4">
        <w:rPr>
          <w:rFonts w:ascii="Times New Roman" w:hAnsi="Times New Roman" w:cs="Times New Roman"/>
          <w:sz w:val="24"/>
          <w:szCs w:val="24"/>
        </w:rPr>
        <w:t xml:space="preserve"> usklađena je u dijelu preporuka za poboljšanje legislativnog okvira (z</w:t>
      </w:r>
      <w:r w:rsidRPr="009C52C4">
        <w:rPr>
          <w:rFonts w:ascii="Times New Roman" w:hAnsi="Times New Roman" w:cs="Times New Roman"/>
          <w:sz w:val="24"/>
          <w:szCs w:val="24"/>
        </w:rPr>
        <w:t>akonodavstvo</w:t>
      </w:r>
      <w:r w:rsidR="006A4BDB" w:rsidRPr="009C52C4">
        <w:rPr>
          <w:rFonts w:ascii="Times New Roman" w:hAnsi="Times New Roman" w:cs="Times New Roman"/>
          <w:sz w:val="24"/>
          <w:szCs w:val="24"/>
        </w:rPr>
        <w:t xml:space="preserve">), </w:t>
      </w:r>
      <w:r w:rsidR="00214978" w:rsidRPr="009C52C4">
        <w:rPr>
          <w:rFonts w:ascii="Times New Roman" w:hAnsi="Times New Roman" w:cs="Times New Roman"/>
          <w:sz w:val="24"/>
          <w:szCs w:val="24"/>
        </w:rPr>
        <w:t xml:space="preserve">u </w:t>
      </w:r>
      <w:r w:rsidR="006A4BDB" w:rsidRPr="009C52C4">
        <w:rPr>
          <w:rFonts w:ascii="Times New Roman" w:hAnsi="Times New Roman" w:cs="Times New Roman"/>
          <w:sz w:val="24"/>
          <w:szCs w:val="24"/>
        </w:rPr>
        <w:t>dijelu vez</w:t>
      </w:r>
      <w:r w:rsidR="003968E3" w:rsidRPr="009C52C4">
        <w:rPr>
          <w:rFonts w:ascii="Times New Roman" w:hAnsi="Times New Roman" w:cs="Times New Roman"/>
          <w:sz w:val="24"/>
          <w:szCs w:val="24"/>
        </w:rPr>
        <w:t>a</w:t>
      </w:r>
      <w:r w:rsidR="006A4BDB" w:rsidRPr="009C52C4">
        <w:rPr>
          <w:rFonts w:ascii="Times New Roman" w:hAnsi="Times New Roman" w:cs="Times New Roman"/>
          <w:sz w:val="24"/>
          <w:szCs w:val="24"/>
        </w:rPr>
        <w:t>nom za inovativne mehanizme financiranja,</w:t>
      </w:r>
      <w:r w:rsidR="00214978" w:rsidRPr="009C52C4">
        <w:rPr>
          <w:rFonts w:ascii="Times New Roman" w:hAnsi="Times New Roman" w:cs="Times New Roman"/>
          <w:sz w:val="24"/>
          <w:szCs w:val="24"/>
        </w:rPr>
        <w:t xml:space="preserve"> u</w:t>
      </w:r>
      <w:r w:rsidR="006A4BDB" w:rsidRPr="009C52C4">
        <w:rPr>
          <w:rFonts w:ascii="Times New Roman" w:hAnsi="Times New Roman" w:cs="Times New Roman"/>
          <w:sz w:val="24"/>
          <w:szCs w:val="24"/>
        </w:rPr>
        <w:t xml:space="preserve"> dijelu vezanom za osiguravanje neophodnog znanja i vještina</w:t>
      </w:r>
      <w:r w:rsidR="003968E3" w:rsidRPr="009C52C4">
        <w:rPr>
          <w:rFonts w:ascii="Times New Roman" w:hAnsi="Times New Roman" w:cs="Times New Roman"/>
          <w:sz w:val="24"/>
          <w:szCs w:val="24"/>
        </w:rPr>
        <w:t>,</w:t>
      </w:r>
      <w:r w:rsidR="006A4BDB" w:rsidRPr="009C52C4">
        <w:rPr>
          <w:rFonts w:ascii="Times New Roman" w:hAnsi="Times New Roman" w:cs="Times New Roman"/>
          <w:sz w:val="24"/>
          <w:szCs w:val="24"/>
        </w:rPr>
        <w:t xml:space="preserve"> te komunikacijske aspekte vezane za promociju i informiranje šire javnosti.</w:t>
      </w:r>
    </w:p>
    <w:p w14:paraId="40D96BA1" w14:textId="77777777" w:rsidR="007B2634" w:rsidRPr="009C52C4" w:rsidRDefault="007B2634" w:rsidP="004F09F1">
      <w:pPr>
        <w:rPr>
          <w:rFonts w:ascii="Times New Roman" w:hAnsi="Times New Roman" w:cs="Times New Roman"/>
          <w:sz w:val="24"/>
          <w:szCs w:val="24"/>
        </w:rPr>
      </w:pPr>
    </w:p>
    <w:p w14:paraId="7002C9F7" w14:textId="77777777" w:rsidR="008003E6" w:rsidRPr="009C52C4" w:rsidRDefault="008003E6" w:rsidP="008003E6">
      <w:pPr>
        <w:rPr>
          <w:rFonts w:ascii="Times New Roman" w:hAnsi="Times New Roman" w:cs="Times New Roman"/>
          <w:sz w:val="24"/>
          <w:szCs w:val="24"/>
        </w:rPr>
      </w:pPr>
      <w:r w:rsidRPr="009C52C4">
        <w:rPr>
          <w:rFonts w:ascii="Times New Roman" w:hAnsi="Times New Roman" w:cs="Times New Roman"/>
          <w:b/>
          <w:sz w:val="24"/>
          <w:szCs w:val="24"/>
        </w:rPr>
        <w:t xml:space="preserve">Strateške mjere </w:t>
      </w:r>
      <w:r w:rsidRPr="009C52C4">
        <w:rPr>
          <w:rFonts w:ascii="Times New Roman" w:hAnsi="Times New Roman" w:cs="Times New Roman"/>
          <w:sz w:val="24"/>
          <w:szCs w:val="24"/>
        </w:rPr>
        <w:t>integralne obnove nacionalnog fonda zgrada obuhvaćaju:</w:t>
      </w:r>
    </w:p>
    <w:p w14:paraId="6373EE73" w14:textId="6471EC8C" w:rsidR="00214978" w:rsidRPr="009C52C4" w:rsidRDefault="008003E6" w:rsidP="00214978">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uspostav</w:t>
      </w:r>
      <w:r w:rsidR="00214978" w:rsidRPr="009C52C4">
        <w:rPr>
          <w:rFonts w:ascii="Times New Roman" w:hAnsi="Times New Roman" w:cs="Times New Roman"/>
          <w:sz w:val="24"/>
          <w:szCs w:val="24"/>
        </w:rPr>
        <w:t>u</w:t>
      </w:r>
      <w:r w:rsidRPr="009C52C4">
        <w:rPr>
          <w:rFonts w:ascii="Times New Roman" w:hAnsi="Times New Roman" w:cs="Times New Roman"/>
          <w:sz w:val="24"/>
          <w:szCs w:val="24"/>
        </w:rPr>
        <w:t xml:space="preserve"> podršk</w:t>
      </w:r>
      <w:r w:rsidR="00214978" w:rsidRPr="009C52C4">
        <w:rPr>
          <w:rFonts w:ascii="Times New Roman" w:hAnsi="Times New Roman" w:cs="Times New Roman"/>
          <w:sz w:val="24"/>
          <w:szCs w:val="24"/>
        </w:rPr>
        <w:t>e</w:t>
      </w:r>
      <w:r w:rsidRPr="009C52C4">
        <w:rPr>
          <w:rFonts w:ascii="Times New Roman" w:hAnsi="Times New Roman" w:cs="Times New Roman"/>
          <w:sz w:val="24"/>
          <w:szCs w:val="24"/>
        </w:rPr>
        <w:t xml:space="preserve"> čitavog političkog spektruma Republike Hrvatske za integralnu obnovu nacionalnog fonda zgrada</w:t>
      </w:r>
    </w:p>
    <w:p w14:paraId="5DCD6850" w14:textId="7EC8D65A"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uspostav</w:t>
      </w:r>
      <w:r w:rsidR="00214978" w:rsidRPr="009C52C4">
        <w:rPr>
          <w:rFonts w:ascii="Times New Roman" w:hAnsi="Times New Roman" w:cs="Times New Roman"/>
          <w:sz w:val="24"/>
          <w:szCs w:val="24"/>
        </w:rPr>
        <w:t>u</w:t>
      </w:r>
      <w:r w:rsidRPr="009C52C4">
        <w:rPr>
          <w:rFonts w:ascii="Times New Roman" w:hAnsi="Times New Roman" w:cs="Times New Roman"/>
          <w:sz w:val="24"/>
          <w:szCs w:val="24"/>
        </w:rPr>
        <w:t xml:space="preserve"> širok</w:t>
      </w:r>
      <w:r w:rsidR="00214978" w:rsidRPr="009C52C4">
        <w:rPr>
          <w:rFonts w:ascii="Times New Roman" w:hAnsi="Times New Roman" w:cs="Times New Roman"/>
          <w:sz w:val="24"/>
          <w:szCs w:val="24"/>
        </w:rPr>
        <w:t>e</w:t>
      </w:r>
      <w:r w:rsidRPr="009C52C4">
        <w:rPr>
          <w:rFonts w:ascii="Times New Roman" w:hAnsi="Times New Roman" w:cs="Times New Roman"/>
          <w:sz w:val="24"/>
          <w:szCs w:val="24"/>
        </w:rPr>
        <w:t xml:space="preserve"> mrežu dionika kao podlog</w:t>
      </w:r>
      <w:r w:rsidR="00214978" w:rsidRPr="009C52C4">
        <w:rPr>
          <w:rFonts w:ascii="Times New Roman" w:hAnsi="Times New Roman" w:cs="Times New Roman"/>
          <w:sz w:val="24"/>
          <w:szCs w:val="24"/>
        </w:rPr>
        <w:t>e</w:t>
      </w:r>
      <w:r w:rsidRPr="009C52C4">
        <w:rPr>
          <w:rFonts w:ascii="Times New Roman" w:hAnsi="Times New Roman" w:cs="Times New Roman"/>
          <w:sz w:val="24"/>
          <w:szCs w:val="24"/>
        </w:rPr>
        <w:t xml:space="preserve"> uspješne provedbe plana obnove zgrada</w:t>
      </w:r>
    </w:p>
    <w:p w14:paraId="2C27C08C" w14:textId="20CD08DB"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osnova</w:t>
      </w:r>
      <w:r w:rsidR="008935E5" w:rsidRPr="009C52C4">
        <w:rPr>
          <w:rFonts w:ascii="Times New Roman" w:hAnsi="Times New Roman" w:cs="Times New Roman"/>
          <w:sz w:val="24"/>
          <w:szCs w:val="24"/>
        </w:rPr>
        <w:t>nje</w:t>
      </w:r>
      <w:r w:rsidRPr="009C52C4">
        <w:rPr>
          <w:rFonts w:ascii="Times New Roman" w:hAnsi="Times New Roman" w:cs="Times New Roman"/>
          <w:sz w:val="24"/>
          <w:szCs w:val="24"/>
        </w:rPr>
        <w:t xml:space="preserve"> neovisno</w:t>
      </w:r>
      <w:r w:rsidR="008935E5" w:rsidRPr="009C52C4">
        <w:rPr>
          <w:rFonts w:ascii="Times New Roman" w:hAnsi="Times New Roman" w:cs="Times New Roman"/>
          <w:sz w:val="24"/>
          <w:szCs w:val="24"/>
        </w:rPr>
        <w:t>g</w:t>
      </w:r>
      <w:r w:rsidRPr="009C52C4">
        <w:rPr>
          <w:rFonts w:ascii="Times New Roman" w:hAnsi="Times New Roman" w:cs="Times New Roman"/>
          <w:sz w:val="24"/>
          <w:szCs w:val="24"/>
        </w:rPr>
        <w:t xml:space="preserve"> povjerenstv</w:t>
      </w:r>
      <w:r w:rsidR="008935E5" w:rsidRPr="009C52C4">
        <w:rPr>
          <w:rFonts w:ascii="Times New Roman" w:hAnsi="Times New Roman" w:cs="Times New Roman"/>
          <w:sz w:val="24"/>
          <w:szCs w:val="24"/>
        </w:rPr>
        <w:t>a</w:t>
      </w:r>
      <w:r w:rsidRPr="009C52C4">
        <w:rPr>
          <w:rFonts w:ascii="Times New Roman" w:hAnsi="Times New Roman" w:cs="Times New Roman"/>
          <w:sz w:val="24"/>
          <w:szCs w:val="24"/>
        </w:rPr>
        <w:t xml:space="preserve"> koje će pratiti i izvještavati o napretku na trajnoj osnovi, uključujući pravovremene konstruktivne prijedloge za poboljšanje</w:t>
      </w:r>
    </w:p>
    <w:p w14:paraId="0C127B87" w14:textId="75519DB2"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lastRenderedPageBreak/>
        <w:t>prove</w:t>
      </w:r>
      <w:r w:rsidR="008935E5" w:rsidRPr="009C52C4">
        <w:rPr>
          <w:rFonts w:ascii="Times New Roman" w:hAnsi="Times New Roman" w:cs="Times New Roman"/>
          <w:sz w:val="24"/>
          <w:szCs w:val="24"/>
        </w:rPr>
        <w:t>dbu</w:t>
      </w:r>
      <w:r w:rsidRPr="009C52C4">
        <w:rPr>
          <w:rFonts w:ascii="Times New Roman" w:hAnsi="Times New Roman" w:cs="Times New Roman"/>
          <w:sz w:val="24"/>
          <w:szCs w:val="24"/>
        </w:rPr>
        <w:t xml:space="preserve"> sustavn</w:t>
      </w:r>
      <w:r w:rsidR="008935E5" w:rsidRPr="009C52C4">
        <w:rPr>
          <w:rFonts w:ascii="Times New Roman" w:hAnsi="Times New Roman" w:cs="Times New Roman"/>
          <w:sz w:val="24"/>
          <w:szCs w:val="24"/>
        </w:rPr>
        <w:t>e</w:t>
      </w:r>
      <w:r w:rsidRPr="009C52C4">
        <w:rPr>
          <w:rFonts w:ascii="Times New Roman" w:hAnsi="Times New Roman" w:cs="Times New Roman"/>
          <w:sz w:val="24"/>
          <w:szCs w:val="24"/>
        </w:rPr>
        <w:t xml:space="preserve"> procjen</w:t>
      </w:r>
      <w:r w:rsidR="008935E5" w:rsidRPr="009C52C4">
        <w:rPr>
          <w:rFonts w:ascii="Times New Roman" w:hAnsi="Times New Roman" w:cs="Times New Roman"/>
          <w:sz w:val="24"/>
          <w:szCs w:val="24"/>
        </w:rPr>
        <w:t>e</w:t>
      </w:r>
      <w:r w:rsidRPr="009C52C4">
        <w:rPr>
          <w:rFonts w:ascii="Times New Roman" w:hAnsi="Times New Roman" w:cs="Times New Roman"/>
          <w:sz w:val="24"/>
          <w:szCs w:val="24"/>
        </w:rPr>
        <w:t xml:space="preserve"> prepreka za uspješnu provedbu integralne obnove nacionalnog fonda zgrada i razv</w:t>
      </w:r>
      <w:r w:rsidR="008935E5" w:rsidRPr="009C52C4">
        <w:rPr>
          <w:rFonts w:ascii="Times New Roman" w:hAnsi="Times New Roman" w:cs="Times New Roman"/>
          <w:sz w:val="24"/>
          <w:szCs w:val="24"/>
        </w:rPr>
        <w:t>oj</w:t>
      </w:r>
      <w:r w:rsidRPr="009C52C4">
        <w:rPr>
          <w:rFonts w:ascii="Times New Roman" w:hAnsi="Times New Roman" w:cs="Times New Roman"/>
          <w:sz w:val="24"/>
          <w:szCs w:val="24"/>
        </w:rPr>
        <w:t xml:space="preserve"> pojedinačn</w:t>
      </w:r>
      <w:r w:rsidR="008935E5" w:rsidRPr="009C52C4">
        <w:rPr>
          <w:rFonts w:ascii="Times New Roman" w:hAnsi="Times New Roman" w:cs="Times New Roman"/>
          <w:sz w:val="24"/>
          <w:szCs w:val="24"/>
        </w:rPr>
        <w:t>ih</w:t>
      </w:r>
      <w:r w:rsidRPr="009C52C4">
        <w:rPr>
          <w:rFonts w:ascii="Times New Roman" w:hAnsi="Times New Roman" w:cs="Times New Roman"/>
          <w:sz w:val="24"/>
          <w:szCs w:val="24"/>
        </w:rPr>
        <w:t xml:space="preserve"> rješenja za uklanjanje svake od njih</w:t>
      </w:r>
    </w:p>
    <w:p w14:paraId="3C199427" w14:textId="5157D19E"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postav</w:t>
      </w:r>
      <w:r w:rsidR="008935E5" w:rsidRPr="009C52C4">
        <w:rPr>
          <w:rFonts w:ascii="Times New Roman" w:hAnsi="Times New Roman" w:cs="Times New Roman"/>
          <w:sz w:val="24"/>
          <w:szCs w:val="24"/>
        </w:rPr>
        <w:t>ljanje</w:t>
      </w:r>
      <w:r w:rsidRPr="009C52C4">
        <w:rPr>
          <w:rFonts w:ascii="Times New Roman" w:hAnsi="Times New Roman" w:cs="Times New Roman"/>
          <w:sz w:val="24"/>
          <w:szCs w:val="24"/>
        </w:rPr>
        <w:t xml:space="preserve"> cilj</w:t>
      </w:r>
      <w:r w:rsidR="008935E5" w:rsidRPr="009C52C4">
        <w:rPr>
          <w:rFonts w:ascii="Times New Roman" w:hAnsi="Times New Roman" w:cs="Times New Roman"/>
          <w:sz w:val="24"/>
          <w:szCs w:val="24"/>
        </w:rPr>
        <w:t>a</w:t>
      </w:r>
      <w:r w:rsidRPr="009C52C4">
        <w:rPr>
          <w:rFonts w:ascii="Times New Roman" w:hAnsi="Times New Roman" w:cs="Times New Roman"/>
          <w:sz w:val="24"/>
          <w:szCs w:val="24"/>
        </w:rPr>
        <w:t xml:space="preserve"> za smanjenje energetskog siromaštva hrvatskog stanovništva kroz poboljšanje mjera energetske učinkovitosti stambenog sektora</w:t>
      </w:r>
    </w:p>
    <w:p w14:paraId="3C557928" w14:textId="74540656"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postav</w:t>
      </w:r>
      <w:r w:rsidR="008935E5" w:rsidRPr="009C52C4">
        <w:rPr>
          <w:rFonts w:ascii="Times New Roman" w:hAnsi="Times New Roman" w:cs="Times New Roman"/>
          <w:sz w:val="24"/>
          <w:szCs w:val="24"/>
        </w:rPr>
        <w:t>ljanje</w:t>
      </w:r>
      <w:r w:rsidRPr="009C52C4">
        <w:rPr>
          <w:rFonts w:ascii="Times New Roman" w:hAnsi="Times New Roman" w:cs="Times New Roman"/>
          <w:sz w:val="24"/>
          <w:szCs w:val="24"/>
        </w:rPr>
        <w:t xml:space="preserve"> ciljev</w:t>
      </w:r>
      <w:r w:rsidR="008935E5" w:rsidRPr="009C52C4">
        <w:rPr>
          <w:rFonts w:ascii="Times New Roman" w:hAnsi="Times New Roman" w:cs="Times New Roman"/>
          <w:sz w:val="24"/>
          <w:szCs w:val="24"/>
        </w:rPr>
        <w:t>a</w:t>
      </w:r>
      <w:r w:rsidRPr="009C52C4">
        <w:rPr>
          <w:rFonts w:ascii="Times New Roman" w:hAnsi="Times New Roman" w:cs="Times New Roman"/>
          <w:sz w:val="24"/>
          <w:szCs w:val="24"/>
        </w:rPr>
        <w:t xml:space="preserve"> integracije raznih sektora: održivog urbanizma, održive gradnje, lokalnih energetskih resursa i dr.</w:t>
      </w:r>
    </w:p>
    <w:p w14:paraId="3615B6F8" w14:textId="29E50D77" w:rsidR="008003E6" w:rsidRPr="009C52C4" w:rsidRDefault="008003E6"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uspješn</w:t>
      </w:r>
      <w:r w:rsidR="008935E5" w:rsidRPr="009C52C4">
        <w:rPr>
          <w:rFonts w:ascii="Times New Roman" w:hAnsi="Times New Roman" w:cs="Times New Roman"/>
          <w:sz w:val="24"/>
          <w:szCs w:val="24"/>
        </w:rPr>
        <w:t>u</w:t>
      </w:r>
      <w:r w:rsidRPr="009C52C4">
        <w:rPr>
          <w:rFonts w:ascii="Times New Roman" w:hAnsi="Times New Roman" w:cs="Times New Roman"/>
          <w:sz w:val="24"/>
          <w:szCs w:val="24"/>
        </w:rPr>
        <w:t xml:space="preserve"> obnov</w:t>
      </w:r>
      <w:r w:rsidR="008935E5" w:rsidRPr="009C52C4">
        <w:rPr>
          <w:rFonts w:ascii="Times New Roman" w:hAnsi="Times New Roman" w:cs="Times New Roman"/>
          <w:sz w:val="24"/>
          <w:szCs w:val="24"/>
        </w:rPr>
        <w:t>u</w:t>
      </w:r>
      <w:r w:rsidRPr="009C52C4">
        <w:rPr>
          <w:rFonts w:ascii="Times New Roman" w:hAnsi="Times New Roman" w:cs="Times New Roman"/>
          <w:sz w:val="24"/>
          <w:szCs w:val="24"/>
        </w:rPr>
        <w:t xml:space="preserve"> nekomercijalnih zgrada javne namjene </w:t>
      </w:r>
      <w:r w:rsidR="008935E5" w:rsidRPr="009C52C4">
        <w:rPr>
          <w:rFonts w:ascii="Times New Roman" w:hAnsi="Times New Roman" w:cs="Times New Roman"/>
          <w:sz w:val="24"/>
          <w:szCs w:val="24"/>
        </w:rPr>
        <w:t xml:space="preserve">radi </w:t>
      </w:r>
      <w:r w:rsidRPr="009C52C4">
        <w:rPr>
          <w:rFonts w:ascii="Times New Roman" w:hAnsi="Times New Roman" w:cs="Times New Roman"/>
          <w:sz w:val="24"/>
          <w:szCs w:val="24"/>
        </w:rPr>
        <w:t>pruž</w:t>
      </w:r>
      <w:r w:rsidR="008935E5" w:rsidRPr="009C52C4">
        <w:rPr>
          <w:rFonts w:ascii="Times New Roman" w:hAnsi="Times New Roman" w:cs="Times New Roman"/>
          <w:sz w:val="24"/>
          <w:szCs w:val="24"/>
        </w:rPr>
        <w:t>anja</w:t>
      </w:r>
      <w:r w:rsidRPr="009C52C4">
        <w:rPr>
          <w:rFonts w:ascii="Times New Roman" w:hAnsi="Times New Roman" w:cs="Times New Roman"/>
          <w:sz w:val="24"/>
          <w:szCs w:val="24"/>
        </w:rPr>
        <w:t xml:space="preserve"> dob</w:t>
      </w:r>
      <w:r w:rsidR="008935E5" w:rsidRPr="009C52C4">
        <w:rPr>
          <w:rFonts w:ascii="Times New Roman" w:hAnsi="Times New Roman" w:cs="Times New Roman"/>
          <w:sz w:val="24"/>
          <w:szCs w:val="24"/>
        </w:rPr>
        <w:t>rog</w:t>
      </w:r>
      <w:r w:rsidRPr="009C52C4">
        <w:rPr>
          <w:rFonts w:ascii="Times New Roman" w:hAnsi="Times New Roman" w:cs="Times New Roman"/>
          <w:sz w:val="24"/>
          <w:szCs w:val="24"/>
        </w:rPr>
        <w:t xml:space="preserve"> primjer</w:t>
      </w:r>
      <w:r w:rsidR="008935E5" w:rsidRPr="009C52C4">
        <w:rPr>
          <w:rFonts w:ascii="Times New Roman" w:hAnsi="Times New Roman" w:cs="Times New Roman"/>
          <w:sz w:val="24"/>
          <w:szCs w:val="24"/>
        </w:rPr>
        <w:t>a</w:t>
      </w:r>
      <w:r w:rsidRPr="009C52C4">
        <w:rPr>
          <w:rFonts w:ascii="Times New Roman" w:hAnsi="Times New Roman" w:cs="Times New Roman"/>
          <w:sz w:val="24"/>
          <w:szCs w:val="24"/>
        </w:rPr>
        <w:t xml:space="preserve"> i pot</w:t>
      </w:r>
      <w:r w:rsidR="008935E5" w:rsidRPr="009C52C4">
        <w:rPr>
          <w:rFonts w:ascii="Times New Roman" w:hAnsi="Times New Roman" w:cs="Times New Roman"/>
          <w:sz w:val="24"/>
          <w:szCs w:val="24"/>
        </w:rPr>
        <w:t>icanja</w:t>
      </w:r>
      <w:r w:rsidRPr="009C52C4">
        <w:rPr>
          <w:rFonts w:ascii="Times New Roman" w:hAnsi="Times New Roman" w:cs="Times New Roman"/>
          <w:sz w:val="24"/>
          <w:szCs w:val="24"/>
        </w:rPr>
        <w:t xml:space="preserve"> obnov</w:t>
      </w:r>
      <w:r w:rsidR="008935E5" w:rsidRPr="009C52C4">
        <w:rPr>
          <w:rFonts w:ascii="Times New Roman" w:hAnsi="Times New Roman" w:cs="Times New Roman"/>
          <w:sz w:val="24"/>
          <w:szCs w:val="24"/>
        </w:rPr>
        <w:t>e</w:t>
      </w:r>
      <w:r w:rsidRPr="009C52C4">
        <w:rPr>
          <w:rFonts w:ascii="Times New Roman" w:hAnsi="Times New Roman" w:cs="Times New Roman"/>
          <w:sz w:val="24"/>
          <w:szCs w:val="24"/>
        </w:rPr>
        <w:t xml:space="preserve"> ostalih tipova zgrada nacionalnog fonda.</w:t>
      </w:r>
    </w:p>
    <w:p w14:paraId="7A190DD9" w14:textId="77777777" w:rsidR="008003E6" w:rsidRPr="009C52C4" w:rsidRDefault="008003E6" w:rsidP="004F09F1">
      <w:pPr>
        <w:rPr>
          <w:rFonts w:ascii="Times New Roman" w:hAnsi="Times New Roman" w:cs="Times New Roman"/>
          <w:sz w:val="24"/>
          <w:szCs w:val="24"/>
        </w:rPr>
      </w:pPr>
    </w:p>
    <w:p w14:paraId="2E354228" w14:textId="77777777" w:rsidR="00C249E8" w:rsidRPr="009C52C4" w:rsidRDefault="00C249E8" w:rsidP="00C249E8">
      <w:pPr>
        <w:rPr>
          <w:rFonts w:ascii="Times New Roman" w:hAnsi="Times New Roman" w:cs="Times New Roman"/>
          <w:sz w:val="24"/>
          <w:szCs w:val="24"/>
        </w:rPr>
      </w:pPr>
      <w:r w:rsidRPr="009C52C4">
        <w:rPr>
          <w:rFonts w:ascii="Times New Roman" w:hAnsi="Times New Roman" w:cs="Times New Roman"/>
          <w:b/>
          <w:sz w:val="24"/>
          <w:szCs w:val="24"/>
        </w:rPr>
        <w:t xml:space="preserve">Legislativne mjere </w:t>
      </w:r>
      <w:r w:rsidRPr="009C52C4">
        <w:rPr>
          <w:rFonts w:ascii="Times New Roman" w:hAnsi="Times New Roman" w:cs="Times New Roman"/>
          <w:sz w:val="24"/>
          <w:szCs w:val="24"/>
        </w:rPr>
        <w:t>za uspješnu obnov</w:t>
      </w:r>
      <w:r w:rsidR="008003E6" w:rsidRPr="009C52C4">
        <w:rPr>
          <w:rFonts w:ascii="Times New Roman" w:hAnsi="Times New Roman" w:cs="Times New Roman"/>
          <w:sz w:val="24"/>
          <w:szCs w:val="24"/>
        </w:rPr>
        <w:t>u</w:t>
      </w:r>
      <w:r w:rsidRPr="009C52C4">
        <w:rPr>
          <w:rFonts w:ascii="Times New Roman" w:hAnsi="Times New Roman" w:cs="Times New Roman"/>
          <w:sz w:val="24"/>
          <w:szCs w:val="24"/>
        </w:rPr>
        <w:t xml:space="preserve"> nacionalnog fonda zgrada su sljedeće:</w:t>
      </w:r>
    </w:p>
    <w:p w14:paraId="4C37C9FA" w14:textId="53426021" w:rsidR="00C249E8" w:rsidRPr="009C52C4" w:rsidRDefault="00C249E8" w:rsidP="0053083C">
      <w:pPr>
        <w:numPr>
          <w:ilvl w:val="0"/>
          <w:numId w:val="53"/>
        </w:numPr>
        <w:contextualSpacing/>
        <w:rPr>
          <w:rFonts w:ascii="Times New Roman" w:hAnsi="Times New Roman" w:cs="Times New Roman"/>
          <w:sz w:val="24"/>
          <w:szCs w:val="24"/>
        </w:rPr>
      </w:pPr>
      <w:r w:rsidRPr="009C52C4">
        <w:rPr>
          <w:rFonts w:ascii="Times New Roman" w:hAnsi="Times New Roman" w:cs="Times New Roman"/>
          <w:sz w:val="24"/>
          <w:szCs w:val="24"/>
        </w:rPr>
        <w:t>identificirati najdjelotvornije legislativne mehanizme čija bi primjena rezultirala poboljšanjem energetske učinkovitosti zgrada (energetsko certificiranje, inspekcija kotlovnica, pooštreni tehnički standardi i dr.)</w:t>
      </w:r>
    </w:p>
    <w:p w14:paraId="134C66AC" w14:textId="346EB0EC" w:rsidR="00C249E8" w:rsidRPr="009C52C4" w:rsidRDefault="00C249E8" w:rsidP="0053083C">
      <w:pPr>
        <w:numPr>
          <w:ilvl w:val="0"/>
          <w:numId w:val="53"/>
        </w:numPr>
        <w:contextualSpacing/>
        <w:rPr>
          <w:rFonts w:ascii="Times New Roman" w:hAnsi="Times New Roman" w:cs="Times New Roman"/>
          <w:sz w:val="24"/>
          <w:szCs w:val="24"/>
        </w:rPr>
      </w:pPr>
      <w:r w:rsidRPr="009C52C4">
        <w:rPr>
          <w:rFonts w:ascii="Times New Roman" w:hAnsi="Times New Roman" w:cs="Times New Roman"/>
          <w:sz w:val="24"/>
          <w:szCs w:val="24"/>
        </w:rPr>
        <w:t>legislativnim aktima obvezati na korištenje obnovljivih izvora energije i primjenu mjera energetske učinkovitosti u postojećim zgradama</w:t>
      </w:r>
    </w:p>
    <w:p w14:paraId="750B88B5" w14:textId="15862CE5" w:rsidR="00C249E8" w:rsidRPr="009C52C4" w:rsidRDefault="00C249E8" w:rsidP="0053083C">
      <w:pPr>
        <w:numPr>
          <w:ilvl w:val="0"/>
          <w:numId w:val="53"/>
        </w:numPr>
        <w:contextualSpacing/>
        <w:rPr>
          <w:rFonts w:ascii="Times New Roman" w:hAnsi="Times New Roman" w:cs="Times New Roman"/>
          <w:sz w:val="24"/>
          <w:szCs w:val="24"/>
        </w:rPr>
      </w:pPr>
      <w:r w:rsidRPr="009C52C4">
        <w:rPr>
          <w:rFonts w:ascii="Times New Roman" w:hAnsi="Times New Roman" w:cs="Times New Roman"/>
          <w:sz w:val="24"/>
          <w:szCs w:val="24"/>
        </w:rPr>
        <w:t>promijeniti ili ukinuti restriktivne legislativne akte koji destimuliraju poboljšanje energetske  učinkovitosti u zgradama (Uredba o održavanju zgrada</w:t>
      </w:r>
      <w:r w:rsidR="00684AC5" w:rsidRPr="009C52C4">
        <w:rPr>
          <w:rFonts w:ascii="Times New Roman" w:hAnsi="Times New Roman" w:cs="Times New Roman"/>
          <w:sz w:val="24"/>
          <w:szCs w:val="24"/>
        </w:rPr>
        <w:t xml:space="preserve"> NN 64/97</w:t>
      </w:r>
      <w:r w:rsidRPr="009C52C4">
        <w:rPr>
          <w:rFonts w:ascii="Times New Roman" w:hAnsi="Times New Roman" w:cs="Times New Roman"/>
          <w:sz w:val="24"/>
          <w:szCs w:val="24"/>
          <w:vertAlign w:val="superscript"/>
        </w:rPr>
        <w:footnoteReference w:id="72"/>
      </w:r>
      <w:r w:rsidRPr="009C52C4">
        <w:rPr>
          <w:rFonts w:ascii="Times New Roman" w:hAnsi="Times New Roman" w:cs="Times New Roman"/>
          <w:sz w:val="24"/>
          <w:szCs w:val="24"/>
        </w:rPr>
        <w:t>, i dr.)</w:t>
      </w:r>
    </w:p>
    <w:p w14:paraId="568878BF" w14:textId="7D0A17DD" w:rsidR="00C249E8" w:rsidRPr="009C52C4" w:rsidRDefault="00C249E8" w:rsidP="0053083C">
      <w:pPr>
        <w:numPr>
          <w:ilvl w:val="0"/>
          <w:numId w:val="53"/>
        </w:numPr>
        <w:contextualSpacing/>
        <w:rPr>
          <w:rFonts w:ascii="Times New Roman" w:hAnsi="Times New Roman" w:cs="Times New Roman"/>
          <w:sz w:val="24"/>
          <w:szCs w:val="24"/>
        </w:rPr>
      </w:pPr>
      <w:r w:rsidRPr="009C52C4">
        <w:rPr>
          <w:rFonts w:ascii="Times New Roman" w:hAnsi="Times New Roman" w:cs="Times New Roman"/>
          <w:sz w:val="24"/>
          <w:szCs w:val="24"/>
        </w:rPr>
        <w:t>legislativno obvezati na poboljšanje zgrada loših energetskih karakteristika (npr. uvesti razna ograničenja i restrikcije za prodaju i iznajmljivanje građevina energetskog razreda lošijeg od D)</w:t>
      </w:r>
    </w:p>
    <w:p w14:paraId="4C8D0DEE" w14:textId="77777777" w:rsidR="00C249E8" w:rsidRPr="009C52C4" w:rsidRDefault="00C249E8" w:rsidP="004F09F1">
      <w:pPr>
        <w:rPr>
          <w:rFonts w:ascii="Times New Roman" w:hAnsi="Times New Roman" w:cs="Times New Roman"/>
          <w:sz w:val="24"/>
          <w:szCs w:val="24"/>
        </w:rPr>
      </w:pPr>
    </w:p>
    <w:p w14:paraId="5A5C356E"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b/>
          <w:sz w:val="24"/>
          <w:szCs w:val="24"/>
        </w:rPr>
        <w:t>Tehničke mjere</w:t>
      </w:r>
      <w:r w:rsidRPr="009C52C4">
        <w:rPr>
          <w:rFonts w:ascii="Times New Roman" w:hAnsi="Times New Roman" w:cs="Times New Roman"/>
          <w:sz w:val="24"/>
          <w:szCs w:val="24"/>
        </w:rPr>
        <w:t xml:space="preserve"> trebaju obuhvatiti sljedeće:</w:t>
      </w:r>
    </w:p>
    <w:p w14:paraId="1E7AB23A" w14:textId="07427DE9"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kontinuirano usklađivati tehničke norme i standarde s novim tehnološkim rješenjima dostupnima na tržištu</w:t>
      </w:r>
    </w:p>
    <w:p w14:paraId="641418CF" w14:textId="1CE51A9B"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analizirati i primjenjivati centralizirane toplinske sustave za grijanje i hlađenje zgrada u što većoj mjeri</w:t>
      </w:r>
    </w:p>
    <w:p w14:paraId="7208B0D0" w14:textId="1C3A6050"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graditi područne sustave grijanja na biomasu</w:t>
      </w:r>
    </w:p>
    <w:p w14:paraId="5273FFD1" w14:textId="068D92CA"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osigurati odgovarajuću kontrolu usklađenosti s građevinskim propisima i provedbu kaznenih odredbi u slučaju neusklađenosti</w:t>
      </w:r>
    </w:p>
    <w:p w14:paraId="4729D043" w14:textId="00450BEE"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razvijati tipska rješenja za jednostavnu primjenu u zgradama iste namjene</w:t>
      </w:r>
    </w:p>
    <w:p w14:paraId="2A27844A" w14:textId="73E753F1" w:rsidR="004F09F1" w:rsidRPr="009C52C4" w:rsidRDefault="004F09F1" w:rsidP="0053083C">
      <w:pPr>
        <w:numPr>
          <w:ilvl w:val="0"/>
          <w:numId w:val="52"/>
        </w:numPr>
        <w:contextualSpacing/>
        <w:rPr>
          <w:rFonts w:ascii="Times New Roman" w:hAnsi="Times New Roman" w:cs="Times New Roman"/>
          <w:sz w:val="24"/>
          <w:szCs w:val="24"/>
        </w:rPr>
      </w:pPr>
      <w:r w:rsidRPr="009C52C4">
        <w:rPr>
          <w:rFonts w:ascii="Times New Roman" w:hAnsi="Times New Roman" w:cs="Times New Roman"/>
          <w:sz w:val="24"/>
          <w:szCs w:val="24"/>
        </w:rPr>
        <w:t>uvesti obaveznu certifikaciju kvalitete instalaterskih usluga i proizvoda</w:t>
      </w:r>
    </w:p>
    <w:p w14:paraId="490ADE94" w14:textId="77777777" w:rsidR="00CB0DFB" w:rsidRPr="009C52C4" w:rsidRDefault="00CB0DFB" w:rsidP="0053083C">
      <w:pPr>
        <w:rPr>
          <w:rFonts w:ascii="Times New Roman" w:hAnsi="Times New Roman" w:cs="Times New Roman"/>
          <w:sz w:val="24"/>
          <w:szCs w:val="24"/>
        </w:rPr>
      </w:pPr>
    </w:p>
    <w:p w14:paraId="4109A97C" w14:textId="77777777" w:rsidR="004F09F1" w:rsidRPr="009C52C4" w:rsidRDefault="004F09F1" w:rsidP="0053083C">
      <w:pPr>
        <w:rPr>
          <w:rFonts w:ascii="Times New Roman" w:hAnsi="Times New Roman" w:cs="Times New Roman"/>
          <w:sz w:val="24"/>
          <w:szCs w:val="24"/>
        </w:rPr>
      </w:pPr>
      <w:r w:rsidRPr="009C52C4">
        <w:rPr>
          <w:rFonts w:ascii="Times New Roman" w:hAnsi="Times New Roman" w:cs="Times New Roman"/>
          <w:b/>
          <w:sz w:val="24"/>
          <w:szCs w:val="24"/>
        </w:rPr>
        <w:t>Financijske mjere</w:t>
      </w:r>
      <w:r w:rsidRPr="009C52C4">
        <w:rPr>
          <w:rFonts w:ascii="Times New Roman" w:hAnsi="Times New Roman" w:cs="Times New Roman"/>
          <w:sz w:val="24"/>
          <w:szCs w:val="24"/>
        </w:rPr>
        <w:t xml:space="preserve"> za provedbu integralne obnove zgrada obuhvaćaju sljedeće: </w:t>
      </w:r>
    </w:p>
    <w:p w14:paraId="2AB7CC18" w14:textId="0606355E" w:rsidR="004F09F1" w:rsidRPr="009C52C4" w:rsidRDefault="008935E5" w:rsidP="0053083C">
      <w:pPr>
        <w:numPr>
          <w:ilvl w:val="0"/>
          <w:numId w:val="52"/>
        </w:numPr>
        <w:contextualSpacing/>
        <w:jc w:val="left"/>
        <w:rPr>
          <w:rFonts w:ascii="Times New Roman" w:hAnsi="Times New Roman" w:cs="Times New Roman"/>
          <w:sz w:val="24"/>
          <w:szCs w:val="24"/>
        </w:rPr>
      </w:pPr>
      <w:r w:rsidRPr="009C52C4">
        <w:rPr>
          <w:rFonts w:ascii="Times New Roman" w:hAnsi="Times New Roman" w:cs="Times New Roman"/>
          <w:sz w:val="24"/>
          <w:szCs w:val="24"/>
        </w:rPr>
        <w:t>r</w:t>
      </w:r>
      <w:r w:rsidR="004F09F1" w:rsidRPr="009C52C4">
        <w:rPr>
          <w:rFonts w:ascii="Times New Roman" w:hAnsi="Times New Roman" w:cs="Times New Roman"/>
          <w:sz w:val="24"/>
          <w:szCs w:val="24"/>
        </w:rPr>
        <w:t>azvoj financijskih instrumenata</w:t>
      </w:r>
    </w:p>
    <w:p w14:paraId="681D8A96" w14:textId="48858FFF" w:rsidR="004F09F1" w:rsidRPr="009C52C4" w:rsidRDefault="008935E5" w:rsidP="0053083C">
      <w:pPr>
        <w:numPr>
          <w:ilvl w:val="0"/>
          <w:numId w:val="52"/>
        </w:numPr>
        <w:contextualSpacing/>
        <w:jc w:val="left"/>
        <w:rPr>
          <w:rFonts w:ascii="Times New Roman" w:hAnsi="Times New Roman" w:cs="Times New Roman"/>
          <w:sz w:val="24"/>
          <w:szCs w:val="24"/>
        </w:rPr>
      </w:pPr>
      <w:r w:rsidRPr="009C52C4">
        <w:rPr>
          <w:rFonts w:ascii="Times New Roman" w:hAnsi="Times New Roman" w:cs="Times New Roman"/>
          <w:sz w:val="24"/>
          <w:szCs w:val="24"/>
        </w:rPr>
        <w:t>n</w:t>
      </w:r>
      <w:r w:rsidR="004F09F1" w:rsidRPr="009C52C4">
        <w:rPr>
          <w:rFonts w:ascii="Times New Roman" w:hAnsi="Times New Roman" w:cs="Times New Roman"/>
          <w:sz w:val="24"/>
          <w:szCs w:val="24"/>
        </w:rPr>
        <w:t>ačin dodjele bespovratnih sredstava</w:t>
      </w:r>
    </w:p>
    <w:p w14:paraId="505A7C7A" w14:textId="77777777" w:rsidR="004F09F1" w:rsidRPr="009C52C4" w:rsidRDefault="004F09F1" w:rsidP="004F09F1">
      <w:pPr>
        <w:rPr>
          <w:rFonts w:ascii="Times New Roman" w:hAnsi="Times New Roman" w:cs="Times New Roman"/>
          <w:sz w:val="24"/>
          <w:szCs w:val="24"/>
        </w:rPr>
      </w:pPr>
    </w:p>
    <w:p w14:paraId="3A6621F2" w14:textId="544F3730"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 xml:space="preserve">Kako bi financijske institucije mogle pratiti pružatelje energetske usluge, potrebno je razviti financijske instrumente u skladu s pravilima korištenja ESI fondova, sa specifičnom namjenom za pružatelje energetske usluge. Razvoj financijskih instrumenata u kontekstu ove </w:t>
      </w:r>
      <w:r w:rsidR="004F68D2"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xml:space="preserve"> treba stvoriti i uvjete za razvoj tržišta energetskih usluga</w:t>
      </w:r>
      <w:r w:rsidR="00BA7208" w:rsidRPr="009C52C4">
        <w:rPr>
          <w:rFonts w:ascii="Times New Roman" w:hAnsi="Times New Roman" w:cs="Times New Roman"/>
          <w:sz w:val="24"/>
          <w:szCs w:val="24"/>
        </w:rPr>
        <w:t xml:space="preserve"> uključujući i kroz model JPP</w:t>
      </w:r>
      <w:r w:rsidR="008935E5" w:rsidRPr="009C52C4">
        <w:rPr>
          <w:rFonts w:ascii="Times New Roman" w:hAnsi="Times New Roman" w:cs="Times New Roman"/>
          <w:sz w:val="24"/>
          <w:szCs w:val="24"/>
        </w:rPr>
        <w:t>-a</w:t>
      </w:r>
      <w:r w:rsidRPr="009C52C4">
        <w:rPr>
          <w:rFonts w:ascii="Times New Roman" w:hAnsi="Times New Roman" w:cs="Times New Roman"/>
          <w:sz w:val="24"/>
          <w:szCs w:val="24"/>
        </w:rPr>
        <w:t xml:space="preserve">, odnosno razvoj tržišta među privatnim subjektima koji žele poslovati po načelima pružanja energetske usluge. U slučaju financijskih instrumenata, moguće je ponuditi proizvode koji će prije svega olakšati pristup financiranju svim subjektima koji provode projekte po modelu energetske usluge, a onda i poticati razvoj tržišta kroz uklanjanje specifičnih barijera koje proizlaze iz samog modela energetske usluge te smanjenje problema potkapitaliziranosti (što je sistemski problem ekonomije u cjelini, a posebno je izražen kod </w:t>
      </w:r>
      <w:r w:rsidRPr="009C52C4">
        <w:rPr>
          <w:rFonts w:ascii="Times New Roman" w:hAnsi="Times New Roman" w:cs="Times New Roman"/>
          <w:sz w:val="24"/>
          <w:szCs w:val="24"/>
        </w:rPr>
        <w:lastRenderedPageBreak/>
        <w:t xml:space="preserve">ESCO tvrtki zbog kapitalne intenzivnosti i spomenutog specifičnog problema modela kao takvog). Uvažavajući specifičnosti </w:t>
      </w:r>
      <w:r w:rsidR="008935E5" w:rsidRPr="009C52C4">
        <w:rPr>
          <w:rFonts w:ascii="Times New Roman" w:hAnsi="Times New Roman" w:cs="Times New Roman"/>
          <w:sz w:val="24"/>
          <w:szCs w:val="24"/>
        </w:rPr>
        <w:t>financijskih izvješća</w:t>
      </w:r>
      <w:r w:rsidRPr="009C52C4">
        <w:rPr>
          <w:rFonts w:ascii="Times New Roman" w:hAnsi="Times New Roman" w:cs="Times New Roman"/>
          <w:sz w:val="24"/>
          <w:szCs w:val="24"/>
        </w:rPr>
        <w:t>, moguće je ostvariti sljedeće ciljeve: omogućiti pristup financiranju projekata EE poticati razvoj ESCO tržišta kroz specifične proizvode smanjiti cijenu financiranja za EE projekte. Ovdje se nameću tri osnovna instrumenta:</w:t>
      </w:r>
    </w:p>
    <w:p w14:paraId="7B3121A5" w14:textId="570FC500" w:rsidR="004F09F1" w:rsidRPr="009C52C4" w:rsidRDefault="004F09F1" w:rsidP="004F09F1">
      <w:pPr>
        <w:ind w:left="720"/>
        <w:rPr>
          <w:rFonts w:ascii="Times New Roman" w:hAnsi="Times New Roman" w:cs="Times New Roman"/>
          <w:sz w:val="24"/>
          <w:szCs w:val="24"/>
        </w:rPr>
      </w:pPr>
      <w:r w:rsidRPr="009C52C4">
        <w:rPr>
          <w:rFonts w:ascii="Times New Roman" w:hAnsi="Times New Roman" w:cs="Times New Roman"/>
          <w:sz w:val="24"/>
          <w:szCs w:val="24"/>
        </w:rPr>
        <w:t>a)</w:t>
      </w:r>
      <w:r w:rsidRPr="009C52C4">
        <w:rPr>
          <w:rFonts w:ascii="Times New Roman" w:hAnsi="Times New Roman" w:cs="Times New Roman"/>
          <w:sz w:val="24"/>
          <w:szCs w:val="24"/>
        </w:rPr>
        <w:tab/>
        <w:t>garancijski instrument</w:t>
      </w:r>
    </w:p>
    <w:p w14:paraId="26E4A3E4" w14:textId="13056F6A" w:rsidR="004F09F1" w:rsidRPr="009C52C4" w:rsidRDefault="004F09F1" w:rsidP="004F09F1">
      <w:pPr>
        <w:ind w:left="720"/>
        <w:rPr>
          <w:rFonts w:ascii="Times New Roman" w:hAnsi="Times New Roman" w:cs="Times New Roman"/>
          <w:sz w:val="24"/>
          <w:szCs w:val="24"/>
        </w:rPr>
      </w:pPr>
      <w:r w:rsidRPr="009C52C4">
        <w:rPr>
          <w:rFonts w:ascii="Times New Roman" w:hAnsi="Times New Roman" w:cs="Times New Roman"/>
          <w:sz w:val="24"/>
          <w:szCs w:val="24"/>
        </w:rPr>
        <w:t>b)</w:t>
      </w:r>
      <w:r w:rsidRPr="009C52C4">
        <w:rPr>
          <w:rFonts w:ascii="Times New Roman" w:hAnsi="Times New Roman" w:cs="Times New Roman"/>
          <w:sz w:val="24"/>
          <w:szCs w:val="24"/>
        </w:rPr>
        <w:tab/>
        <w:t>equity instrument</w:t>
      </w:r>
    </w:p>
    <w:p w14:paraId="638F1BC4" w14:textId="5D24662B" w:rsidR="004F09F1" w:rsidRPr="009C52C4" w:rsidRDefault="004F09F1" w:rsidP="008935E5">
      <w:pPr>
        <w:ind w:left="720"/>
        <w:rPr>
          <w:rFonts w:ascii="Times New Roman" w:hAnsi="Times New Roman" w:cs="Times New Roman"/>
          <w:sz w:val="24"/>
          <w:szCs w:val="24"/>
        </w:rPr>
      </w:pPr>
      <w:r w:rsidRPr="009C52C4">
        <w:rPr>
          <w:rFonts w:ascii="Times New Roman" w:hAnsi="Times New Roman" w:cs="Times New Roman"/>
          <w:sz w:val="24"/>
          <w:szCs w:val="24"/>
        </w:rPr>
        <w:t>c)</w:t>
      </w:r>
      <w:r w:rsidRPr="009C52C4">
        <w:rPr>
          <w:rFonts w:ascii="Times New Roman" w:hAnsi="Times New Roman" w:cs="Times New Roman"/>
          <w:sz w:val="24"/>
          <w:szCs w:val="24"/>
        </w:rPr>
        <w:tab/>
        <w:t>kreditna linija</w:t>
      </w:r>
    </w:p>
    <w:p w14:paraId="58705ACF" w14:textId="77777777" w:rsidR="008935E5" w:rsidRPr="009C52C4" w:rsidRDefault="008935E5" w:rsidP="008935E5">
      <w:pPr>
        <w:ind w:left="720"/>
        <w:rPr>
          <w:rFonts w:ascii="Times New Roman" w:hAnsi="Times New Roman" w:cs="Times New Roman"/>
          <w:sz w:val="24"/>
          <w:szCs w:val="24"/>
        </w:rPr>
      </w:pPr>
    </w:p>
    <w:p w14:paraId="042906FF" w14:textId="47B071EF"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sz w:val="24"/>
          <w:szCs w:val="24"/>
        </w:rPr>
        <w:t>Model sufinanciranja treba prilagoditi na način da se potpore dodjeljuju u direktnom odnosu s pružateljem usluge, bez posredničke uloge npr.</w:t>
      </w:r>
      <w:r w:rsidR="008935E5" w:rsidRPr="009C52C4">
        <w:rPr>
          <w:rFonts w:ascii="Times New Roman" w:hAnsi="Times New Roman" w:cs="Times New Roman"/>
        </w:rPr>
        <w:t xml:space="preserve"> </w:t>
      </w:r>
      <w:r w:rsidR="008935E5" w:rsidRPr="009C52C4">
        <w:rPr>
          <w:rFonts w:ascii="Times New Roman" w:hAnsi="Times New Roman" w:cs="Times New Roman"/>
          <w:sz w:val="24"/>
          <w:szCs w:val="24"/>
        </w:rPr>
        <w:t xml:space="preserve">Agencija za pravni promet i posredovanje nekretninama </w:t>
      </w:r>
      <w:r w:rsidRPr="009C52C4">
        <w:rPr>
          <w:rFonts w:ascii="Times New Roman" w:hAnsi="Times New Roman" w:cs="Times New Roman"/>
          <w:sz w:val="24"/>
          <w:szCs w:val="24"/>
        </w:rPr>
        <w:t>odnosno da rizik ostvarivanja potpore snosi pružatelj energetske usluge, čime se ne utječe na obveze po ugovoru o energetskom učinku.</w:t>
      </w:r>
    </w:p>
    <w:p w14:paraId="34FE217B" w14:textId="77777777" w:rsidR="00384358" w:rsidRPr="009C52C4" w:rsidRDefault="00384358" w:rsidP="004F09F1">
      <w:pPr>
        <w:rPr>
          <w:rFonts w:ascii="Times New Roman" w:hAnsi="Times New Roman" w:cs="Times New Roman"/>
          <w:sz w:val="24"/>
          <w:szCs w:val="24"/>
        </w:rPr>
      </w:pPr>
    </w:p>
    <w:p w14:paraId="1457320B" w14:textId="77777777" w:rsidR="004F09F1" w:rsidRPr="009C52C4" w:rsidRDefault="004F09F1" w:rsidP="004F09F1">
      <w:pPr>
        <w:rPr>
          <w:rFonts w:ascii="Times New Roman" w:hAnsi="Times New Roman" w:cs="Times New Roman"/>
          <w:sz w:val="24"/>
          <w:szCs w:val="24"/>
        </w:rPr>
      </w:pPr>
      <w:r w:rsidRPr="009C52C4">
        <w:rPr>
          <w:rFonts w:ascii="Times New Roman" w:hAnsi="Times New Roman" w:cs="Times New Roman"/>
          <w:b/>
          <w:sz w:val="24"/>
          <w:szCs w:val="24"/>
        </w:rPr>
        <w:t>Komunikacijske i mjere za jačanje kapaciteta</w:t>
      </w:r>
      <w:r w:rsidRPr="009C52C4">
        <w:rPr>
          <w:rFonts w:ascii="Times New Roman" w:hAnsi="Times New Roman" w:cs="Times New Roman"/>
          <w:sz w:val="24"/>
          <w:szCs w:val="24"/>
        </w:rPr>
        <w:t xml:space="preserve"> obuhvaćaju sljedeće:</w:t>
      </w:r>
    </w:p>
    <w:p w14:paraId="702798F9" w14:textId="69589335" w:rsidR="004F09F1" w:rsidRPr="009C52C4" w:rsidRDefault="004F09F1" w:rsidP="0053083C">
      <w:pPr>
        <w:numPr>
          <w:ilvl w:val="0"/>
          <w:numId w:val="50"/>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uspostaviti javno dostupne baze podataka s primjerima dobre prakse i svim potrebnim podacima za pokretanje i provođenje projekata energetske obnove zgrada</w:t>
      </w:r>
    </w:p>
    <w:p w14:paraId="3A248583" w14:textId="06145A8F" w:rsidR="004F09F1" w:rsidRPr="009C52C4" w:rsidRDefault="004F09F1" w:rsidP="0053083C">
      <w:pPr>
        <w:numPr>
          <w:ilvl w:val="0"/>
          <w:numId w:val="50"/>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pokrenuti i kontinuirano provoditi obrazovne programe za sve kategorije djelatnika u zgradarstvu</w:t>
      </w:r>
    </w:p>
    <w:p w14:paraId="2622D293" w14:textId="55E2CE8E" w:rsidR="004F09F1" w:rsidRPr="009C52C4" w:rsidRDefault="004F09F1" w:rsidP="0053083C">
      <w:pPr>
        <w:numPr>
          <w:ilvl w:val="0"/>
          <w:numId w:val="50"/>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uspostaviti dobre komunikacijske kanale za razmjenu znanja i iskustva između raznih razina uprave (nacionalna, regionalna, županijska, lokalna)</w:t>
      </w:r>
    </w:p>
    <w:p w14:paraId="20F51F08" w14:textId="791AF6AC" w:rsidR="004F09F1" w:rsidRPr="009C52C4" w:rsidRDefault="004F09F1" w:rsidP="0053083C">
      <w:pPr>
        <w:numPr>
          <w:ilvl w:val="0"/>
          <w:numId w:val="50"/>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kontinuirano provoditi promotivne-edukativne aktivnosti za različite ciljne grupe s naglaskom na pozitivnim učincima energetske obnove građevina;</w:t>
      </w:r>
    </w:p>
    <w:p w14:paraId="76B43046" w14:textId="1A762391" w:rsidR="004F09F1" w:rsidRPr="009C52C4" w:rsidRDefault="004F09F1" w:rsidP="0053083C">
      <w:pPr>
        <w:numPr>
          <w:ilvl w:val="0"/>
          <w:numId w:val="50"/>
        </w:numPr>
        <w:ind w:hanging="359"/>
        <w:contextualSpacing/>
        <w:rPr>
          <w:rFonts w:ascii="Times New Roman" w:hAnsi="Times New Roman" w:cs="Times New Roman"/>
          <w:sz w:val="24"/>
          <w:szCs w:val="24"/>
        </w:rPr>
      </w:pPr>
      <w:r w:rsidRPr="009C52C4">
        <w:rPr>
          <w:rFonts w:ascii="Times New Roman" w:hAnsi="Times New Roman" w:cs="Times New Roman"/>
          <w:sz w:val="24"/>
          <w:szCs w:val="24"/>
        </w:rPr>
        <w:t xml:space="preserve">kontinuirano obavještavati dionike i javnost o provedbi ove </w:t>
      </w:r>
      <w:r w:rsidR="004F68D2" w:rsidRPr="009C52C4">
        <w:rPr>
          <w:rFonts w:ascii="Times New Roman" w:hAnsi="Times New Roman" w:cs="Times New Roman"/>
          <w:sz w:val="24"/>
          <w:szCs w:val="24"/>
        </w:rPr>
        <w:t>Dugoročne strategije za poticanje ulaganja u obnovu nacionalnog fonda zgrada Republike Hrvatske</w:t>
      </w:r>
    </w:p>
    <w:p w14:paraId="79ACDA5F" w14:textId="77777777" w:rsidR="004F09F1" w:rsidRPr="009C52C4" w:rsidRDefault="004F09F1" w:rsidP="004F09F1">
      <w:pPr>
        <w:rPr>
          <w:rFonts w:ascii="Times New Roman" w:hAnsi="Times New Roman" w:cs="Times New Roman"/>
          <w:sz w:val="24"/>
          <w:szCs w:val="24"/>
        </w:rPr>
      </w:pPr>
    </w:p>
    <w:p w14:paraId="774272E8" w14:textId="77777777" w:rsidR="004F09F1" w:rsidRPr="009C52C4" w:rsidRDefault="004F09F1" w:rsidP="0053083C">
      <w:pPr>
        <w:rPr>
          <w:rFonts w:ascii="Times New Roman" w:hAnsi="Times New Roman" w:cs="Times New Roman"/>
          <w:sz w:val="24"/>
          <w:szCs w:val="24"/>
        </w:rPr>
      </w:pPr>
      <w:r w:rsidRPr="009C52C4">
        <w:rPr>
          <w:rFonts w:ascii="Times New Roman" w:hAnsi="Times New Roman" w:cs="Times New Roman"/>
          <w:b/>
          <w:sz w:val="24"/>
          <w:szCs w:val="24"/>
        </w:rPr>
        <w:t>Istraživačko-razvojne mjere</w:t>
      </w:r>
      <w:r w:rsidRPr="009C52C4">
        <w:rPr>
          <w:rFonts w:ascii="Times New Roman" w:hAnsi="Times New Roman" w:cs="Times New Roman"/>
          <w:sz w:val="24"/>
          <w:szCs w:val="24"/>
        </w:rPr>
        <w:t xml:space="preserve"> se baziraju na podršci istraživanjima i razvoju novih tehnologija, tehnika, materijala i elemenata za troškovno optimalnu integralnu obnovu zgrada. </w:t>
      </w:r>
    </w:p>
    <w:p w14:paraId="4B3F2CFC" w14:textId="77777777" w:rsidR="004F09F1" w:rsidRPr="009C52C4" w:rsidRDefault="004F09F1" w:rsidP="0053083C">
      <w:pPr>
        <w:rPr>
          <w:rFonts w:ascii="Times New Roman" w:hAnsi="Times New Roman" w:cs="Times New Roman"/>
          <w:sz w:val="24"/>
          <w:szCs w:val="24"/>
        </w:rPr>
      </w:pPr>
    </w:p>
    <w:p w14:paraId="51AD9F61" w14:textId="77777777" w:rsidR="008003E6" w:rsidRPr="009C52C4" w:rsidRDefault="006E4424" w:rsidP="0053083C">
      <w:pPr>
        <w:rPr>
          <w:rFonts w:ascii="Times New Roman" w:hAnsi="Times New Roman" w:cs="Times New Roman"/>
          <w:sz w:val="24"/>
          <w:szCs w:val="24"/>
        </w:rPr>
      </w:pPr>
      <w:r w:rsidRPr="009C52C4">
        <w:rPr>
          <w:rFonts w:ascii="Times New Roman" w:hAnsi="Times New Roman" w:cs="Times New Roman"/>
          <w:sz w:val="24"/>
          <w:szCs w:val="24"/>
        </w:rPr>
        <w:t>K</w:t>
      </w:r>
      <w:r w:rsidR="008003E6" w:rsidRPr="009C52C4">
        <w:rPr>
          <w:rFonts w:ascii="Times New Roman" w:hAnsi="Times New Roman" w:cs="Times New Roman"/>
          <w:sz w:val="24"/>
          <w:szCs w:val="24"/>
        </w:rPr>
        <w:t>onkretizirani primjeri mogućih mjera detaljnije su opisani u nastavku.</w:t>
      </w:r>
    </w:p>
    <w:p w14:paraId="0CC8324B" w14:textId="77777777" w:rsidR="008003E6" w:rsidRPr="009C52C4" w:rsidRDefault="008003E6" w:rsidP="0053083C">
      <w:pPr>
        <w:rPr>
          <w:rFonts w:ascii="Times New Roman" w:hAnsi="Times New Roman" w:cs="Times New Roman"/>
          <w:sz w:val="24"/>
          <w:szCs w:val="24"/>
        </w:rPr>
      </w:pPr>
    </w:p>
    <w:p w14:paraId="773E29DB" w14:textId="77777777" w:rsidR="00574A75" w:rsidRPr="009C52C4" w:rsidRDefault="00574A75" w:rsidP="0053083C">
      <w:pPr>
        <w:jc w:val="left"/>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br w:type="page"/>
      </w:r>
    </w:p>
    <w:p w14:paraId="26D8A2C2" w14:textId="77777777" w:rsidR="008003E6" w:rsidRPr="009C52C4" w:rsidRDefault="008003E6" w:rsidP="008003E6">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lastRenderedPageBreak/>
        <w:t>Modeli i poticaji</w:t>
      </w:r>
    </w:p>
    <w:p w14:paraId="5FE8AB0A" w14:textId="77777777" w:rsidR="008003E6" w:rsidRPr="009C52C4" w:rsidRDefault="008003E6" w:rsidP="008003E6">
      <w:pPr>
        <w:rPr>
          <w:rFonts w:ascii="Times New Roman" w:hAnsi="Times New Roman" w:cs="Times New Roman"/>
          <w:b/>
          <w:color w:val="auto"/>
          <w:sz w:val="24"/>
          <w:szCs w:val="24"/>
          <w:lang w:eastAsia="en-US"/>
        </w:rPr>
      </w:pPr>
    </w:p>
    <w:p w14:paraId="7BF6922B" w14:textId="6EFD8FB1" w:rsidR="008003E6" w:rsidRPr="009C52C4" w:rsidRDefault="008003E6" w:rsidP="008003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Opisom društvenih koristi (Poglavlje 6.) definiran je okvir za oblikovanje modela i poticaja koji će na strani potražnje mobilizirati investitore, a na strani ponude građevinsku industriju. Jaz između planiranog i ostvarenog u prvim godinama realizacije </w:t>
      </w:r>
      <w:r w:rsidR="004F68D2" w:rsidRPr="009C52C4">
        <w:rPr>
          <w:rFonts w:ascii="Times New Roman" w:hAnsi="Times New Roman" w:cs="Times New Roman"/>
          <w:color w:val="auto"/>
          <w:sz w:val="24"/>
          <w:szCs w:val="24"/>
          <w:lang w:eastAsia="en-US"/>
        </w:rPr>
        <w:t>Dugoročne strategije za poticanje ulaganja u obnovu nacionalnog fonda zgrada Republike Hrvatske</w:t>
      </w:r>
      <w:r w:rsidRPr="009C52C4">
        <w:rPr>
          <w:rFonts w:ascii="Times New Roman" w:hAnsi="Times New Roman" w:cs="Times New Roman"/>
          <w:color w:val="auto"/>
          <w:sz w:val="24"/>
          <w:szCs w:val="24"/>
          <w:lang w:eastAsia="en-US"/>
        </w:rPr>
        <w:t xml:space="preserve"> </w:t>
      </w:r>
      <w:r w:rsidR="008935E5" w:rsidRPr="009C52C4">
        <w:rPr>
          <w:rFonts w:ascii="Times New Roman" w:hAnsi="Times New Roman" w:cs="Times New Roman"/>
          <w:color w:val="auto"/>
          <w:sz w:val="24"/>
          <w:szCs w:val="24"/>
          <w:lang w:eastAsia="en-US"/>
        </w:rPr>
        <w:t xml:space="preserve">iz 2014. </w:t>
      </w:r>
      <w:r w:rsidRPr="009C52C4">
        <w:rPr>
          <w:rFonts w:ascii="Times New Roman" w:hAnsi="Times New Roman" w:cs="Times New Roman"/>
          <w:color w:val="auto"/>
          <w:sz w:val="24"/>
          <w:szCs w:val="24"/>
          <w:lang w:eastAsia="en-US"/>
        </w:rPr>
        <w:t>pokazuje da modeli poticaja nisu bili usklađeni na načine koji bi doprinijeli ciljanoj mobilizaciji investicijske potražnje i ponude.</w:t>
      </w:r>
    </w:p>
    <w:p w14:paraId="3D527F45" w14:textId="77777777" w:rsidR="008003E6" w:rsidRPr="009C52C4" w:rsidRDefault="008003E6" w:rsidP="008003E6">
      <w:pPr>
        <w:rPr>
          <w:rFonts w:ascii="Times New Roman" w:hAnsi="Times New Roman" w:cs="Times New Roman"/>
          <w:color w:val="auto"/>
          <w:sz w:val="24"/>
          <w:szCs w:val="24"/>
          <w:lang w:eastAsia="en-US"/>
        </w:rPr>
      </w:pPr>
    </w:p>
    <w:p w14:paraId="20E95974" w14:textId="0A34D0C9" w:rsidR="008003E6" w:rsidRPr="009C52C4" w:rsidRDefault="008003E6" w:rsidP="008003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Koncipiranje optimalnih poticaja izlazi izvan okvira ovoga dokumenta u kojem se kratko opisuju načela i mogući instrumenti za oblikovanje modela poticaja. Među izvorima financiranja modela ističu se EU fondovi </w:t>
      </w:r>
      <w:r w:rsidR="000C5A09" w:rsidRPr="009C52C4">
        <w:rPr>
          <w:rFonts w:ascii="Times New Roman" w:hAnsi="Times New Roman" w:cs="Times New Roman"/>
          <w:color w:val="auto"/>
          <w:sz w:val="24"/>
          <w:szCs w:val="24"/>
          <w:lang w:eastAsia="en-US"/>
        </w:rPr>
        <w:t xml:space="preserve">(čija bi alokacija pridonijela ispunjenju ciljeva Dugoročne strategije za poticanje ulaganja u obnovu nacionalnog fonda zgrada Republike Hrvatske), </w:t>
      </w:r>
      <w:r w:rsidRPr="009C52C4">
        <w:rPr>
          <w:rFonts w:ascii="Times New Roman" w:hAnsi="Times New Roman" w:cs="Times New Roman"/>
          <w:color w:val="auto"/>
          <w:sz w:val="24"/>
          <w:szCs w:val="24"/>
          <w:lang w:eastAsia="en-US"/>
        </w:rPr>
        <w:t>očekivane koristi za proračune opće države, koje opravdavaju korištenje poticaja f</w:t>
      </w:r>
      <w:r w:rsidR="00CD6FB9" w:rsidRPr="009C52C4">
        <w:rPr>
          <w:rFonts w:ascii="Times New Roman" w:hAnsi="Times New Roman" w:cs="Times New Roman"/>
          <w:color w:val="auto"/>
          <w:sz w:val="24"/>
          <w:szCs w:val="24"/>
          <w:lang w:eastAsia="en-US"/>
        </w:rPr>
        <w:t>inanciranih iz javnih sredstava</w:t>
      </w:r>
      <w:r w:rsidRPr="009C52C4">
        <w:rPr>
          <w:rFonts w:ascii="Times New Roman" w:hAnsi="Times New Roman" w:cs="Times New Roman"/>
          <w:color w:val="auto"/>
          <w:sz w:val="24"/>
          <w:szCs w:val="24"/>
          <w:lang w:eastAsia="en-US"/>
        </w:rPr>
        <w:t xml:space="preserve"> te novi financijski instrumenti. Konkretni modeli poticaja moraju biti prethodno provjereni na mikroekonomskim modelima kako bi se postigao maksimalan omjer dobivenih učinaka u vidu novih investicija spram realokacije resursa u građevinarstvo.</w:t>
      </w:r>
    </w:p>
    <w:p w14:paraId="40904E23" w14:textId="77777777" w:rsidR="008003E6" w:rsidRPr="009C52C4" w:rsidRDefault="008003E6" w:rsidP="008003E6">
      <w:pPr>
        <w:rPr>
          <w:rFonts w:ascii="Times New Roman" w:hAnsi="Times New Roman" w:cs="Times New Roman"/>
          <w:color w:val="auto"/>
          <w:sz w:val="24"/>
          <w:szCs w:val="24"/>
          <w:lang w:eastAsia="en-US"/>
        </w:rPr>
      </w:pPr>
    </w:p>
    <w:p w14:paraId="7B12688E" w14:textId="77777777" w:rsidR="006E4424" w:rsidRPr="009C52C4" w:rsidRDefault="006E4424" w:rsidP="008003E6">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Shema dodjele bespovratnih sredstava</w:t>
      </w:r>
    </w:p>
    <w:p w14:paraId="0C42199B" w14:textId="77777777" w:rsidR="006E4424" w:rsidRPr="009C52C4" w:rsidRDefault="006E4424" w:rsidP="008003E6">
      <w:pPr>
        <w:rPr>
          <w:rFonts w:ascii="Times New Roman" w:hAnsi="Times New Roman" w:cs="Times New Roman"/>
          <w:color w:val="auto"/>
          <w:sz w:val="24"/>
          <w:szCs w:val="24"/>
          <w:lang w:eastAsia="en-US"/>
        </w:rPr>
      </w:pPr>
    </w:p>
    <w:p w14:paraId="5EDD1943" w14:textId="77777777" w:rsidR="006E4424" w:rsidRPr="009C52C4" w:rsidRDefault="006E4424" w:rsidP="006E4424">
      <w:pPr>
        <w:rPr>
          <w:rFonts w:ascii="Times New Roman" w:hAnsi="Times New Roman" w:cs="Times New Roman"/>
          <w:sz w:val="24"/>
          <w:szCs w:val="24"/>
        </w:rPr>
      </w:pPr>
      <w:r w:rsidRPr="009C52C4">
        <w:rPr>
          <w:rFonts w:ascii="Times New Roman" w:hAnsi="Times New Roman" w:cs="Times New Roman"/>
          <w:sz w:val="24"/>
          <w:szCs w:val="24"/>
        </w:rPr>
        <w:t>Korištenjem sheme dodjele bespovratnih sredstava moguće je (i potrebno) postići sljedeće ciljeve:</w:t>
      </w:r>
    </w:p>
    <w:p w14:paraId="631F03E4" w14:textId="107E7935" w:rsidR="006E4424" w:rsidRPr="009C52C4" w:rsidRDefault="006E4424" w:rsidP="006E4424">
      <w:pPr>
        <w:pStyle w:val="ListParagraph"/>
        <w:numPr>
          <w:ilvl w:val="0"/>
          <w:numId w:val="56"/>
        </w:numPr>
        <w:rPr>
          <w:rFonts w:ascii="Times New Roman" w:hAnsi="Times New Roman" w:cs="Times New Roman"/>
          <w:sz w:val="24"/>
          <w:szCs w:val="24"/>
        </w:rPr>
      </w:pPr>
      <w:r w:rsidRPr="009C52C4">
        <w:rPr>
          <w:rFonts w:ascii="Times New Roman" w:hAnsi="Times New Roman" w:cs="Times New Roman"/>
          <w:sz w:val="24"/>
          <w:szCs w:val="24"/>
        </w:rPr>
        <w:t>poticati krajnje primatelje na izradu tehničkih podloga potrebnih za provedbu projekata energetske obnove s ciljem razvoja ponude projekata energetske obnove spremnih za izvedbu</w:t>
      </w:r>
    </w:p>
    <w:p w14:paraId="37E538E4" w14:textId="5EFC9C20" w:rsidR="006E4424" w:rsidRPr="009C52C4" w:rsidRDefault="006E4424" w:rsidP="006E4424">
      <w:pPr>
        <w:pStyle w:val="ListParagraph"/>
        <w:numPr>
          <w:ilvl w:val="0"/>
          <w:numId w:val="56"/>
        </w:numPr>
        <w:rPr>
          <w:rFonts w:ascii="Times New Roman" w:hAnsi="Times New Roman" w:cs="Times New Roman"/>
          <w:sz w:val="24"/>
          <w:szCs w:val="24"/>
        </w:rPr>
      </w:pPr>
      <w:r w:rsidRPr="009C52C4">
        <w:rPr>
          <w:rFonts w:ascii="Times New Roman" w:hAnsi="Times New Roman" w:cs="Times New Roman"/>
          <w:sz w:val="24"/>
          <w:szCs w:val="24"/>
        </w:rPr>
        <w:t>poticanje na ulaganje u tehnologije energetske učinkovitosti koje se još nisu dokazale na domaćem tržištu, s ciljem ranog iskorištavanja brojnih inovacija koje postoje na tržištu</w:t>
      </w:r>
    </w:p>
    <w:p w14:paraId="6FC44E5A" w14:textId="77777777" w:rsidR="006E4424" w:rsidRPr="009C52C4" w:rsidRDefault="006E4424" w:rsidP="006E4424">
      <w:pPr>
        <w:pStyle w:val="ListParagraph"/>
        <w:numPr>
          <w:ilvl w:val="0"/>
          <w:numId w:val="56"/>
        </w:numPr>
        <w:rPr>
          <w:rFonts w:ascii="Times New Roman" w:hAnsi="Times New Roman" w:cs="Times New Roman"/>
          <w:sz w:val="24"/>
          <w:szCs w:val="24"/>
        </w:rPr>
      </w:pPr>
      <w:r w:rsidRPr="009C52C4">
        <w:rPr>
          <w:rFonts w:ascii="Times New Roman" w:hAnsi="Times New Roman" w:cs="Times New Roman"/>
          <w:sz w:val="24"/>
          <w:szCs w:val="24"/>
        </w:rPr>
        <w:t>subvencioniranje projekata čija je isplativost ispod granične razine interesa tržišta;</w:t>
      </w:r>
    </w:p>
    <w:p w14:paraId="58FED67E" w14:textId="1BFE6878" w:rsidR="006E4424" w:rsidRPr="009C52C4" w:rsidRDefault="006E4424" w:rsidP="006E4424">
      <w:pPr>
        <w:pStyle w:val="ListParagraph"/>
        <w:numPr>
          <w:ilvl w:val="0"/>
          <w:numId w:val="56"/>
        </w:numPr>
        <w:rPr>
          <w:rFonts w:ascii="Times New Roman" w:hAnsi="Times New Roman" w:cs="Times New Roman"/>
          <w:sz w:val="24"/>
          <w:szCs w:val="24"/>
        </w:rPr>
      </w:pPr>
      <w:r w:rsidRPr="009C52C4">
        <w:rPr>
          <w:rFonts w:ascii="Times New Roman" w:hAnsi="Times New Roman" w:cs="Times New Roman"/>
          <w:sz w:val="24"/>
          <w:szCs w:val="24"/>
        </w:rPr>
        <w:t>poticanje tržišta na ulaganje u mjere energetske učinkovitosti kojima se postiže tehnički standard veći od onoga minimalno zahtijevanoga</w:t>
      </w:r>
    </w:p>
    <w:p w14:paraId="43778D18" w14:textId="704C8607" w:rsidR="006E4424" w:rsidRPr="009C52C4" w:rsidRDefault="006E4424" w:rsidP="006E4424">
      <w:pPr>
        <w:pStyle w:val="ListParagraph"/>
        <w:numPr>
          <w:ilvl w:val="0"/>
          <w:numId w:val="56"/>
        </w:numPr>
        <w:rPr>
          <w:rFonts w:ascii="Times New Roman" w:hAnsi="Times New Roman" w:cs="Times New Roman"/>
          <w:sz w:val="24"/>
          <w:szCs w:val="24"/>
        </w:rPr>
      </w:pPr>
      <w:r w:rsidRPr="009C52C4">
        <w:rPr>
          <w:rFonts w:ascii="Times New Roman" w:hAnsi="Times New Roman" w:cs="Times New Roman"/>
          <w:sz w:val="24"/>
          <w:szCs w:val="24"/>
        </w:rPr>
        <w:t>subvencioniranje ESCO projekata sufinanciranjem naknade tijekom trajanja ugovornog odnosa</w:t>
      </w:r>
    </w:p>
    <w:p w14:paraId="5C6CAC15" w14:textId="77777777" w:rsidR="006E4424" w:rsidRPr="009C52C4" w:rsidRDefault="006E4424" w:rsidP="006E4424">
      <w:pPr>
        <w:rPr>
          <w:rFonts w:ascii="Times New Roman" w:hAnsi="Times New Roman" w:cs="Times New Roman"/>
          <w:sz w:val="24"/>
          <w:szCs w:val="24"/>
        </w:rPr>
      </w:pPr>
    </w:p>
    <w:p w14:paraId="09CB931B" w14:textId="61D72B61" w:rsidR="001C7FC4" w:rsidRPr="009C52C4" w:rsidRDefault="001C7FC4" w:rsidP="001C7FC4">
      <w:pPr>
        <w:rPr>
          <w:rFonts w:ascii="Times New Roman" w:hAnsi="Times New Roman" w:cs="Times New Roman"/>
          <w:sz w:val="24"/>
          <w:szCs w:val="24"/>
        </w:rPr>
      </w:pPr>
      <w:r w:rsidRPr="009C52C4">
        <w:rPr>
          <w:rFonts w:ascii="Times New Roman" w:hAnsi="Times New Roman" w:cs="Times New Roman"/>
          <w:sz w:val="24"/>
          <w:szCs w:val="24"/>
        </w:rPr>
        <w:t>Uvažavajući gore navedene ciljeve, kao i praktične potrebe i nedostatke navedene u ovoj Dugoročnoj strategiji za poticanje ulaganja u obnovu nacionalnog fonda zgrada Republike Hrvatske, sheme dodjele bespovratnih sredstava je potrebno formirati na način da se potiče:</w:t>
      </w:r>
    </w:p>
    <w:p w14:paraId="26ECCEE4" w14:textId="6BE15ABD" w:rsidR="001C7FC4" w:rsidRPr="009C52C4" w:rsidRDefault="001C7FC4" w:rsidP="001C7FC4">
      <w:pPr>
        <w:ind w:left="426"/>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rPr>
        <w:tab/>
        <w:t>motiviranje za korištenje tržišnih sredstava</w:t>
      </w:r>
    </w:p>
    <w:p w14:paraId="65C9CDED" w14:textId="3F62F92D" w:rsidR="001C7FC4" w:rsidRPr="009C52C4" w:rsidRDefault="001C7FC4" w:rsidP="001C7FC4">
      <w:pPr>
        <w:ind w:left="426"/>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rPr>
        <w:tab/>
        <w:t>ulaganje u tehničku dokumentaciju</w:t>
      </w:r>
    </w:p>
    <w:p w14:paraId="09EDF9C8" w14:textId="52FDF835" w:rsidR="001C7FC4" w:rsidRPr="009C52C4" w:rsidRDefault="001C7FC4" w:rsidP="001C7FC4">
      <w:pPr>
        <w:ind w:left="426"/>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rPr>
        <w:tab/>
        <w:t>ulaganje u inovativne tehnologije</w:t>
      </w:r>
    </w:p>
    <w:p w14:paraId="09942ABA" w14:textId="35CE78CF" w:rsidR="001C7FC4" w:rsidRPr="009C52C4" w:rsidRDefault="001C7FC4" w:rsidP="008935E5">
      <w:pPr>
        <w:ind w:left="709" w:hanging="283"/>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rPr>
        <w:tab/>
        <w:t xml:space="preserve">ulaganje u projekte koji su ispod tržišno prihvatljive razine isplativosti, ali ostvaruju </w:t>
      </w:r>
      <w:r w:rsidR="008935E5" w:rsidRPr="009C52C4">
        <w:rPr>
          <w:rFonts w:ascii="Times New Roman" w:hAnsi="Times New Roman" w:cs="Times New Roman"/>
          <w:sz w:val="24"/>
          <w:szCs w:val="24"/>
        </w:rPr>
        <w:t xml:space="preserve">  </w:t>
      </w:r>
      <w:r w:rsidRPr="009C52C4">
        <w:rPr>
          <w:rFonts w:ascii="Times New Roman" w:hAnsi="Times New Roman" w:cs="Times New Roman"/>
          <w:sz w:val="24"/>
          <w:szCs w:val="24"/>
        </w:rPr>
        <w:t>visoke  ekonomske koristi za društvenu zajednicu</w:t>
      </w:r>
    </w:p>
    <w:p w14:paraId="5EF6A42E" w14:textId="38D5862D" w:rsidR="006E4424" w:rsidRPr="009C52C4" w:rsidRDefault="001C7FC4" w:rsidP="001C7FC4">
      <w:pPr>
        <w:ind w:left="426"/>
        <w:rPr>
          <w:rFonts w:ascii="Times New Roman" w:hAnsi="Times New Roman" w:cs="Times New Roman"/>
          <w:sz w:val="24"/>
          <w:szCs w:val="24"/>
        </w:rPr>
      </w:pPr>
      <w:r w:rsidRPr="009C52C4">
        <w:rPr>
          <w:rFonts w:ascii="Times New Roman" w:hAnsi="Times New Roman" w:cs="Times New Roman"/>
          <w:sz w:val="24"/>
          <w:szCs w:val="24"/>
        </w:rPr>
        <w:t>•</w:t>
      </w:r>
      <w:r w:rsidRPr="009C52C4">
        <w:rPr>
          <w:rFonts w:ascii="Times New Roman" w:hAnsi="Times New Roman" w:cs="Times New Roman"/>
          <w:sz w:val="24"/>
          <w:szCs w:val="24"/>
        </w:rPr>
        <w:tab/>
        <w:t>ulaganje u mjere kojima se postižu više razine tehničkih standarda</w:t>
      </w:r>
    </w:p>
    <w:p w14:paraId="19BB2464" w14:textId="3B6FC83A" w:rsidR="001C7FC4" w:rsidRPr="009C52C4" w:rsidRDefault="001C7FC4" w:rsidP="001C7FC4">
      <w:pPr>
        <w:rPr>
          <w:rFonts w:ascii="Times New Roman" w:hAnsi="Times New Roman" w:cs="Times New Roman"/>
          <w:sz w:val="24"/>
          <w:szCs w:val="24"/>
        </w:rPr>
      </w:pPr>
    </w:p>
    <w:p w14:paraId="4A611FE1" w14:textId="196DB2D2" w:rsidR="001C7FC4" w:rsidRPr="009C52C4" w:rsidRDefault="001C7FC4" w:rsidP="001C7FC4">
      <w:pPr>
        <w:rPr>
          <w:rFonts w:ascii="Times New Roman" w:hAnsi="Times New Roman" w:cs="Times New Roman"/>
          <w:sz w:val="24"/>
          <w:szCs w:val="24"/>
        </w:rPr>
      </w:pPr>
      <w:r w:rsidRPr="009C52C4">
        <w:rPr>
          <w:rFonts w:ascii="Times New Roman" w:hAnsi="Times New Roman" w:cs="Times New Roman"/>
          <w:sz w:val="24"/>
          <w:szCs w:val="24"/>
        </w:rPr>
        <w:t xml:space="preserve">Kroz sheme dodjele bespovratnih sredstava pod (a) poticalo bi se financiranje tržišno isplativih projekata u svrhu dodatne motivacije korisnika za realizaciju navedenih projekata. Oslanjanje na tržište za financiranje tržišno isplativih projekata (onih projekata koji pri dostupnim uvjetima financiranja ulagatelju nude povrat na vlastito ulaganje) nije nužno dovoljno jer se bazira na pretpostavci da će svi takvi ulagatelji biti motivirani i da koriste </w:t>
      </w:r>
      <w:r w:rsidRPr="009C52C4">
        <w:rPr>
          <w:rFonts w:ascii="Times New Roman" w:hAnsi="Times New Roman" w:cs="Times New Roman"/>
          <w:sz w:val="24"/>
          <w:szCs w:val="24"/>
        </w:rPr>
        <w:lastRenderedPageBreak/>
        <w:t>tržišna sredstva. Iskustvo pokazuje da određeni dio bespovratnih sredstava motivira korisnike da se uopće odluče za projekt.</w:t>
      </w:r>
    </w:p>
    <w:p w14:paraId="4D228B38" w14:textId="77777777" w:rsidR="001C7FC4" w:rsidRPr="009C52C4" w:rsidRDefault="001C7FC4" w:rsidP="001C7FC4">
      <w:pPr>
        <w:rPr>
          <w:rFonts w:ascii="Times New Roman" w:hAnsi="Times New Roman" w:cs="Times New Roman"/>
          <w:sz w:val="24"/>
          <w:szCs w:val="24"/>
        </w:rPr>
      </w:pPr>
    </w:p>
    <w:p w14:paraId="37056BCD" w14:textId="27DDDFF9" w:rsidR="006E4424" w:rsidRPr="009C52C4" w:rsidRDefault="006E4424" w:rsidP="006E4424">
      <w:pPr>
        <w:rPr>
          <w:rFonts w:ascii="Times New Roman" w:hAnsi="Times New Roman" w:cs="Times New Roman"/>
          <w:sz w:val="24"/>
          <w:szCs w:val="24"/>
        </w:rPr>
      </w:pPr>
      <w:r w:rsidRPr="009C52C4">
        <w:rPr>
          <w:rFonts w:ascii="Times New Roman" w:hAnsi="Times New Roman" w:cs="Times New Roman"/>
          <w:sz w:val="24"/>
          <w:szCs w:val="24"/>
        </w:rPr>
        <w:t>Kroz sheme dodjele bespovratnih sredstava pod (</w:t>
      </w:r>
      <w:r w:rsidR="001C7FC4" w:rsidRPr="009C52C4">
        <w:rPr>
          <w:rFonts w:ascii="Times New Roman" w:hAnsi="Times New Roman" w:cs="Times New Roman"/>
          <w:sz w:val="24"/>
          <w:szCs w:val="24"/>
        </w:rPr>
        <w:t>b</w:t>
      </w:r>
      <w:r w:rsidRPr="009C52C4">
        <w:rPr>
          <w:rFonts w:ascii="Times New Roman" w:hAnsi="Times New Roman" w:cs="Times New Roman"/>
          <w:sz w:val="24"/>
          <w:szCs w:val="24"/>
        </w:rPr>
        <w:t xml:space="preserve">) financirala bi se izrada tehnički-ekonomske dokumentacije iz koje će biti razvidna isplativost ulaganja u eventualni projekt energetske obnove. </w:t>
      </w:r>
      <w:r w:rsidR="00A83BC8" w:rsidRPr="009C52C4">
        <w:rPr>
          <w:rFonts w:ascii="Times New Roman" w:hAnsi="Times New Roman" w:cs="Times New Roman"/>
          <w:sz w:val="24"/>
          <w:szCs w:val="24"/>
        </w:rPr>
        <w:t>S o</w:t>
      </w:r>
      <w:r w:rsidRPr="009C52C4">
        <w:rPr>
          <w:rFonts w:ascii="Times New Roman" w:hAnsi="Times New Roman" w:cs="Times New Roman"/>
          <w:sz w:val="24"/>
          <w:szCs w:val="24"/>
        </w:rPr>
        <w:t>bzirom da provedba projekta energetske obnove ovisi o nalazima i zaključcima iz predmetne dokumentacije, u ovom slučaju se preporuča visok udio sufinanciranja, kako bi se krajnje primatelje potaklo na preuzimanje rizika i ulaganje vlastitog sufinanciranja. Za projekte u privatnom sektoru, to može biti sufinanciranje investicijske studije, glavnog i izvedbenog projekta, detaljnih energetskih pregleda, komparatora troškova JPP</w:t>
      </w:r>
      <w:r w:rsidR="00A83BC8" w:rsidRPr="009C52C4">
        <w:rPr>
          <w:rFonts w:ascii="Times New Roman" w:hAnsi="Times New Roman" w:cs="Times New Roman"/>
          <w:sz w:val="24"/>
          <w:szCs w:val="24"/>
        </w:rPr>
        <w:t>-a</w:t>
      </w:r>
      <w:r w:rsidRPr="009C52C4">
        <w:rPr>
          <w:rFonts w:ascii="Times New Roman" w:hAnsi="Times New Roman" w:cs="Times New Roman"/>
          <w:sz w:val="24"/>
          <w:szCs w:val="24"/>
        </w:rPr>
        <w:t>, analiza troškova i koristi i sl.</w:t>
      </w:r>
    </w:p>
    <w:p w14:paraId="6605714F" w14:textId="77777777" w:rsidR="006E4424" w:rsidRPr="009C52C4" w:rsidRDefault="006E4424" w:rsidP="006E4424">
      <w:pPr>
        <w:rPr>
          <w:rFonts w:ascii="Times New Roman" w:hAnsi="Times New Roman" w:cs="Times New Roman"/>
          <w:sz w:val="24"/>
          <w:szCs w:val="24"/>
        </w:rPr>
      </w:pPr>
    </w:p>
    <w:p w14:paraId="79D8DBBB" w14:textId="2215350F" w:rsidR="006E4424" w:rsidRPr="009C52C4" w:rsidRDefault="006E4424" w:rsidP="006E4424">
      <w:pPr>
        <w:rPr>
          <w:rFonts w:ascii="Times New Roman" w:hAnsi="Times New Roman" w:cs="Times New Roman"/>
          <w:sz w:val="24"/>
          <w:szCs w:val="24"/>
        </w:rPr>
      </w:pPr>
      <w:r w:rsidRPr="009C52C4">
        <w:rPr>
          <w:rFonts w:ascii="Times New Roman" w:hAnsi="Times New Roman" w:cs="Times New Roman"/>
          <w:sz w:val="24"/>
          <w:szCs w:val="24"/>
        </w:rPr>
        <w:t>Kroz sheme dodjele bespovratnih sredstava pod (</w:t>
      </w:r>
      <w:r w:rsidR="001C7FC4" w:rsidRPr="009C52C4">
        <w:rPr>
          <w:rFonts w:ascii="Times New Roman" w:hAnsi="Times New Roman" w:cs="Times New Roman"/>
          <w:sz w:val="24"/>
          <w:szCs w:val="24"/>
        </w:rPr>
        <w:t>c</w:t>
      </w:r>
      <w:r w:rsidRPr="009C52C4">
        <w:rPr>
          <w:rFonts w:ascii="Times New Roman" w:hAnsi="Times New Roman" w:cs="Times New Roman"/>
          <w:sz w:val="24"/>
          <w:szCs w:val="24"/>
        </w:rPr>
        <w:t>) bespovratna sredstva bi se odobravala isključivo privatnom sektoru, i to za korištenje opreme koja prethodno nije bila korištena na tržištu. Na taj način bi se potaknulo krajnje primatelje da preuzmu rizik ulaganja u opremu koja nije široko primijenjena na tržištu, što indirektno potiče i tehničke inovacije u području energetske učinkovitosti.</w:t>
      </w:r>
    </w:p>
    <w:p w14:paraId="0F7294B1" w14:textId="77777777" w:rsidR="006E4424" w:rsidRPr="009C52C4" w:rsidRDefault="006E4424" w:rsidP="006E4424">
      <w:pPr>
        <w:rPr>
          <w:rFonts w:ascii="Times New Roman" w:hAnsi="Times New Roman" w:cs="Times New Roman"/>
          <w:sz w:val="24"/>
          <w:szCs w:val="24"/>
        </w:rPr>
      </w:pPr>
    </w:p>
    <w:p w14:paraId="39BEF23D" w14:textId="6B38B622" w:rsidR="006E4424" w:rsidRPr="009C52C4" w:rsidRDefault="006E4424" w:rsidP="006E4424">
      <w:pPr>
        <w:rPr>
          <w:rFonts w:ascii="Times New Roman" w:hAnsi="Times New Roman" w:cs="Times New Roman"/>
          <w:sz w:val="24"/>
          <w:szCs w:val="24"/>
        </w:rPr>
      </w:pPr>
      <w:r w:rsidRPr="009C52C4">
        <w:rPr>
          <w:rFonts w:ascii="Times New Roman" w:hAnsi="Times New Roman" w:cs="Times New Roman"/>
          <w:sz w:val="24"/>
          <w:szCs w:val="24"/>
        </w:rPr>
        <w:t>Kroz sheme dodjele bespovratnih sredstava pod (</w:t>
      </w:r>
      <w:r w:rsidR="001C7FC4" w:rsidRPr="009C52C4">
        <w:rPr>
          <w:rFonts w:ascii="Times New Roman" w:hAnsi="Times New Roman" w:cs="Times New Roman"/>
          <w:sz w:val="24"/>
          <w:szCs w:val="24"/>
        </w:rPr>
        <w:t>d</w:t>
      </w:r>
      <w:r w:rsidRPr="009C52C4">
        <w:rPr>
          <w:rFonts w:ascii="Times New Roman" w:hAnsi="Times New Roman" w:cs="Times New Roman"/>
          <w:sz w:val="24"/>
          <w:szCs w:val="24"/>
        </w:rPr>
        <w:t xml:space="preserve">) odobravaju se bespovratna sredstva za mjere, odnosno projekte koji za cilj imaju postići višu razinu tehničkog standarda. </w:t>
      </w:r>
      <w:r w:rsidR="00711793" w:rsidRPr="009C52C4">
        <w:rPr>
          <w:rFonts w:ascii="Times New Roman" w:hAnsi="Times New Roman" w:cs="Times New Roman"/>
          <w:sz w:val="24"/>
          <w:szCs w:val="24"/>
        </w:rPr>
        <w:t>S o</w:t>
      </w:r>
      <w:r w:rsidRPr="009C52C4">
        <w:rPr>
          <w:rFonts w:ascii="Times New Roman" w:hAnsi="Times New Roman" w:cs="Times New Roman"/>
          <w:sz w:val="24"/>
          <w:szCs w:val="24"/>
        </w:rPr>
        <w:t>bzirom na niz eksternih faktora, ulaganje iznad određene razine tehničkog standarda nema ekonomsku opravdanost, već se zapravo plaća cijena postizanja nekog ne-ekonomskog cilja (npr. razvoj tržišta energetskih usluga, zapošljavanje, smanjenje emisija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Kroz ovakvu shemu dodjele bespovratnih sredstava poticalo bi se one krajnje primatelje koji su spremni platiti tu cijenu.</w:t>
      </w:r>
    </w:p>
    <w:p w14:paraId="6D5FE0E1" w14:textId="77777777" w:rsidR="006E4424" w:rsidRPr="009C52C4" w:rsidRDefault="006E4424" w:rsidP="006E4424">
      <w:pPr>
        <w:rPr>
          <w:rFonts w:ascii="Times New Roman" w:hAnsi="Times New Roman" w:cs="Times New Roman"/>
          <w:sz w:val="24"/>
          <w:szCs w:val="24"/>
        </w:rPr>
      </w:pPr>
    </w:p>
    <w:p w14:paraId="124305F6" w14:textId="18D97AB3" w:rsidR="006E4424" w:rsidRPr="009C52C4" w:rsidRDefault="006E4424" w:rsidP="006E4424">
      <w:pPr>
        <w:rPr>
          <w:rFonts w:ascii="Times New Roman" w:hAnsi="Times New Roman" w:cs="Times New Roman"/>
          <w:sz w:val="24"/>
          <w:szCs w:val="24"/>
        </w:rPr>
      </w:pPr>
      <w:r w:rsidRPr="009C52C4">
        <w:rPr>
          <w:rFonts w:ascii="Times New Roman" w:hAnsi="Times New Roman" w:cs="Times New Roman"/>
          <w:sz w:val="24"/>
          <w:szCs w:val="24"/>
        </w:rPr>
        <w:t>Konačno, shemom dodjele bespovratnih sredstava pod (</w:t>
      </w:r>
      <w:r w:rsidR="001C7FC4" w:rsidRPr="009C52C4">
        <w:rPr>
          <w:rFonts w:ascii="Times New Roman" w:hAnsi="Times New Roman" w:cs="Times New Roman"/>
          <w:sz w:val="24"/>
          <w:szCs w:val="24"/>
        </w:rPr>
        <w:t>e</w:t>
      </w:r>
      <w:r w:rsidRPr="009C52C4">
        <w:rPr>
          <w:rFonts w:ascii="Times New Roman" w:hAnsi="Times New Roman" w:cs="Times New Roman"/>
          <w:sz w:val="24"/>
          <w:szCs w:val="24"/>
        </w:rPr>
        <w:t xml:space="preserve">) se potiče ulaganje u tržišno neisplative projekte. U kontekstu ove </w:t>
      </w:r>
      <w:r w:rsidR="004F68D2"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tržišno neisplativi projekti su oni projekti koji pri dostupnim uvjetima financiranja ulagatelju nude povrat na vlastito ulaganje (tzv. ROE, odnosno Return On Equity) koji je ispod razine koju je moguće dobiti na tržištu. Logika je da će u slučaju nedostatnog povrata na vlastito ulaganje u neki projekt energetske učinkovitosti, racionalni subjekt vlastiti kapital angažirati negdje drugdje, pa je stoga takvo ulaganje potrebno poticati na način da se projektima koji su ispod prihvatljive razine povrata na vlastito ulaganje iz ovakve sheme dodjele bespovratnih sredstava dodjeli potpora koja će nadoknaditi potrebnu razliku.</w:t>
      </w:r>
    </w:p>
    <w:p w14:paraId="30486956" w14:textId="77777777" w:rsidR="006E4424" w:rsidRPr="009C52C4" w:rsidRDefault="006E4424" w:rsidP="008003E6">
      <w:pPr>
        <w:rPr>
          <w:rFonts w:ascii="Times New Roman" w:hAnsi="Times New Roman" w:cs="Times New Roman"/>
          <w:color w:val="auto"/>
          <w:sz w:val="24"/>
          <w:szCs w:val="24"/>
          <w:lang w:eastAsia="en-US"/>
        </w:rPr>
      </w:pPr>
    </w:p>
    <w:p w14:paraId="64FDE035" w14:textId="77777777" w:rsidR="008003E6" w:rsidRPr="009C52C4" w:rsidRDefault="008003E6" w:rsidP="008003E6">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Porezne olakšice</w:t>
      </w:r>
    </w:p>
    <w:p w14:paraId="7A8F3488" w14:textId="77777777" w:rsidR="008003E6" w:rsidRPr="009C52C4" w:rsidRDefault="008003E6" w:rsidP="008003E6">
      <w:pPr>
        <w:rPr>
          <w:rFonts w:ascii="Times New Roman" w:hAnsi="Times New Roman" w:cs="Times New Roman"/>
          <w:color w:val="auto"/>
          <w:sz w:val="24"/>
          <w:szCs w:val="24"/>
          <w:lang w:eastAsia="en-US"/>
        </w:rPr>
      </w:pPr>
    </w:p>
    <w:p w14:paraId="62DF3918" w14:textId="10BDDD8D" w:rsidR="008003E6" w:rsidRPr="009C52C4" w:rsidRDefault="008003E6" w:rsidP="008003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Porezne olakšice za ulaganja najčešće se uvode u okviru sustava poreza na dohodak. Međutim, sustav oporezivanja dohotka u prezaduženoj zemlji poput Hrvatske mora biti što jasniji i jednostavniji, a olakšice po mogućnosti izostavljene ili iznimne, te ako postoje, povezane s važnijim društvenim ciljevima. Međutim, porez na nekretnine mogao bi biti koristan izvor za nove poticaje. S obzirom na višestruke javne koristi od održive obnove zgrada, pri oblikovanju poreza na nekretnine treba predvidjeti porezne olakšice za vlasnike nekretnina koji ulažu u rekonstrukciju i postižu ciljane građevinske i energetske standarde. Takve se olakšice mogu višestruko vratiti kroz prikazane povratne učinke potaknutih ekonomskih aktivnosti na javne prihode. Drugi važan izvor potencijalnih poticaja je porez na promet nekretnina. U poreznoj reformi 2017.</w:t>
      </w:r>
      <w:r w:rsidR="00A83BC8" w:rsidRPr="009C52C4">
        <w:rPr>
          <w:rFonts w:ascii="Times New Roman" w:hAnsi="Times New Roman" w:cs="Times New Roman"/>
          <w:color w:val="auto"/>
          <w:sz w:val="24"/>
          <w:szCs w:val="24"/>
          <w:lang w:eastAsia="en-US"/>
        </w:rPr>
        <w:t xml:space="preserve"> godine</w:t>
      </w:r>
      <w:r w:rsidR="00711793"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lang w:eastAsia="en-US"/>
        </w:rPr>
        <w:t xml:space="preserve"> porez na promet nekretnina simbolično je smanjen s 5% na 4%, što ga i dalje čini potencijalno izdašnim izvorom poticaja. Zbog </w:t>
      </w:r>
      <w:r w:rsidRPr="009C52C4">
        <w:rPr>
          <w:rFonts w:ascii="Times New Roman" w:hAnsi="Times New Roman" w:cs="Times New Roman"/>
          <w:color w:val="auto"/>
          <w:sz w:val="24"/>
          <w:szCs w:val="24"/>
          <w:lang w:eastAsia="en-US"/>
        </w:rPr>
        <w:lastRenderedPageBreak/>
        <w:t>starenja stanovništva, energetskog siromaštva starijih osoba i njihove nemogućnosti da osiguraju potrebna ulaganja prijeti daljnji dugoročni pad vrijednosti loše održavanih nekretnina. Stoga se prijelaz nekretnina iz ruku starijih osoba – koje ih ne mogu održavati, u ruke mlađih – koji će moći uložiti u obnovu, čini nužnim i obostrano te društveno korisnim. Starije osobe preseljenjem u jeftinije nekretnine dolaze do novčanih sredstava jednakih razlici u cijeni nekretnina, što može bitno poboljšati životni standard u trećoj dobi ili omogućiti obnovu neke manje vrijedne nekretnine, dok mlađi ljudi relativno povoljno dolaze do nekretnina na boljim lokacijama u čiju obnovu mogu ulagati i čije će vrijednosti zbog toga rasti. Stoga ukidanje poreza na promet nekretnina ili njegov povrat kada novi vlasnik uloži u obnovu zgrade prema ciljanom standardu predstavlja važan instrument u poticanju optimalne alokacije nekretninskog fonda prema osobama koje će ga moći održavati i uvećavati vrijednost.</w:t>
      </w:r>
    </w:p>
    <w:p w14:paraId="289E38F1" w14:textId="77777777" w:rsidR="008003E6" w:rsidRPr="009C52C4" w:rsidRDefault="008003E6" w:rsidP="008003E6">
      <w:pPr>
        <w:rPr>
          <w:rFonts w:ascii="Times New Roman" w:hAnsi="Times New Roman" w:cs="Times New Roman"/>
          <w:color w:val="auto"/>
          <w:sz w:val="24"/>
          <w:szCs w:val="24"/>
          <w:lang w:eastAsia="en-US"/>
        </w:rPr>
      </w:pPr>
    </w:p>
    <w:p w14:paraId="58FB4C9E" w14:textId="77777777" w:rsidR="008003E6" w:rsidRPr="009C52C4" w:rsidRDefault="008003E6" w:rsidP="008003E6">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Sustav poticane stambene štednje</w:t>
      </w:r>
    </w:p>
    <w:p w14:paraId="3BB725C9" w14:textId="77777777" w:rsidR="008003E6" w:rsidRPr="009C52C4" w:rsidRDefault="008003E6" w:rsidP="008003E6">
      <w:pPr>
        <w:rPr>
          <w:rFonts w:ascii="Times New Roman" w:hAnsi="Times New Roman" w:cs="Times New Roman"/>
          <w:color w:val="auto"/>
          <w:sz w:val="24"/>
          <w:szCs w:val="24"/>
          <w:lang w:eastAsia="en-US"/>
        </w:rPr>
      </w:pPr>
    </w:p>
    <w:p w14:paraId="7C31686E" w14:textId="5BB4EE92" w:rsidR="008003E6" w:rsidRPr="009C52C4" w:rsidRDefault="008003E6" w:rsidP="008003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Iako su poticaji za stambenu štednju ukinuti 2014.</w:t>
      </w:r>
      <w:r w:rsidR="00711793" w:rsidRPr="009C52C4">
        <w:rPr>
          <w:rFonts w:ascii="Times New Roman" w:hAnsi="Times New Roman" w:cs="Times New Roman"/>
          <w:color w:val="auto"/>
          <w:sz w:val="24"/>
          <w:szCs w:val="24"/>
          <w:lang w:eastAsia="en-US"/>
        </w:rPr>
        <w:t xml:space="preserve"> godine</w:t>
      </w:r>
      <w:r w:rsidRPr="009C52C4">
        <w:rPr>
          <w:rFonts w:ascii="Times New Roman" w:hAnsi="Times New Roman" w:cs="Times New Roman"/>
          <w:color w:val="auto"/>
          <w:sz w:val="24"/>
          <w:szCs w:val="24"/>
          <w:lang w:eastAsia="en-US"/>
        </w:rPr>
        <w:t xml:space="preserve"> zbog prekomjernog deficita i javnog duga, naknadno su vraćeni. Stambene štedionice pokušavaju pronaći modalitete opstanka. Stambeni štediše još uvijek vjeruju u mogućnost povratka nekog oblika poticaja, o čemu svjedoči oko 500 000 otvorenih računa stambene štednje. Važna je i činjenica da je gotovo polovica svih odobrenih kredita u stambenim štedionicama namijenjena adaptacijama i rekonstrukcijama</w:t>
      </w:r>
      <w:r w:rsidRPr="009C52C4">
        <w:rPr>
          <w:rFonts w:ascii="Times New Roman" w:hAnsi="Times New Roman" w:cs="Times New Roman"/>
          <w:color w:val="auto"/>
          <w:sz w:val="24"/>
          <w:szCs w:val="24"/>
          <w:vertAlign w:val="superscript"/>
          <w:lang w:eastAsia="en-US"/>
        </w:rPr>
        <w:footnoteReference w:id="73"/>
      </w:r>
      <w:r w:rsidRPr="009C52C4">
        <w:rPr>
          <w:rFonts w:ascii="Times New Roman" w:hAnsi="Times New Roman" w:cs="Times New Roman"/>
          <w:color w:val="auto"/>
          <w:sz w:val="24"/>
          <w:szCs w:val="24"/>
          <w:lang w:eastAsia="en-US"/>
        </w:rPr>
        <w:t>, što govori o velikoj potrebi građana za financiranjem obnova stanova i zgrada. Poticana stambena štednja iznimno je prilagodljiv financijski instrument, pogodan za vođenje sektorske politike u graditeljstvu. Uvođenjem diferenciranih poticaja mogu se poticati preferirane namjene štednje odnosno podizanja kredita, što se u ovom slučaju odnosi na određene vrste održive obnove stambenih jedinica. Stambene štedionice jedine su kreditne institucije koje, dok je štednja poticana od strane vlade, mogu nuditi dugoročne kredite s povoljnom kamatnom stopom koja je fiksna kroz cijeli vijek otplate kredita. Na taj se način postiže velik doprinos ostvarenju neizravnog cilja financijske stabilnosti i otplate kredita bez stresa. Stoga je potrebno razmotriti vraćanje namjenski diferenciranih poticaja za stambenu štednju, vezanih uz financiranje održive obnove zgrada. Namjenski diferencirani poticaji trebaju biti praćeni regulatornom reformom kojom bi se omogućila kolektivna poticana štednja vlasnika u višestambenim zgradama.</w:t>
      </w:r>
    </w:p>
    <w:p w14:paraId="0E80510E" w14:textId="77777777" w:rsidR="008003E6" w:rsidRPr="009C52C4" w:rsidRDefault="008003E6" w:rsidP="008003E6">
      <w:pPr>
        <w:rPr>
          <w:rFonts w:ascii="Times New Roman" w:hAnsi="Times New Roman" w:cs="Times New Roman"/>
          <w:i/>
          <w:color w:val="auto"/>
          <w:sz w:val="24"/>
          <w:szCs w:val="24"/>
          <w:lang w:eastAsia="en-US"/>
        </w:rPr>
      </w:pPr>
    </w:p>
    <w:p w14:paraId="6BB23AC2" w14:textId="77777777" w:rsidR="008003E6" w:rsidRPr="009C52C4" w:rsidRDefault="008003E6" w:rsidP="008003E6">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Posebni programi financiranja koji uključuju mogućnost korištenja nepovratnih sredstava iz EU fondova</w:t>
      </w:r>
    </w:p>
    <w:p w14:paraId="2F8518EB" w14:textId="77777777" w:rsidR="008003E6" w:rsidRPr="009C52C4" w:rsidRDefault="008003E6" w:rsidP="008003E6">
      <w:pPr>
        <w:rPr>
          <w:rFonts w:ascii="Times New Roman" w:hAnsi="Times New Roman" w:cs="Times New Roman"/>
          <w:color w:val="auto"/>
          <w:sz w:val="24"/>
          <w:szCs w:val="24"/>
          <w:lang w:eastAsia="en-US"/>
        </w:rPr>
      </w:pPr>
    </w:p>
    <w:p w14:paraId="2019AD57" w14:textId="77777777" w:rsidR="008003E6" w:rsidRPr="009C52C4" w:rsidRDefault="00CD6FB9" w:rsidP="008003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S</w:t>
      </w:r>
      <w:r w:rsidR="008003E6" w:rsidRPr="009C52C4">
        <w:rPr>
          <w:rFonts w:ascii="Times New Roman" w:hAnsi="Times New Roman" w:cs="Times New Roman"/>
          <w:color w:val="auto"/>
          <w:sz w:val="24"/>
          <w:szCs w:val="24"/>
          <w:lang w:eastAsia="en-US"/>
        </w:rPr>
        <w:t>pomenut</w:t>
      </w:r>
      <w:r w:rsidRPr="009C52C4">
        <w:rPr>
          <w:rFonts w:ascii="Times New Roman" w:hAnsi="Times New Roman" w:cs="Times New Roman"/>
          <w:color w:val="auto"/>
          <w:sz w:val="24"/>
          <w:szCs w:val="24"/>
          <w:lang w:eastAsia="en-US"/>
        </w:rPr>
        <w:t>i</w:t>
      </w:r>
      <w:r w:rsidR="008003E6" w:rsidRPr="009C52C4">
        <w:rPr>
          <w:rFonts w:ascii="Times New Roman" w:hAnsi="Times New Roman" w:cs="Times New Roman"/>
          <w:color w:val="auto"/>
          <w:sz w:val="24"/>
          <w:szCs w:val="24"/>
          <w:lang w:eastAsia="en-US"/>
        </w:rPr>
        <w:t xml:space="preserve"> poticaj</w:t>
      </w:r>
      <w:r w:rsidRPr="009C52C4">
        <w:rPr>
          <w:rFonts w:ascii="Times New Roman" w:hAnsi="Times New Roman" w:cs="Times New Roman"/>
          <w:color w:val="auto"/>
          <w:sz w:val="24"/>
          <w:szCs w:val="24"/>
          <w:lang w:eastAsia="en-US"/>
        </w:rPr>
        <w:t>i</w:t>
      </w:r>
      <w:r w:rsidR="008003E6" w:rsidRPr="009C52C4">
        <w:rPr>
          <w:rFonts w:ascii="Times New Roman" w:hAnsi="Times New Roman" w:cs="Times New Roman"/>
          <w:color w:val="auto"/>
          <w:sz w:val="24"/>
          <w:szCs w:val="24"/>
          <w:lang w:eastAsia="en-US"/>
        </w:rPr>
        <w:t xml:space="preserve"> vjerojatno neće biti dovoljn</w:t>
      </w:r>
      <w:r w:rsidRPr="009C52C4">
        <w:rPr>
          <w:rFonts w:ascii="Times New Roman" w:hAnsi="Times New Roman" w:cs="Times New Roman"/>
          <w:color w:val="auto"/>
          <w:sz w:val="24"/>
          <w:szCs w:val="24"/>
          <w:lang w:eastAsia="en-US"/>
        </w:rPr>
        <w:t>i</w:t>
      </w:r>
      <w:r w:rsidR="008003E6" w:rsidRPr="009C52C4">
        <w:rPr>
          <w:rFonts w:ascii="Times New Roman" w:hAnsi="Times New Roman" w:cs="Times New Roman"/>
          <w:color w:val="auto"/>
          <w:sz w:val="24"/>
          <w:szCs w:val="24"/>
          <w:lang w:eastAsia="en-US"/>
        </w:rPr>
        <w:t xml:space="preserve"> za pokretanje održive obnove zgrada u obujmu i dinamici koju zahtijeva zatečeno stanje i koja je planirana ovom </w:t>
      </w:r>
      <w:r w:rsidR="004F68D2" w:rsidRPr="009C52C4">
        <w:rPr>
          <w:rFonts w:ascii="Times New Roman" w:hAnsi="Times New Roman" w:cs="Times New Roman"/>
          <w:color w:val="auto"/>
          <w:sz w:val="24"/>
          <w:szCs w:val="24"/>
          <w:lang w:eastAsia="en-US"/>
        </w:rPr>
        <w:t>Dugoročnom strategijom za poticanje ulaganja u obnovu nacionalnog fonda zgrada Republike Hrvatske</w:t>
      </w:r>
      <w:r w:rsidR="008003E6" w:rsidRPr="009C52C4">
        <w:rPr>
          <w:rFonts w:ascii="Times New Roman" w:hAnsi="Times New Roman" w:cs="Times New Roman"/>
          <w:color w:val="auto"/>
          <w:sz w:val="24"/>
          <w:szCs w:val="24"/>
          <w:lang w:eastAsia="en-US"/>
        </w:rPr>
        <w:t xml:space="preserve">. Stoga je nužno aranžirati posebne kreditno-garancijske financijske sheme koje uključuju podjelu rizika i subvencioniranje dijela troškova pripreme, projektiranja, nadzora i izvedbe, a to nije moguće izvesti bez angažiranja sredstava iz EU fondova i proračunskih sredstava. U tome valja ispitati mogućnost korištenja inovativnih financijskih shema kao što su sekuritizacije kreditnih portfelja i revolving fondovi. </w:t>
      </w:r>
    </w:p>
    <w:p w14:paraId="141B9E67" w14:textId="77777777" w:rsidR="008003E6" w:rsidRPr="009C52C4" w:rsidRDefault="008003E6" w:rsidP="004F09F1">
      <w:pPr>
        <w:rPr>
          <w:rFonts w:ascii="Times New Roman" w:hAnsi="Times New Roman" w:cs="Times New Roman"/>
          <w:sz w:val="24"/>
          <w:szCs w:val="24"/>
        </w:rPr>
      </w:pPr>
    </w:p>
    <w:p w14:paraId="029886F3" w14:textId="77777777" w:rsidR="004F09F1" w:rsidRPr="009C52C4" w:rsidRDefault="004F09F1" w:rsidP="004F09F1">
      <w:pPr>
        <w:rPr>
          <w:rFonts w:ascii="Times New Roman" w:hAnsi="Times New Roman" w:cs="Times New Roman"/>
          <w:b/>
          <w:sz w:val="24"/>
          <w:szCs w:val="24"/>
        </w:rPr>
      </w:pPr>
      <w:r w:rsidRPr="009C52C4">
        <w:rPr>
          <w:rFonts w:ascii="Times New Roman" w:hAnsi="Times New Roman" w:cs="Times New Roman"/>
          <w:sz w:val="24"/>
          <w:szCs w:val="24"/>
        </w:rPr>
        <w:br w:type="page"/>
      </w:r>
    </w:p>
    <w:p w14:paraId="307DCE3A" w14:textId="77777777" w:rsidR="00B122B4" w:rsidRPr="009C52C4" w:rsidRDefault="00F54CC3" w:rsidP="00AE7037">
      <w:pPr>
        <w:pStyle w:val="Heading1"/>
        <w:numPr>
          <w:ilvl w:val="0"/>
          <w:numId w:val="1"/>
        </w:numPr>
        <w:ind w:hanging="359"/>
        <w:rPr>
          <w:rFonts w:ascii="Times New Roman" w:hAnsi="Times New Roman" w:cs="Times New Roman"/>
          <w:sz w:val="24"/>
          <w:szCs w:val="24"/>
        </w:rPr>
      </w:pPr>
      <w:bookmarkStart w:id="176" w:name="_Toc3277925"/>
      <w:r w:rsidRPr="009C52C4">
        <w:rPr>
          <w:rFonts w:ascii="Times New Roman" w:hAnsi="Times New Roman" w:cs="Times New Roman"/>
          <w:sz w:val="24"/>
          <w:szCs w:val="24"/>
        </w:rPr>
        <w:lastRenderedPageBreak/>
        <w:t>Dugoročna perspektiva za usmjeravanje odluka pojedinaca, građevinske industrije i financijskih institucija o ulaganjima do 2050. godine</w:t>
      </w:r>
      <w:bookmarkEnd w:id="176"/>
    </w:p>
    <w:p w14:paraId="655D5885" w14:textId="77777777" w:rsidR="00B122B4" w:rsidRPr="009C52C4" w:rsidRDefault="00F54CC3" w:rsidP="00AE7037">
      <w:pPr>
        <w:pStyle w:val="Heading2"/>
        <w:numPr>
          <w:ilvl w:val="1"/>
          <w:numId w:val="1"/>
        </w:numPr>
        <w:ind w:hanging="719"/>
        <w:rPr>
          <w:rFonts w:ascii="Times New Roman" w:hAnsi="Times New Roman" w:cs="Times New Roman"/>
          <w:sz w:val="24"/>
          <w:szCs w:val="24"/>
        </w:rPr>
      </w:pPr>
      <w:bookmarkStart w:id="177" w:name="h.4h042r0" w:colFirst="0" w:colLast="0"/>
      <w:bookmarkStart w:id="178" w:name="_Toc3277926"/>
      <w:bookmarkEnd w:id="177"/>
      <w:r w:rsidRPr="009C52C4">
        <w:rPr>
          <w:rFonts w:ascii="Times New Roman" w:hAnsi="Times New Roman" w:cs="Times New Roman"/>
          <w:sz w:val="24"/>
          <w:szCs w:val="24"/>
        </w:rPr>
        <w:t>Procjene potrebnih ulaganja</w:t>
      </w:r>
      <w:bookmarkEnd w:id="178"/>
    </w:p>
    <w:p w14:paraId="4919C1CE" w14:textId="77777777" w:rsidR="00B122B4" w:rsidRPr="009C52C4" w:rsidRDefault="00B122B4">
      <w:pPr>
        <w:jc w:val="left"/>
        <w:rPr>
          <w:rFonts w:ascii="Times New Roman" w:hAnsi="Times New Roman" w:cs="Times New Roman"/>
          <w:sz w:val="24"/>
          <w:szCs w:val="24"/>
        </w:rPr>
      </w:pPr>
    </w:p>
    <w:p w14:paraId="7C2CCD5B" w14:textId="7ED84717" w:rsidR="00B122B4" w:rsidRPr="009C52C4" w:rsidRDefault="00634901">
      <w:pPr>
        <w:rPr>
          <w:rFonts w:ascii="Times New Roman" w:hAnsi="Times New Roman" w:cs="Times New Roman"/>
          <w:sz w:val="24"/>
          <w:szCs w:val="24"/>
        </w:rPr>
      </w:pPr>
      <w:r w:rsidRPr="009C52C4">
        <w:rPr>
          <w:rFonts w:ascii="Times New Roman" w:hAnsi="Times New Roman" w:cs="Times New Roman"/>
          <w:sz w:val="24"/>
          <w:szCs w:val="24"/>
        </w:rPr>
        <w:t xml:space="preserve">Postizanje zadanih ciljeva energetske obnove nacionalnog fonda zgrada Republike Hrvatske zahtijevat će mobilizaciju značajnih financijskih sredstava. Procjena ukupnih ulaganja za razdoblje od 2014.-2049. godine koja uključuje troškove početnog ulaganja, održavanja te zamjenu dotrajale opreme napravljena je prema odabranom </w:t>
      </w:r>
      <w:r w:rsidR="009E33E4" w:rsidRPr="009C52C4">
        <w:rPr>
          <w:rFonts w:ascii="Times New Roman" w:hAnsi="Times New Roman" w:cs="Times New Roman"/>
          <w:sz w:val="24"/>
          <w:szCs w:val="24"/>
        </w:rPr>
        <w:t xml:space="preserve">modelu obnove zgrada prema zahtjevima </w:t>
      </w:r>
      <w:r w:rsidR="009E33E4" w:rsidRPr="009C52C4">
        <w:rPr>
          <w:rFonts w:ascii="Times New Roman" w:hAnsi="Times New Roman" w:cs="Times New Roman"/>
          <w:i/>
          <w:sz w:val="24"/>
          <w:szCs w:val="24"/>
        </w:rPr>
        <w:t>Tehničkog propisa</w:t>
      </w:r>
      <w:r w:rsidR="009E33E4" w:rsidRPr="009C52C4">
        <w:rPr>
          <w:rFonts w:ascii="Times New Roman" w:hAnsi="Times New Roman" w:cs="Times New Roman"/>
          <w:sz w:val="24"/>
          <w:szCs w:val="24"/>
        </w:rPr>
        <w:t xml:space="preserve"> za veliku rekonstrukciju.</w:t>
      </w:r>
      <w:r w:rsidR="00F54CC3" w:rsidRPr="009C52C4">
        <w:rPr>
          <w:rFonts w:ascii="Times New Roman" w:hAnsi="Times New Roman" w:cs="Times New Roman"/>
          <w:sz w:val="24"/>
          <w:szCs w:val="24"/>
        </w:rPr>
        <w:t xml:space="preserve"> (</w:t>
      </w:r>
      <w:r w:rsidR="00462D0B" w:rsidRPr="009C52C4">
        <w:rPr>
          <w:rFonts w:ascii="Times New Roman" w:hAnsi="Times New Roman" w:cs="Times New Roman"/>
          <w:sz w:val="24"/>
          <w:szCs w:val="24"/>
        </w:rPr>
        <w:fldChar w:fldCharType="begin"/>
      </w:r>
      <w:r w:rsidR="00462D0B" w:rsidRPr="009C52C4">
        <w:rPr>
          <w:rFonts w:ascii="Times New Roman" w:hAnsi="Times New Roman" w:cs="Times New Roman"/>
          <w:sz w:val="24"/>
          <w:szCs w:val="24"/>
        </w:rPr>
        <w:instrText xml:space="preserve"> REF _Ref483404351 \h </w:instrText>
      </w:r>
      <w:r w:rsidR="00873572" w:rsidRPr="009C52C4">
        <w:rPr>
          <w:rFonts w:ascii="Times New Roman" w:hAnsi="Times New Roman" w:cs="Times New Roman"/>
          <w:sz w:val="24"/>
          <w:szCs w:val="24"/>
        </w:rPr>
        <w:instrText xml:space="preserve"> \* MERGEFORMAT </w:instrText>
      </w:r>
      <w:r w:rsidR="00462D0B" w:rsidRPr="009C52C4">
        <w:rPr>
          <w:rFonts w:ascii="Times New Roman" w:hAnsi="Times New Roman" w:cs="Times New Roman"/>
          <w:sz w:val="24"/>
          <w:szCs w:val="24"/>
        </w:rPr>
      </w:r>
      <w:r w:rsidR="00462D0B"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Slika </w:t>
      </w:r>
      <w:r w:rsidR="009D1A7F" w:rsidRPr="009C52C4">
        <w:rPr>
          <w:rFonts w:ascii="Times New Roman" w:hAnsi="Times New Roman" w:cs="Times New Roman"/>
          <w:noProof/>
          <w:sz w:val="24"/>
          <w:szCs w:val="24"/>
        </w:rPr>
        <w:t>5</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462D0B" w:rsidRPr="009C52C4">
        <w:rPr>
          <w:rFonts w:ascii="Times New Roman" w:hAnsi="Times New Roman" w:cs="Times New Roman"/>
          <w:sz w:val="24"/>
          <w:szCs w:val="24"/>
        </w:rPr>
        <w:fldChar w:fldCharType="end"/>
      </w:r>
      <w:r w:rsidR="00F54CC3" w:rsidRPr="009C52C4">
        <w:rPr>
          <w:rFonts w:ascii="Times New Roman" w:hAnsi="Times New Roman" w:cs="Times New Roman"/>
          <w:sz w:val="24"/>
          <w:szCs w:val="24"/>
        </w:rPr>
        <w:t>).</w:t>
      </w:r>
    </w:p>
    <w:p w14:paraId="5DCF0DE0" w14:textId="77777777" w:rsidR="00B122B4" w:rsidRPr="009C52C4" w:rsidRDefault="00B122B4">
      <w:pPr>
        <w:jc w:val="left"/>
        <w:rPr>
          <w:rFonts w:ascii="Times New Roman" w:hAnsi="Times New Roman" w:cs="Times New Roman"/>
          <w:sz w:val="24"/>
          <w:szCs w:val="24"/>
        </w:rPr>
      </w:pPr>
    </w:p>
    <w:p w14:paraId="6B5420EA" w14:textId="77777777" w:rsidR="006730B1" w:rsidRPr="009C52C4" w:rsidRDefault="001C04C1" w:rsidP="006730B1">
      <w:pPr>
        <w:keepNext/>
        <w:jc w:val="cente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3096CE95" wp14:editId="247FFAE7">
            <wp:extent cx="5254604" cy="311413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4638" cy="3114156"/>
                    </a:xfrm>
                    <a:prstGeom prst="rect">
                      <a:avLst/>
                    </a:prstGeom>
                    <a:noFill/>
                  </pic:spPr>
                </pic:pic>
              </a:graphicData>
            </a:graphic>
          </wp:inline>
        </w:drawing>
      </w:r>
    </w:p>
    <w:p w14:paraId="157FA958" w14:textId="1482DF20" w:rsidR="006730B1" w:rsidRPr="009C52C4" w:rsidRDefault="00462D0B" w:rsidP="00462D0B">
      <w:pPr>
        <w:pStyle w:val="Caption"/>
        <w:jc w:val="center"/>
        <w:rPr>
          <w:rFonts w:ascii="Times New Roman" w:hAnsi="Times New Roman" w:cs="Times New Roman"/>
          <w:b w:val="0"/>
          <w:sz w:val="24"/>
          <w:szCs w:val="24"/>
        </w:rPr>
      </w:pPr>
      <w:bookmarkStart w:id="179" w:name="_Ref483404351"/>
      <w:bookmarkStart w:id="180" w:name="_Toc2681280"/>
      <w:r w:rsidRPr="009C52C4">
        <w:rPr>
          <w:rFonts w:ascii="Times New Roman" w:hAnsi="Times New Roman" w:cs="Times New Roman"/>
          <w:sz w:val="24"/>
          <w:szCs w:val="24"/>
        </w:rPr>
        <w:t xml:space="preserve">Slika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r w:rsidR="004F09F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Slika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79"/>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Struktura ulaganja u obnovu nacionalnog fonda zgrada</w:t>
      </w:r>
      <w:r w:rsidR="001C04C1" w:rsidRPr="009C52C4">
        <w:rPr>
          <w:rFonts w:ascii="Times New Roman" w:hAnsi="Times New Roman" w:cs="Times New Roman"/>
          <w:b w:val="0"/>
          <w:sz w:val="24"/>
          <w:szCs w:val="24"/>
        </w:rPr>
        <w:t xml:space="preserve"> RH</w:t>
      </w:r>
      <w:bookmarkEnd w:id="180"/>
    </w:p>
    <w:p w14:paraId="5D906404" w14:textId="77777777" w:rsidR="001C04C1" w:rsidRPr="009C52C4" w:rsidRDefault="001C04C1" w:rsidP="001C04C1">
      <w:pPr>
        <w:jc w:val="center"/>
        <w:rPr>
          <w:rFonts w:ascii="Times New Roman" w:hAnsi="Times New Roman" w:cs="Times New Roman"/>
          <w:sz w:val="24"/>
          <w:szCs w:val="24"/>
        </w:rPr>
      </w:pPr>
      <w:bookmarkStart w:id="181" w:name="h.2w5ecyt" w:colFirst="0" w:colLast="0"/>
      <w:bookmarkEnd w:id="181"/>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0759DF7F" w14:textId="77777777" w:rsidR="00B122B4" w:rsidRPr="009C52C4" w:rsidRDefault="00B122B4">
      <w:pPr>
        <w:jc w:val="left"/>
        <w:rPr>
          <w:rFonts w:ascii="Times New Roman" w:hAnsi="Times New Roman" w:cs="Times New Roman"/>
          <w:sz w:val="24"/>
          <w:szCs w:val="24"/>
        </w:rPr>
      </w:pPr>
    </w:p>
    <w:p w14:paraId="1DDFD026"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Ukupni troškovi početnih investicija i troškova eksploatacije u promatranom razdoblju procijenjeni su na </w:t>
      </w:r>
      <w:r w:rsidR="0024247B" w:rsidRPr="009C52C4">
        <w:rPr>
          <w:rFonts w:ascii="Times New Roman" w:hAnsi="Times New Roman" w:cs="Times New Roman"/>
          <w:color w:val="auto"/>
          <w:sz w:val="24"/>
          <w:szCs w:val="24"/>
        </w:rPr>
        <w:t>790</w:t>
      </w:r>
      <w:r w:rsidRPr="009C52C4">
        <w:rPr>
          <w:rFonts w:ascii="Times New Roman" w:hAnsi="Times New Roman" w:cs="Times New Roman"/>
          <w:color w:val="auto"/>
          <w:sz w:val="24"/>
          <w:szCs w:val="24"/>
        </w:rPr>
        <w:t xml:space="preserve"> milijardi kuna. Investicija </w:t>
      </w:r>
      <w:r w:rsidRPr="009C52C4">
        <w:rPr>
          <w:rFonts w:ascii="Times New Roman" w:hAnsi="Times New Roman" w:cs="Times New Roman"/>
          <w:sz w:val="24"/>
          <w:szCs w:val="24"/>
        </w:rPr>
        <w:t xml:space="preserve">je procijenjena temeljem specifičnih troškova gradnje (rekonstrukcije) </w:t>
      </w:r>
      <w:r w:rsidR="009E33E4" w:rsidRPr="009C52C4">
        <w:rPr>
          <w:rFonts w:ascii="Times New Roman" w:hAnsi="Times New Roman" w:cs="Times New Roman"/>
          <w:sz w:val="24"/>
          <w:szCs w:val="24"/>
        </w:rPr>
        <w:t xml:space="preserve">prema zahtjevima </w:t>
      </w:r>
      <w:r w:rsidR="009E33E4" w:rsidRPr="009C52C4">
        <w:rPr>
          <w:rFonts w:ascii="Times New Roman" w:hAnsi="Times New Roman" w:cs="Times New Roman"/>
          <w:i/>
          <w:sz w:val="24"/>
          <w:szCs w:val="24"/>
        </w:rPr>
        <w:t>Tehničkog propisa</w:t>
      </w:r>
      <w:r w:rsidR="009E33E4" w:rsidRPr="009C52C4">
        <w:rPr>
          <w:rFonts w:ascii="Times New Roman" w:hAnsi="Times New Roman" w:cs="Times New Roman"/>
          <w:sz w:val="24"/>
          <w:szCs w:val="24"/>
        </w:rPr>
        <w:t xml:space="preserve"> za veliku rekonstrukciju </w:t>
      </w:r>
      <w:r w:rsidRPr="009C52C4">
        <w:rPr>
          <w:rFonts w:ascii="Times New Roman" w:hAnsi="Times New Roman" w:cs="Times New Roman"/>
          <w:sz w:val="24"/>
          <w:szCs w:val="24"/>
        </w:rPr>
        <w:t xml:space="preserve">i ukupnoj površini zgrada koje će se podvrgnuti energetskoj obnovi. Detaljan prikaz strukture ulaganja prema vrsti troškova za razdoblje od 2017.-2049. dan </w:t>
      </w:r>
      <w:r w:rsidR="009A0032" w:rsidRPr="009C52C4">
        <w:rPr>
          <w:rFonts w:ascii="Times New Roman" w:hAnsi="Times New Roman" w:cs="Times New Roman"/>
          <w:color w:val="auto"/>
          <w:sz w:val="24"/>
          <w:szCs w:val="24"/>
        </w:rPr>
        <w:t>je u Prilogu 18</w:t>
      </w:r>
      <w:r w:rsidRPr="009C52C4">
        <w:rPr>
          <w:rFonts w:ascii="Times New Roman" w:hAnsi="Times New Roman" w:cs="Times New Roman"/>
          <w:color w:val="auto"/>
          <w:sz w:val="24"/>
          <w:szCs w:val="24"/>
        </w:rPr>
        <w:t>.</w:t>
      </w:r>
    </w:p>
    <w:p w14:paraId="2E410072" w14:textId="77777777" w:rsidR="00634901" w:rsidRPr="009C52C4" w:rsidRDefault="00634901" w:rsidP="00634901">
      <w:pPr>
        <w:jc w:val="left"/>
        <w:rPr>
          <w:rFonts w:ascii="Times New Roman" w:hAnsi="Times New Roman" w:cs="Times New Roman"/>
          <w:sz w:val="24"/>
          <w:szCs w:val="24"/>
        </w:rPr>
      </w:pPr>
    </w:p>
    <w:p w14:paraId="0EBAE990" w14:textId="37E2E31F"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Dinamika realizacije obnove nacionalnog fonda zgrada izrađena je kako bi se zadovoljili ciljevi energetskih ušteda zadani Četvrt</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Nacionaln</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akcijsk</w:t>
      </w:r>
      <w:r w:rsidR="00555A05" w:rsidRPr="009C52C4">
        <w:rPr>
          <w:rFonts w:ascii="Times New Roman" w:hAnsi="Times New Roman" w:cs="Times New Roman"/>
          <w:sz w:val="24"/>
          <w:szCs w:val="24"/>
        </w:rPr>
        <w:t>im</w:t>
      </w:r>
      <w:r w:rsidRPr="009C52C4">
        <w:rPr>
          <w:rFonts w:ascii="Times New Roman" w:hAnsi="Times New Roman" w:cs="Times New Roman"/>
          <w:sz w:val="24"/>
          <w:szCs w:val="24"/>
        </w:rPr>
        <w:t xml:space="preserve"> plan</w:t>
      </w:r>
      <w:r w:rsidR="00555A05" w:rsidRPr="009C52C4">
        <w:rPr>
          <w:rFonts w:ascii="Times New Roman" w:hAnsi="Times New Roman" w:cs="Times New Roman"/>
          <w:sz w:val="24"/>
          <w:szCs w:val="24"/>
        </w:rPr>
        <w:t>om</w:t>
      </w:r>
      <w:r w:rsidRPr="009C52C4">
        <w:rPr>
          <w:rFonts w:ascii="Times New Roman" w:hAnsi="Times New Roman" w:cs="Times New Roman"/>
          <w:sz w:val="24"/>
          <w:szCs w:val="24"/>
        </w:rPr>
        <w:t xml:space="preserve"> energetske učinkovitosti </w:t>
      </w:r>
      <w:r w:rsidR="00124387" w:rsidRPr="009C52C4">
        <w:rPr>
          <w:rFonts w:ascii="Times New Roman" w:hAnsi="Times New Roman" w:cs="Times New Roman"/>
          <w:sz w:val="24"/>
          <w:szCs w:val="24"/>
        </w:rPr>
        <w:t>za razdoblje do kraja 2019.</w:t>
      </w:r>
      <w:r w:rsidR="00004C76" w:rsidRPr="009C52C4">
        <w:rPr>
          <w:rFonts w:ascii="Times New Roman" w:hAnsi="Times New Roman" w:cs="Times New Roman"/>
          <w:sz w:val="24"/>
          <w:szCs w:val="24"/>
          <w:vertAlign w:val="superscript"/>
        </w:rPr>
        <w:t>3</w:t>
      </w:r>
      <w:r w:rsidRPr="009C52C4">
        <w:rPr>
          <w:rFonts w:ascii="Times New Roman" w:hAnsi="Times New Roman" w:cs="Times New Roman"/>
          <w:sz w:val="24"/>
          <w:szCs w:val="24"/>
        </w:rPr>
        <w:t xml:space="preserve"> i Energetskog putokaza Europske unije do 2050. godine (engl. Energy Roadmap 2050</w:t>
      </w:r>
      <w:r w:rsidR="00004C76" w:rsidRPr="009C52C4">
        <w:rPr>
          <w:rFonts w:ascii="Times New Roman" w:hAnsi="Times New Roman" w:cs="Times New Roman"/>
          <w:b/>
          <w:sz w:val="24"/>
          <w:szCs w:val="24"/>
          <w:vertAlign w:val="superscript"/>
        </w:rPr>
        <w:t>4</w:t>
      </w:r>
      <w:r w:rsidRPr="009C52C4">
        <w:rPr>
          <w:rFonts w:ascii="Times New Roman" w:hAnsi="Times New Roman" w:cs="Times New Roman"/>
          <w:sz w:val="24"/>
          <w:szCs w:val="24"/>
        </w:rPr>
        <w:t>). Dinamika obnove po godinama je okvirno pretpostavljena i nije ravnomjerna kroz cijelo razdoblje promatranja te se odvija u nekoliko različitih faza:</w:t>
      </w:r>
    </w:p>
    <w:p w14:paraId="339EEC1D" w14:textId="0D56B22A" w:rsidR="00634901" w:rsidRPr="009C52C4" w:rsidRDefault="00711793" w:rsidP="00853BC8">
      <w:pPr>
        <w:numPr>
          <w:ilvl w:val="0"/>
          <w:numId w:val="10"/>
        </w:numPr>
        <w:ind w:hanging="359"/>
        <w:rPr>
          <w:rFonts w:ascii="Times New Roman" w:hAnsi="Times New Roman" w:cs="Times New Roman"/>
          <w:color w:val="auto"/>
          <w:sz w:val="24"/>
          <w:szCs w:val="24"/>
        </w:rPr>
      </w:pPr>
      <w:r w:rsidRPr="009C52C4">
        <w:rPr>
          <w:rFonts w:ascii="Times New Roman" w:hAnsi="Times New Roman" w:cs="Times New Roman"/>
          <w:color w:val="auto"/>
          <w:sz w:val="24"/>
          <w:szCs w:val="24"/>
        </w:rPr>
        <w:t>o</w:t>
      </w:r>
      <w:r w:rsidR="00634901" w:rsidRPr="009C52C4">
        <w:rPr>
          <w:rFonts w:ascii="Times New Roman" w:hAnsi="Times New Roman" w:cs="Times New Roman"/>
          <w:color w:val="auto"/>
          <w:sz w:val="24"/>
          <w:szCs w:val="24"/>
        </w:rPr>
        <w:t>d 201</w:t>
      </w:r>
      <w:r w:rsidR="009A0032" w:rsidRPr="009C52C4">
        <w:rPr>
          <w:rFonts w:ascii="Times New Roman" w:hAnsi="Times New Roman" w:cs="Times New Roman"/>
          <w:color w:val="auto"/>
          <w:sz w:val="24"/>
          <w:szCs w:val="24"/>
        </w:rPr>
        <w:t>7</w:t>
      </w:r>
      <w:r w:rsidR="00634901" w:rsidRPr="009C52C4">
        <w:rPr>
          <w:rFonts w:ascii="Times New Roman" w:hAnsi="Times New Roman" w:cs="Times New Roman"/>
          <w:color w:val="auto"/>
          <w:sz w:val="24"/>
          <w:szCs w:val="24"/>
        </w:rPr>
        <w:t>.-2029. godine obnova će se odvijati dinamikom od 3,5% godišnje</w:t>
      </w:r>
    </w:p>
    <w:p w14:paraId="72D4F437" w14:textId="0E2D4438" w:rsidR="00634901" w:rsidRPr="009C52C4" w:rsidRDefault="00711793" w:rsidP="00853BC8">
      <w:pPr>
        <w:numPr>
          <w:ilvl w:val="0"/>
          <w:numId w:val="10"/>
        </w:numPr>
        <w:ind w:hanging="359"/>
        <w:rPr>
          <w:rFonts w:ascii="Times New Roman" w:hAnsi="Times New Roman" w:cs="Times New Roman"/>
          <w:color w:val="auto"/>
          <w:sz w:val="24"/>
          <w:szCs w:val="24"/>
        </w:rPr>
      </w:pPr>
      <w:r w:rsidRPr="009C52C4">
        <w:rPr>
          <w:rFonts w:ascii="Times New Roman" w:hAnsi="Times New Roman" w:cs="Times New Roman"/>
          <w:color w:val="auto"/>
          <w:sz w:val="24"/>
          <w:szCs w:val="24"/>
        </w:rPr>
        <w:t>o</w:t>
      </w:r>
      <w:r w:rsidR="00634901" w:rsidRPr="009C52C4">
        <w:rPr>
          <w:rFonts w:ascii="Times New Roman" w:hAnsi="Times New Roman" w:cs="Times New Roman"/>
          <w:color w:val="auto"/>
          <w:sz w:val="24"/>
          <w:szCs w:val="24"/>
        </w:rPr>
        <w:t>d 2030.-2039. godine stopa obn</w:t>
      </w:r>
      <w:r w:rsidR="009A0032" w:rsidRPr="009C52C4">
        <w:rPr>
          <w:rFonts w:ascii="Times New Roman" w:hAnsi="Times New Roman" w:cs="Times New Roman"/>
          <w:color w:val="auto"/>
          <w:sz w:val="24"/>
          <w:szCs w:val="24"/>
        </w:rPr>
        <w:t>ove odvijat će se dinamikom od 3</w:t>
      </w:r>
      <w:r w:rsidR="00634901" w:rsidRPr="009C52C4">
        <w:rPr>
          <w:rFonts w:ascii="Times New Roman" w:hAnsi="Times New Roman" w:cs="Times New Roman"/>
          <w:color w:val="auto"/>
          <w:sz w:val="24"/>
          <w:szCs w:val="24"/>
        </w:rPr>
        <w:t>,</w:t>
      </w:r>
      <w:r w:rsidR="009A0032" w:rsidRPr="009C52C4">
        <w:rPr>
          <w:rFonts w:ascii="Times New Roman" w:hAnsi="Times New Roman" w:cs="Times New Roman"/>
          <w:color w:val="auto"/>
          <w:sz w:val="24"/>
          <w:szCs w:val="24"/>
        </w:rPr>
        <w:t>0</w:t>
      </w:r>
      <w:r w:rsidR="00634901" w:rsidRPr="009C52C4">
        <w:rPr>
          <w:rFonts w:ascii="Times New Roman" w:hAnsi="Times New Roman" w:cs="Times New Roman"/>
          <w:color w:val="auto"/>
          <w:sz w:val="24"/>
          <w:szCs w:val="24"/>
        </w:rPr>
        <w:t>% godišnje</w:t>
      </w:r>
    </w:p>
    <w:p w14:paraId="6EA9E075" w14:textId="49285181" w:rsidR="00634901" w:rsidRPr="009C52C4" w:rsidRDefault="00711793" w:rsidP="00853BC8">
      <w:pPr>
        <w:numPr>
          <w:ilvl w:val="0"/>
          <w:numId w:val="10"/>
        </w:numPr>
        <w:ind w:hanging="359"/>
        <w:rPr>
          <w:rFonts w:ascii="Times New Roman" w:hAnsi="Times New Roman" w:cs="Times New Roman"/>
          <w:color w:val="auto"/>
          <w:sz w:val="24"/>
          <w:szCs w:val="24"/>
        </w:rPr>
      </w:pPr>
      <w:r w:rsidRPr="009C52C4">
        <w:rPr>
          <w:rFonts w:ascii="Times New Roman" w:hAnsi="Times New Roman" w:cs="Times New Roman"/>
          <w:color w:val="auto"/>
          <w:sz w:val="24"/>
          <w:szCs w:val="24"/>
        </w:rPr>
        <w:t>o</w:t>
      </w:r>
      <w:r w:rsidR="00634901" w:rsidRPr="009C52C4">
        <w:rPr>
          <w:rFonts w:ascii="Times New Roman" w:hAnsi="Times New Roman" w:cs="Times New Roman"/>
          <w:color w:val="auto"/>
          <w:sz w:val="24"/>
          <w:szCs w:val="24"/>
        </w:rPr>
        <w:t>d 2040.-2049. godine dinamika obnove smanjit će se na 1,5% godišnje</w:t>
      </w:r>
    </w:p>
    <w:p w14:paraId="0614D9B9" w14:textId="77777777" w:rsidR="00634901" w:rsidRPr="009C52C4" w:rsidRDefault="00634901" w:rsidP="00634901">
      <w:pPr>
        <w:rPr>
          <w:rFonts w:ascii="Times New Roman" w:hAnsi="Times New Roman" w:cs="Times New Roman"/>
          <w:sz w:val="24"/>
          <w:szCs w:val="24"/>
        </w:rPr>
      </w:pPr>
    </w:p>
    <w:p w14:paraId="68F1535D" w14:textId="5A52AD22"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Planirane energetske </w:t>
      </w:r>
      <w:r w:rsidRPr="009C52C4">
        <w:rPr>
          <w:rFonts w:ascii="Times New Roman" w:hAnsi="Times New Roman" w:cs="Times New Roman"/>
          <w:color w:val="auto"/>
          <w:sz w:val="24"/>
          <w:szCs w:val="24"/>
        </w:rPr>
        <w:t xml:space="preserve">uštede od 14,124 PJ iz Četvrtog Nacionalnog </w:t>
      </w:r>
      <w:r w:rsidRPr="009C52C4">
        <w:rPr>
          <w:rFonts w:ascii="Times New Roman" w:hAnsi="Times New Roman" w:cs="Times New Roman"/>
          <w:sz w:val="24"/>
          <w:szCs w:val="24"/>
        </w:rPr>
        <w:t xml:space="preserve">akcijskog plana energetske učinkovitosti </w:t>
      </w:r>
      <w:r w:rsidR="00124387" w:rsidRPr="009C52C4">
        <w:rPr>
          <w:rFonts w:ascii="Times New Roman" w:hAnsi="Times New Roman" w:cs="Times New Roman"/>
          <w:sz w:val="24"/>
          <w:szCs w:val="24"/>
        </w:rPr>
        <w:t>za r</w:t>
      </w:r>
      <w:r w:rsidRPr="009C52C4">
        <w:rPr>
          <w:rFonts w:ascii="Times New Roman" w:hAnsi="Times New Roman" w:cs="Times New Roman"/>
          <w:sz w:val="24"/>
          <w:szCs w:val="24"/>
        </w:rPr>
        <w:t>azdoblj</w:t>
      </w:r>
      <w:r w:rsidR="00124387" w:rsidRPr="009C52C4">
        <w:rPr>
          <w:rFonts w:ascii="Times New Roman" w:hAnsi="Times New Roman" w:cs="Times New Roman"/>
          <w:sz w:val="24"/>
          <w:szCs w:val="24"/>
        </w:rPr>
        <w:t>e</w:t>
      </w:r>
      <w:r w:rsidRPr="009C52C4">
        <w:rPr>
          <w:rFonts w:ascii="Times New Roman" w:hAnsi="Times New Roman" w:cs="Times New Roman"/>
          <w:sz w:val="24"/>
          <w:szCs w:val="24"/>
        </w:rPr>
        <w:t xml:space="preserve"> </w:t>
      </w:r>
      <w:r w:rsidR="00124387" w:rsidRPr="009C52C4">
        <w:rPr>
          <w:rFonts w:ascii="Times New Roman" w:hAnsi="Times New Roman" w:cs="Times New Roman"/>
          <w:sz w:val="24"/>
          <w:szCs w:val="24"/>
        </w:rPr>
        <w:t xml:space="preserve">do kraja </w:t>
      </w:r>
      <w:r w:rsidRPr="009C52C4">
        <w:rPr>
          <w:rFonts w:ascii="Times New Roman" w:hAnsi="Times New Roman" w:cs="Times New Roman"/>
          <w:sz w:val="24"/>
          <w:szCs w:val="24"/>
        </w:rPr>
        <w:t xml:space="preserve">2019. praktički se ostvaruju ovom dinamikom realizacije. </w:t>
      </w:r>
    </w:p>
    <w:p w14:paraId="0D1809BB" w14:textId="77777777" w:rsidR="00634901" w:rsidRPr="009C52C4" w:rsidRDefault="00634901" w:rsidP="00634901">
      <w:pPr>
        <w:rPr>
          <w:rFonts w:ascii="Times New Roman" w:hAnsi="Times New Roman" w:cs="Times New Roman"/>
          <w:sz w:val="24"/>
          <w:szCs w:val="24"/>
        </w:rPr>
      </w:pPr>
    </w:p>
    <w:p w14:paraId="6E39F078"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Ciljevi smanjenja emisije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postavljeni Energetskim putokazom Europske unije do 2050. godine također se ostvaruju predloženom dinamikom i </w:t>
      </w:r>
      <w:r w:rsidR="009A0032" w:rsidRPr="009C52C4">
        <w:rPr>
          <w:rFonts w:ascii="Times New Roman" w:hAnsi="Times New Roman" w:cs="Times New Roman"/>
          <w:color w:val="auto"/>
          <w:sz w:val="24"/>
          <w:szCs w:val="24"/>
        </w:rPr>
        <w:t>iznose 81</w:t>
      </w:r>
      <w:r w:rsidRPr="009C52C4">
        <w:rPr>
          <w:rFonts w:ascii="Times New Roman" w:hAnsi="Times New Roman" w:cs="Times New Roman"/>
          <w:color w:val="auto"/>
          <w:sz w:val="24"/>
          <w:szCs w:val="24"/>
        </w:rPr>
        <w:t>,</w:t>
      </w:r>
      <w:r w:rsidR="009A0032" w:rsidRPr="009C52C4">
        <w:rPr>
          <w:rFonts w:ascii="Times New Roman" w:hAnsi="Times New Roman" w:cs="Times New Roman"/>
          <w:color w:val="auto"/>
          <w:sz w:val="24"/>
          <w:szCs w:val="24"/>
        </w:rPr>
        <w:t>1</w:t>
      </w:r>
      <w:r w:rsidRPr="009C52C4">
        <w:rPr>
          <w:rFonts w:ascii="Times New Roman" w:hAnsi="Times New Roman" w:cs="Times New Roman"/>
          <w:color w:val="auto"/>
          <w:sz w:val="24"/>
          <w:szCs w:val="24"/>
        </w:rPr>
        <w:t xml:space="preserve">% (minimalno </w:t>
      </w:r>
      <w:r w:rsidRPr="009C52C4">
        <w:rPr>
          <w:rFonts w:ascii="Times New Roman" w:hAnsi="Times New Roman" w:cs="Times New Roman"/>
          <w:sz w:val="24"/>
          <w:szCs w:val="24"/>
        </w:rPr>
        <w:t xml:space="preserve">80%). Realizacijom tog cilja ukupno će se obnoviti </w:t>
      </w:r>
      <w:r w:rsidR="00F973C1" w:rsidRPr="009C52C4">
        <w:rPr>
          <w:rFonts w:ascii="Times New Roman" w:hAnsi="Times New Roman" w:cs="Times New Roman"/>
          <w:sz w:val="24"/>
          <w:szCs w:val="24"/>
        </w:rPr>
        <w:t>91</w:t>
      </w:r>
      <w:r w:rsidRPr="009C52C4">
        <w:rPr>
          <w:rFonts w:ascii="Times New Roman" w:hAnsi="Times New Roman" w:cs="Times New Roman"/>
          <w:color w:val="auto"/>
          <w:sz w:val="24"/>
          <w:szCs w:val="24"/>
        </w:rPr>
        <w:t>,</w:t>
      </w:r>
      <w:r w:rsidR="00F973C1" w:rsidRPr="009C52C4">
        <w:rPr>
          <w:rFonts w:ascii="Times New Roman" w:hAnsi="Times New Roman" w:cs="Times New Roman"/>
          <w:color w:val="auto"/>
          <w:sz w:val="24"/>
          <w:szCs w:val="24"/>
        </w:rPr>
        <w:t>6</w:t>
      </w:r>
      <w:r w:rsidRPr="009C52C4">
        <w:rPr>
          <w:rFonts w:ascii="Times New Roman" w:hAnsi="Times New Roman" w:cs="Times New Roman"/>
          <w:color w:val="auto"/>
          <w:sz w:val="24"/>
          <w:szCs w:val="24"/>
        </w:rPr>
        <w:t xml:space="preserve">% </w:t>
      </w:r>
      <w:r w:rsidRPr="009C52C4">
        <w:rPr>
          <w:rFonts w:ascii="Times New Roman" w:hAnsi="Times New Roman" w:cs="Times New Roman"/>
          <w:sz w:val="24"/>
          <w:szCs w:val="24"/>
        </w:rPr>
        <w:t>površine nacionalnog fonda zgrada.</w:t>
      </w:r>
      <w:r w:rsidRPr="009C52C4">
        <w:rPr>
          <w:rFonts w:ascii="Times New Roman" w:hAnsi="Times New Roman" w:cs="Times New Roman"/>
          <w:b/>
          <w:sz w:val="24"/>
          <w:szCs w:val="24"/>
        </w:rPr>
        <w:t xml:space="preserve"> </w:t>
      </w:r>
    </w:p>
    <w:p w14:paraId="3FCB2BDF" w14:textId="77777777" w:rsidR="00B122B4" w:rsidRPr="009C52C4" w:rsidRDefault="00B122B4">
      <w:pPr>
        <w:jc w:val="left"/>
        <w:rPr>
          <w:rFonts w:ascii="Times New Roman" w:hAnsi="Times New Roman" w:cs="Times New Roman"/>
          <w:sz w:val="24"/>
          <w:szCs w:val="24"/>
        </w:rPr>
      </w:pPr>
    </w:p>
    <w:p w14:paraId="705EE2A6" w14:textId="77777777" w:rsidR="00574A75" w:rsidRPr="009C52C4" w:rsidRDefault="00574A75">
      <w:pPr>
        <w:rPr>
          <w:rFonts w:ascii="Times New Roman" w:hAnsi="Times New Roman" w:cs="Times New Roman"/>
          <w:b/>
          <w:sz w:val="24"/>
          <w:szCs w:val="24"/>
        </w:rPr>
      </w:pPr>
      <w:bookmarkStart w:id="182" w:name="h.1baon6m" w:colFirst="0" w:colLast="0"/>
      <w:bookmarkEnd w:id="182"/>
      <w:r w:rsidRPr="009C52C4">
        <w:rPr>
          <w:rFonts w:ascii="Times New Roman" w:hAnsi="Times New Roman" w:cs="Times New Roman"/>
          <w:sz w:val="24"/>
          <w:szCs w:val="24"/>
        </w:rPr>
        <w:br w:type="page"/>
      </w:r>
    </w:p>
    <w:p w14:paraId="0329F5F1" w14:textId="77777777" w:rsidR="00B122B4" w:rsidRPr="009C52C4" w:rsidRDefault="00F54CC3" w:rsidP="00AE7037">
      <w:pPr>
        <w:pStyle w:val="Heading2"/>
        <w:numPr>
          <w:ilvl w:val="1"/>
          <w:numId w:val="1"/>
        </w:numPr>
        <w:spacing w:before="0"/>
        <w:ind w:hanging="719"/>
        <w:rPr>
          <w:rFonts w:ascii="Times New Roman" w:hAnsi="Times New Roman" w:cs="Times New Roman"/>
          <w:sz w:val="24"/>
          <w:szCs w:val="24"/>
        </w:rPr>
      </w:pPr>
      <w:bookmarkStart w:id="183" w:name="_Toc3277927"/>
      <w:r w:rsidRPr="009C52C4">
        <w:rPr>
          <w:rFonts w:ascii="Times New Roman" w:hAnsi="Times New Roman" w:cs="Times New Roman"/>
          <w:sz w:val="24"/>
          <w:szCs w:val="24"/>
        </w:rPr>
        <w:lastRenderedPageBreak/>
        <w:t>Identifikacija izvora financiranja</w:t>
      </w:r>
      <w:bookmarkEnd w:id="183"/>
    </w:p>
    <w:p w14:paraId="7BCCC6EF" w14:textId="77777777" w:rsidR="00B122B4" w:rsidRPr="009C52C4" w:rsidRDefault="00B122B4">
      <w:pPr>
        <w:rPr>
          <w:rFonts w:ascii="Times New Roman" w:hAnsi="Times New Roman" w:cs="Times New Roman"/>
          <w:sz w:val="24"/>
          <w:szCs w:val="24"/>
        </w:rPr>
      </w:pPr>
    </w:p>
    <w:p w14:paraId="79F8BB5B" w14:textId="2ACB94CF" w:rsidR="00634901" w:rsidRPr="009C52C4" w:rsidRDefault="00634901" w:rsidP="00634901">
      <w:pPr>
        <w:rPr>
          <w:rFonts w:ascii="Times New Roman" w:hAnsi="Times New Roman" w:cs="Times New Roman"/>
          <w:sz w:val="24"/>
          <w:szCs w:val="24"/>
        </w:rPr>
      </w:pPr>
      <w:bookmarkStart w:id="184" w:name="h.3vac5uf" w:colFirst="0" w:colLast="0"/>
      <w:bookmarkEnd w:id="184"/>
      <w:r w:rsidRPr="009C52C4">
        <w:rPr>
          <w:rFonts w:ascii="Times New Roman" w:hAnsi="Times New Roman" w:cs="Times New Roman"/>
          <w:sz w:val="24"/>
          <w:szCs w:val="24"/>
        </w:rPr>
        <w:t xml:space="preserve">Dugoročna strategija </w:t>
      </w:r>
      <w:r w:rsidR="000D40F9" w:rsidRPr="009C52C4">
        <w:rPr>
          <w:rFonts w:ascii="Times New Roman" w:hAnsi="Times New Roman" w:cs="Times New Roman"/>
          <w:sz w:val="24"/>
          <w:szCs w:val="24"/>
        </w:rPr>
        <w:t xml:space="preserve">za poticanje ulaganja u obnovu </w:t>
      </w:r>
      <w:r w:rsidRPr="009C52C4">
        <w:rPr>
          <w:rFonts w:ascii="Times New Roman" w:hAnsi="Times New Roman" w:cs="Times New Roman"/>
          <w:sz w:val="24"/>
          <w:szCs w:val="24"/>
        </w:rPr>
        <w:t>nacionalnog fonda zgrada Republike Hrvatske zahtijeva cjelovit i sustavan pristup kojim će se dugoročno osigurati najprikladniji mehanizmi financiranja za investitore iz javnog i privatnog sektora. Primarna uloga države ne nalazi se u pružanju financijskih izvora za energetsku obnovu, već u stvaranju i unapr</w:t>
      </w:r>
      <w:r w:rsidR="00711793" w:rsidRPr="009C52C4">
        <w:rPr>
          <w:rFonts w:ascii="Times New Roman" w:hAnsi="Times New Roman" w:cs="Times New Roman"/>
          <w:sz w:val="24"/>
          <w:szCs w:val="24"/>
        </w:rPr>
        <w:t>j</w:t>
      </w:r>
      <w:r w:rsidRPr="009C52C4">
        <w:rPr>
          <w:rFonts w:ascii="Times New Roman" w:hAnsi="Times New Roman" w:cs="Times New Roman"/>
          <w:sz w:val="24"/>
          <w:szCs w:val="24"/>
        </w:rPr>
        <w:t xml:space="preserve">eđenju uvjeta kako bi se među investitorima stvorila povoljna investicijska klima za realizaciju potrebnih ulaganja definiranih u sklopu </w:t>
      </w:r>
      <w:r w:rsidR="004F68D2" w:rsidRPr="009C52C4">
        <w:rPr>
          <w:rFonts w:ascii="Times New Roman" w:hAnsi="Times New Roman" w:cs="Times New Roman"/>
          <w:sz w:val="24"/>
          <w:szCs w:val="24"/>
        </w:rPr>
        <w:t>Dugoročne strategije za poticanje ulaganja u obnovu nacionalnog fonda zgrada Republike Hrvatske</w:t>
      </w:r>
      <w:r w:rsidRPr="009C52C4">
        <w:rPr>
          <w:rFonts w:ascii="Times New Roman" w:hAnsi="Times New Roman" w:cs="Times New Roman"/>
          <w:sz w:val="24"/>
          <w:szCs w:val="24"/>
        </w:rPr>
        <w:t>. Povoljni uvjeti podrazumijevaju makroekonomsku stabilnost, učinkovitu državnu upravu, konkurentnu razinu poreznog opterećenja, pravnu sigurnost, zaštitu tržišnog natjecanja i postojanje odgovarajućih financijskih poticaja za ulaganja. U nastavku je dan pregled postojećih izvora financiranja, ograničenja i barijera u njihovoj provedbi te dugoročna strategija financiranja projekata obnove u sektoru zgradarstva.</w:t>
      </w:r>
    </w:p>
    <w:p w14:paraId="56387EA1" w14:textId="77777777" w:rsidR="00B122B4" w:rsidRPr="009C52C4" w:rsidRDefault="00F54CC3" w:rsidP="00AE7037">
      <w:pPr>
        <w:pStyle w:val="Heading3"/>
        <w:numPr>
          <w:ilvl w:val="2"/>
          <w:numId w:val="1"/>
        </w:numPr>
        <w:spacing w:before="200"/>
        <w:ind w:left="567" w:firstLine="0"/>
        <w:rPr>
          <w:rFonts w:ascii="Times New Roman" w:hAnsi="Times New Roman" w:cs="Times New Roman"/>
          <w:sz w:val="24"/>
          <w:szCs w:val="24"/>
        </w:rPr>
      </w:pPr>
      <w:bookmarkStart w:id="185" w:name="_Toc3277928"/>
      <w:r w:rsidRPr="009C52C4">
        <w:rPr>
          <w:rFonts w:ascii="Times New Roman" w:hAnsi="Times New Roman" w:cs="Times New Roman"/>
          <w:sz w:val="24"/>
          <w:szCs w:val="24"/>
        </w:rPr>
        <w:t>Postojeći izvori financiranja</w:t>
      </w:r>
      <w:bookmarkEnd w:id="185"/>
    </w:p>
    <w:p w14:paraId="505EC7F8" w14:textId="77777777" w:rsidR="00B122B4" w:rsidRPr="009C52C4" w:rsidRDefault="00B122B4">
      <w:pPr>
        <w:rPr>
          <w:rFonts w:ascii="Times New Roman" w:hAnsi="Times New Roman" w:cs="Times New Roman"/>
          <w:sz w:val="24"/>
          <w:szCs w:val="24"/>
        </w:rPr>
      </w:pPr>
    </w:p>
    <w:p w14:paraId="5F2A5AFF" w14:textId="77777777" w:rsidR="00634901"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Projekti energetske obnove u sektoru zgradarstva zahtjevne su kapitalne investicije čija uspješna realizacija u velikoj mjeri ovisi o izvorima financiranja. U dosadašnjoj praksi pojavio se niz različitih financijskih instrumenata i modela od kojih najznačajniji uključuju bespovratna sredstva, povlaštene zajmove, garancije, porezne instrumente i ESCO model.</w:t>
      </w:r>
    </w:p>
    <w:p w14:paraId="76F1C3AC" w14:textId="4AE672B4"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Investitori u Hrvatskoj dosad su se pretežno oslanjali na javna bespovratna sredstva, odnosno razne oblike subvencioniranih financijskih instrumenata. Dulja razdoblja povrata i vrlo visoki iznosi investicija u povećanje energetske učinkovitosti razlog su zbog kojih se u većini zemalja članica EU</w:t>
      </w:r>
      <w:r w:rsidR="00711793" w:rsidRPr="009C52C4">
        <w:rPr>
          <w:rFonts w:ascii="Times New Roman" w:hAnsi="Times New Roman" w:cs="Times New Roman"/>
          <w:sz w:val="24"/>
          <w:szCs w:val="24"/>
        </w:rPr>
        <w:t>-a</w:t>
      </w:r>
      <w:r w:rsidRPr="009C52C4">
        <w:rPr>
          <w:rFonts w:ascii="Times New Roman" w:hAnsi="Times New Roman" w:cs="Times New Roman"/>
          <w:sz w:val="24"/>
          <w:szCs w:val="24"/>
        </w:rPr>
        <w:t xml:space="preserve"> uveo ovaj oblik financijske potpore te investitorima omogućila viša razin</w:t>
      </w:r>
      <w:r w:rsidR="00711793" w:rsidRPr="009C52C4">
        <w:rPr>
          <w:rFonts w:ascii="Times New Roman" w:hAnsi="Times New Roman" w:cs="Times New Roman"/>
          <w:sz w:val="24"/>
          <w:szCs w:val="24"/>
        </w:rPr>
        <w:t>a</w:t>
      </w:r>
      <w:r w:rsidRPr="009C52C4">
        <w:rPr>
          <w:rFonts w:ascii="Times New Roman" w:hAnsi="Times New Roman" w:cs="Times New Roman"/>
          <w:sz w:val="24"/>
          <w:szCs w:val="24"/>
        </w:rPr>
        <w:t xml:space="preserve"> isplativosti investicije. Iako su financijske institucije razvile tržišne modele povoljnijih uvjeta kreditiranja projekata energetske učinkovitosti, uloga države u ovom sektoru i dalje je ključna za uspješnost njihove provedbe. Razlog je to zbog kojeg je Ministarstvo graditeljstva i prostornoga uređenja izradilo programe energetske obnove za četiri identificirane namjene zgrada (javne, komercijalne, višestambene zgrade i obiteljske kuće). Ovim programima predviđeni su i posebni modeli financiranja kojima se pridružuju i postojeći instrumenti čiji je pregled dan u nastavku (</w:t>
      </w:r>
      <w:r w:rsidR="00462D0B" w:rsidRPr="009C52C4">
        <w:rPr>
          <w:rFonts w:ascii="Times New Roman" w:hAnsi="Times New Roman" w:cs="Times New Roman"/>
          <w:sz w:val="24"/>
          <w:szCs w:val="24"/>
        </w:rPr>
        <w:fldChar w:fldCharType="begin"/>
      </w:r>
      <w:r w:rsidR="00462D0B" w:rsidRPr="009C52C4">
        <w:rPr>
          <w:rFonts w:ascii="Times New Roman" w:hAnsi="Times New Roman" w:cs="Times New Roman"/>
          <w:sz w:val="24"/>
          <w:szCs w:val="24"/>
        </w:rPr>
        <w:instrText xml:space="preserve"> REF _Ref483404374 \h </w:instrText>
      </w:r>
      <w:r w:rsidR="00873572" w:rsidRPr="009C52C4">
        <w:rPr>
          <w:rFonts w:ascii="Times New Roman" w:hAnsi="Times New Roman" w:cs="Times New Roman"/>
          <w:sz w:val="24"/>
          <w:szCs w:val="24"/>
        </w:rPr>
        <w:instrText xml:space="preserve"> \* MERGEFORMAT </w:instrText>
      </w:r>
      <w:r w:rsidR="00462D0B" w:rsidRPr="009C52C4">
        <w:rPr>
          <w:rFonts w:ascii="Times New Roman" w:hAnsi="Times New Roman" w:cs="Times New Roman"/>
          <w:sz w:val="24"/>
          <w:szCs w:val="24"/>
        </w:rPr>
      </w:r>
      <w:r w:rsidR="00462D0B"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5</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462D0B" w:rsidRPr="009C52C4">
        <w:rPr>
          <w:rFonts w:ascii="Times New Roman" w:hAnsi="Times New Roman" w:cs="Times New Roman"/>
          <w:sz w:val="24"/>
          <w:szCs w:val="24"/>
        </w:rPr>
        <w:fldChar w:fldCharType="end"/>
      </w:r>
      <w:r w:rsidRPr="009C52C4">
        <w:rPr>
          <w:rFonts w:ascii="Times New Roman" w:hAnsi="Times New Roman" w:cs="Times New Roman"/>
          <w:sz w:val="24"/>
          <w:szCs w:val="24"/>
        </w:rPr>
        <w:t xml:space="preserve">). </w:t>
      </w:r>
    </w:p>
    <w:p w14:paraId="33EC91ED" w14:textId="77777777" w:rsidR="00B122B4" w:rsidRPr="009C52C4" w:rsidRDefault="00F54CC3">
      <w:pPr>
        <w:rPr>
          <w:rFonts w:ascii="Times New Roman" w:hAnsi="Times New Roman" w:cs="Times New Roman"/>
          <w:sz w:val="24"/>
          <w:szCs w:val="24"/>
        </w:rPr>
      </w:pPr>
      <w:r w:rsidRPr="009C52C4">
        <w:rPr>
          <w:rFonts w:ascii="Times New Roman" w:hAnsi="Times New Roman" w:cs="Times New Roman"/>
          <w:sz w:val="24"/>
          <w:szCs w:val="24"/>
        </w:rPr>
        <w:br w:type="page"/>
      </w:r>
    </w:p>
    <w:p w14:paraId="15A6EF11" w14:textId="002D4654" w:rsidR="006730B1" w:rsidRPr="009C52C4" w:rsidRDefault="006730B1" w:rsidP="006730B1">
      <w:pPr>
        <w:pStyle w:val="Caption"/>
        <w:rPr>
          <w:rFonts w:ascii="Times New Roman" w:hAnsi="Times New Roman" w:cs="Times New Roman"/>
          <w:sz w:val="24"/>
          <w:szCs w:val="24"/>
        </w:rPr>
      </w:pPr>
      <w:bookmarkStart w:id="186" w:name="_Ref483404374"/>
      <w:bookmarkStart w:id="187" w:name="_Toc2681326"/>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186"/>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Pregled postojećih programa i financijskih instrumenata</w:t>
      </w:r>
      <w:bookmarkEnd w:id="187"/>
    </w:p>
    <w:tbl>
      <w:tblPr>
        <w:tblW w:w="91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73"/>
        <w:gridCol w:w="4808"/>
      </w:tblGrid>
      <w:tr w:rsidR="00634901" w:rsidRPr="009C52C4" w14:paraId="43CD73FC" w14:textId="77777777" w:rsidTr="00991EA0">
        <w:trPr>
          <w:trHeight w:val="280"/>
        </w:trPr>
        <w:tc>
          <w:tcPr>
            <w:tcW w:w="9181" w:type="dxa"/>
            <w:gridSpan w:val="2"/>
            <w:shd w:val="clear" w:color="auto" w:fill="EBF1DE"/>
            <w:tcMar>
              <w:left w:w="115" w:type="dxa"/>
              <w:right w:w="115" w:type="dxa"/>
            </w:tcMar>
            <w:vAlign w:val="center"/>
          </w:tcPr>
          <w:p w14:paraId="402E1AF8" w14:textId="77777777" w:rsidR="00634901" w:rsidRPr="009C52C4" w:rsidRDefault="00634901" w:rsidP="00634901">
            <w:pPr>
              <w:widowControl w:val="0"/>
              <w:spacing w:line="276" w:lineRule="auto"/>
              <w:jc w:val="center"/>
              <w:rPr>
                <w:rFonts w:ascii="Times New Roman" w:hAnsi="Times New Roman" w:cs="Times New Roman"/>
                <w:sz w:val="24"/>
                <w:szCs w:val="24"/>
              </w:rPr>
            </w:pPr>
            <w:bookmarkStart w:id="188" w:name="h.2afmg28" w:colFirst="0" w:colLast="0"/>
            <w:bookmarkEnd w:id="188"/>
            <w:r w:rsidRPr="009C52C4">
              <w:rPr>
                <w:rFonts w:ascii="Times New Roman" w:hAnsi="Times New Roman" w:cs="Times New Roman"/>
                <w:b/>
                <w:sz w:val="24"/>
                <w:szCs w:val="24"/>
              </w:rPr>
              <w:t>Nacionalni programi i fondovi</w:t>
            </w:r>
          </w:p>
        </w:tc>
      </w:tr>
      <w:tr w:rsidR="00634901" w:rsidRPr="009C52C4" w14:paraId="70180B03" w14:textId="77777777" w:rsidTr="00D4414D">
        <w:trPr>
          <w:trHeight w:val="2020"/>
        </w:trPr>
        <w:tc>
          <w:tcPr>
            <w:tcW w:w="4373" w:type="dxa"/>
            <w:shd w:val="clear" w:color="auto" w:fill="FFFFFF"/>
            <w:tcMar>
              <w:left w:w="115" w:type="dxa"/>
              <w:right w:w="115" w:type="dxa"/>
            </w:tcMar>
          </w:tcPr>
          <w:p w14:paraId="3BE766DC"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color w:val="auto"/>
                <w:sz w:val="24"/>
                <w:szCs w:val="24"/>
              </w:rPr>
              <w:t>Program energetske obnove zgrada javnog sektora za razdoblje od 2016. do 2020.</w:t>
            </w:r>
          </w:p>
        </w:tc>
        <w:tc>
          <w:tcPr>
            <w:tcW w:w="4808" w:type="dxa"/>
            <w:shd w:val="clear" w:color="auto" w:fill="FFFFFF"/>
            <w:tcMar>
              <w:left w:w="115" w:type="dxa"/>
              <w:right w:w="115" w:type="dxa"/>
            </w:tcMar>
          </w:tcPr>
          <w:p w14:paraId="3761D75F" w14:textId="7938CF19" w:rsidR="00F973C1" w:rsidRPr="009C52C4" w:rsidRDefault="00711793" w:rsidP="00F973C1">
            <w:pPr>
              <w:rPr>
                <w:rFonts w:ascii="Times New Roman" w:hAnsi="Times New Roman" w:cs="Times New Roman"/>
                <w:sz w:val="24"/>
                <w:szCs w:val="24"/>
              </w:rPr>
            </w:pPr>
            <w:r w:rsidRPr="009C52C4">
              <w:rPr>
                <w:rFonts w:ascii="Times New Roman" w:hAnsi="Times New Roman" w:cs="Times New Roman"/>
                <w:sz w:val="24"/>
                <w:szCs w:val="24"/>
              </w:rPr>
              <w:t>P</w:t>
            </w:r>
            <w:r w:rsidR="00F973C1" w:rsidRPr="009C52C4">
              <w:rPr>
                <w:rFonts w:ascii="Times New Roman" w:hAnsi="Times New Roman" w:cs="Times New Roman"/>
                <w:sz w:val="24"/>
                <w:szCs w:val="24"/>
              </w:rPr>
              <w:t xml:space="preserve">rogramom </w:t>
            </w:r>
            <w:r w:rsidRPr="009C52C4">
              <w:rPr>
                <w:rFonts w:ascii="Times New Roman" w:hAnsi="Times New Roman" w:cs="Times New Roman"/>
                <w:sz w:val="24"/>
                <w:szCs w:val="24"/>
              </w:rPr>
              <w:t xml:space="preserve">je </w:t>
            </w:r>
            <w:r w:rsidR="00F973C1" w:rsidRPr="009C52C4">
              <w:rPr>
                <w:rFonts w:ascii="Times New Roman" w:hAnsi="Times New Roman" w:cs="Times New Roman"/>
                <w:sz w:val="24"/>
                <w:szCs w:val="24"/>
              </w:rPr>
              <w:t xml:space="preserve">predviđena provedba obnove putem MODELA III kojim se osigurava djelomično bespovratno sufinanciranje iz ESI fondova, dok korisnik, ovisno o mogućnostima osiguranja vlastitog učešća, odabire optimalnu vrstu provedbe između sljedećih modela: </w:t>
            </w:r>
          </w:p>
          <w:p w14:paraId="3F901BFF" w14:textId="373FA5EC" w:rsidR="00F973C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u</w:t>
            </w:r>
            <w:r w:rsidR="00F973C1" w:rsidRPr="009C52C4">
              <w:rPr>
                <w:rFonts w:ascii="Times New Roman" w:hAnsi="Times New Roman" w:cs="Times New Roman"/>
                <w:sz w:val="24"/>
                <w:szCs w:val="24"/>
              </w:rPr>
              <w:t>govaranjem energetske usluge kojim se pružatelj usluge (ESCO) obvezuje naručitelju provesti mjere kojima se postiže ušteda energije u zamjenu za naknadu koju naručitelj usluge isplaćuje iz ostvarenih ušteda</w:t>
            </w:r>
          </w:p>
          <w:p w14:paraId="168EE03A" w14:textId="4F199D22" w:rsidR="00F973C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f</w:t>
            </w:r>
            <w:r w:rsidR="00F973C1" w:rsidRPr="009C52C4">
              <w:rPr>
                <w:rFonts w:ascii="Times New Roman" w:hAnsi="Times New Roman" w:cs="Times New Roman"/>
                <w:sz w:val="24"/>
                <w:szCs w:val="24"/>
              </w:rPr>
              <w:t>inancijskim instrumentom u obliku specijalizirane kreditne linije s povoljnom kamatnom stopom i odgodom plaćanja do završetka obnove</w:t>
            </w:r>
          </w:p>
          <w:p w14:paraId="023CDBB4" w14:textId="38E405B8" w:rsidR="00F973C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s</w:t>
            </w:r>
            <w:r w:rsidR="00F973C1" w:rsidRPr="009C52C4">
              <w:rPr>
                <w:rFonts w:ascii="Times New Roman" w:hAnsi="Times New Roman" w:cs="Times New Roman"/>
                <w:sz w:val="24"/>
                <w:szCs w:val="24"/>
              </w:rPr>
              <w:t>redstvima Fonda za sufinanciranje provedbe EU projekata osiguranih od strane M</w:t>
            </w:r>
            <w:r w:rsidRPr="009C52C4">
              <w:rPr>
                <w:rFonts w:ascii="Times New Roman" w:hAnsi="Times New Roman" w:cs="Times New Roman"/>
                <w:sz w:val="24"/>
                <w:szCs w:val="24"/>
              </w:rPr>
              <w:t>inistarstva regionalnoga razvoja i fondova Europske unije</w:t>
            </w:r>
            <w:r w:rsidR="00F973C1" w:rsidRPr="009C52C4">
              <w:rPr>
                <w:rFonts w:ascii="Times New Roman" w:hAnsi="Times New Roman" w:cs="Times New Roman"/>
                <w:sz w:val="24"/>
                <w:szCs w:val="24"/>
              </w:rPr>
              <w:t xml:space="preserve"> za sufinanciranje provedbe EU projekata na regionalnoj i lokalnoj razini</w:t>
            </w:r>
          </w:p>
          <w:p w14:paraId="73C53891" w14:textId="259B52CD" w:rsidR="0063490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v</w:t>
            </w:r>
            <w:r w:rsidR="00F973C1" w:rsidRPr="009C52C4">
              <w:rPr>
                <w:rFonts w:ascii="Times New Roman" w:hAnsi="Times New Roman" w:cs="Times New Roman"/>
                <w:sz w:val="24"/>
                <w:szCs w:val="24"/>
              </w:rPr>
              <w:t>lastitim sredstvima osiguranim u proračunu prijavitelja</w:t>
            </w:r>
          </w:p>
        </w:tc>
      </w:tr>
      <w:tr w:rsidR="00634901" w:rsidRPr="009C52C4" w14:paraId="4345C2E6" w14:textId="77777777" w:rsidTr="00D4414D">
        <w:trPr>
          <w:trHeight w:val="724"/>
        </w:trPr>
        <w:tc>
          <w:tcPr>
            <w:tcW w:w="4373" w:type="dxa"/>
            <w:shd w:val="clear" w:color="auto" w:fill="FFFFFF"/>
            <w:tcMar>
              <w:left w:w="115" w:type="dxa"/>
              <w:right w:w="115" w:type="dxa"/>
            </w:tcMar>
          </w:tcPr>
          <w:p w14:paraId="656B5811"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Program energetske obnove obiteljskih kuća za razdoblje od 2014. do 2020. godine</w:t>
            </w:r>
          </w:p>
        </w:tc>
        <w:tc>
          <w:tcPr>
            <w:tcW w:w="4808" w:type="dxa"/>
            <w:shd w:val="clear" w:color="auto" w:fill="FFFFFF"/>
            <w:tcMar>
              <w:left w:w="115" w:type="dxa"/>
              <w:right w:w="115" w:type="dxa"/>
            </w:tcMar>
          </w:tcPr>
          <w:p w14:paraId="621E6641" w14:textId="2E9F48EB" w:rsidR="00634901" w:rsidRPr="009C52C4" w:rsidRDefault="00711793"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P</w:t>
            </w:r>
            <w:r w:rsidR="00F973C1" w:rsidRPr="009C52C4">
              <w:rPr>
                <w:rFonts w:ascii="Times New Roman" w:hAnsi="Times New Roman" w:cs="Times New Roman"/>
                <w:sz w:val="24"/>
                <w:szCs w:val="24"/>
              </w:rPr>
              <w:t xml:space="preserve">rogramom </w:t>
            </w:r>
            <w:r w:rsidRPr="009C52C4">
              <w:rPr>
                <w:rFonts w:ascii="Times New Roman" w:hAnsi="Times New Roman" w:cs="Times New Roman"/>
                <w:sz w:val="24"/>
                <w:szCs w:val="24"/>
              </w:rPr>
              <w:t xml:space="preserve">je </w:t>
            </w:r>
            <w:r w:rsidR="00F973C1" w:rsidRPr="009C52C4">
              <w:rPr>
                <w:rFonts w:ascii="Times New Roman" w:hAnsi="Times New Roman" w:cs="Times New Roman"/>
                <w:sz w:val="24"/>
                <w:szCs w:val="24"/>
              </w:rPr>
              <w:t>predviđeno</w:t>
            </w:r>
            <w:r w:rsidRPr="009C52C4">
              <w:rPr>
                <w:rFonts w:ascii="Times New Roman" w:hAnsi="Times New Roman" w:cs="Times New Roman"/>
                <w:sz w:val="24"/>
                <w:szCs w:val="24"/>
              </w:rPr>
              <w:t xml:space="preserve"> </w:t>
            </w:r>
            <w:r w:rsidR="00F973C1" w:rsidRPr="009C52C4">
              <w:rPr>
                <w:rFonts w:ascii="Times New Roman" w:hAnsi="Times New Roman" w:cs="Times New Roman"/>
                <w:sz w:val="24"/>
                <w:szCs w:val="24"/>
              </w:rPr>
              <w:t>sufinanciranje energetske obnove obiteljskih kuća bespovratnim sredstvima državnog proračuna (razdoblje od 2014.-2015.) te Europskog fonda za regionalni razvoj (2016.-2020.)</w:t>
            </w:r>
          </w:p>
        </w:tc>
      </w:tr>
      <w:tr w:rsidR="00634901" w:rsidRPr="009C52C4" w14:paraId="6E8F368D" w14:textId="77777777" w:rsidTr="00D4414D">
        <w:trPr>
          <w:trHeight w:val="667"/>
        </w:trPr>
        <w:tc>
          <w:tcPr>
            <w:tcW w:w="4373" w:type="dxa"/>
            <w:shd w:val="clear" w:color="auto" w:fill="FFFFFF"/>
            <w:tcMar>
              <w:left w:w="115" w:type="dxa"/>
              <w:right w:w="115" w:type="dxa"/>
            </w:tcMar>
          </w:tcPr>
          <w:p w14:paraId="6652D1FC"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Program energetske obnove višestambenih zgrada za razdoblje od 2014. do 2020. godine</w:t>
            </w:r>
          </w:p>
        </w:tc>
        <w:tc>
          <w:tcPr>
            <w:tcW w:w="4808" w:type="dxa"/>
            <w:shd w:val="clear" w:color="auto" w:fill="FFFFFF"/>
            <w:tcMar>
              <w:left w:w="115" w:type="dxa"/>
              <w:right w:w="115" w:type="dxa"/>
            </w:tcMar>
          </w:tcPr>
          <w:p w14:paraId="124EA7FC" w14:textId="2FBD2668" w:rsidR="00634901" w:rsidRPr="009C52C4" w:rsidRDefault="00634901" w:rsidP="004F09F1">
            <w:pPr>
              <w:numPr>
                <w:ilvl w:val="0"/>
                <w:numId w:val="37"/>
              </w:numPr>
              <w:contextualSpacing/>
              <w:rPr>
                <w:rFonts w:ascii="Times New Roman" w:hAnsi="Times New Roman" w:cs="Times New Roman"/>
                <w:color w:val="FF0000"/>
                <w:sz w:val="24"/>
                <w:szCs w:val="24"/>
              </w:rPr>
            </w:pPr>
            <w:r w:rsidRPr="009C52C4">
              <w:rPr>
                <w:rFonts w:ascii="Times New Roman" w:hAnsi="Times New Roman" w:cs="Times New Roman"/>
                <w:sz w:val="24"/>
                <w:szCs w:val="24"/>
              </w:rPr>
              <w:t>Programom je predviđeno sufinanciranje energetske obnove višestambenih zgrada bespovratnim sredstvima Europskog fonda za regionalni razvoj</w:t>
            </w:r>
          </w:p>
        </w:tc>
      </w:tr>
      <w:tr w:rsidR="00634901" w:rsidRPr="009C52C4" w14:paraId="74C5E526" w14:textId="77777777" w:rsidTr="00D4414D">
        <w:trPr>
          <w:trHeight w:val="1240"/>
        </w:trPr>
        <w:tc>
          <w:tcPr>
            <w:tcW w:w="4373" w:type="dxa"/>
            <w:shd w:val="clear" w:color="auto" w:fill="FFFFFF"/>
            <w:tcMar>
              <w:left w:w="115" w:type="dxa"/>
              <w:right w:w="115" w:type="dxa"/>
            </w:tcMar>
          </w:tcPr>
          <w:p w14:paraId="072CAE6C" w14:textId="77777777" w:rsidR="00634901" w:rsidRPr="009C52C4" w:rsidRDefault="00A66297" w:rsidP="00634901">
            <w:pPr>
              <w:rPr>
                <w:rFonts w:ascii="Times New Roman" w:hAnsi="Times New Roman" w:cs="Times New Roman"/>
                <w:sz w:val="24"/>
                <w:szCs w:val="24"/>
              </w:rPr>
            </w:pPr>
            <w:r w:rsidRPr="009C52C4">
              <w:rPr>
                <w:rFonts w:ascii="Times New Roman" w:hAnsi="Times New Roman" w:cs="Times New Roman"/>
                <w:sz w:val="24"/>
                <w:szCs w:val="24"/>
              </w:rPr>
              <w:t>Program energetske obnove komercijalnih nestambenih zgrada za razdoblje od 2014. do 2020. godine s detaljnim planom energetske obnove komercijalnih nestambenih zgrada za razdoblje od 2014. do 2016.</w:t>
            </w:r>
          </w:p>
        </w:tc>
        <w:tc>
          <w:tcPr>
            <w:tcW w:w="4808" w:type="dxa"/>
            <w:shd w:val="clear" w:color="auto" w:fill="FFFFFF"/>
            <w:tcMar>
              <w:left w:w="115" w:type="dxa"/>
              <w:right w:w="115" w:type="dxa"/>
            </w:tcMar>
          </w:tcPr>
          <w:p w14:paraId="582C07A0" w14:textId="77777777" w:rsidR="00F973C1" w:rsidRPr="009C52C4" w:rsidRDefault="00F973C1" w:rsidP="00F973C1">
            <w:pPr>
              <w:rPr>
                <w:rFonts w:ascii="Times New Roman" w:hAnsi="Times New Roman" w:cs="Times New Roman"/>
                <w:sz w:val="24"/>
                <w:szCs w:val="24"/>
              </w:rPr>
            </w:pPr>
            <w:r w:rsidRPr="009C52C4">
              <w:rPr>
                <w:rFonts w:ascii="Times New Roman" w:hAnsi="Times New Roman" w:cs="Times New Roman"/>
                <w:sz w:val="24"/>
                <w:szCs w:val="24"/>
              </w:rPr>
              <w:t>Programom je predviđeno sufinanciranje energetske obnove zgrada komercijalne namjene iz državnog proračuna (razdoblje od 2014.-2015.) te Europskog fonda za regionalni razvoj (2016.-2020.) i to putem sljedećih financijskih mehanizama:</w:t>
            </w:r>
          </w:p>
          <w:p w14:paraId="2C2D6D47" w14:textId="277F17C1" w:rsidR="00F973C1" w:rsidRPr="009C52C4" w:rsidRDefault="00711793" w:rsidP="00AB423D">
            <w:pPr>
              <w:pStyle w:val="ListParagraph"/>
              <w:numPr>
                <w:ilvl w:val="0"/>
                <w:numId w:val="37"/>
              </w:numPr>
              <w:rPr>
                <w:rFonts w:ascii="Times New Roman" w:hAnsi="Times New Roman" w:cs="Times New Roman"/>
                <w:sz w:val="24"/>
                <w:szCs w:val="24"/>
              </w:rPr>
            </w:pPr>
            <w:r w:rsidRPr="009C52C4">
              <w:rPr>
                <w:rFonts w:ascii="Times New Roman" w:hAnsi="Times New Roman" w:cs="Times New Roman"/>
                <w:sz w:val="24"/>
                <w:szCs w:val="24"/>
              </w:rPr>
              <w:t>u</w:t>
            </w:r>
            <w:r w:rsidR="00F973C1" w:rsidRPr="009C52C4">
              <w:rPr>
                <w:rFonts w:ascii="Times New Roman" w:hAnsi="Times New Roman" w:cs="Times New Roman"/>
                <w:sz w:val="24"/>
                <w:szCs w:val="24"/>
              </w:rPr>
              <w:t>spostavom posebnih financijskih instrumenata uz pomoć sredstava Europskog fonda za regionalni razvoj</w:t>
            </w:r>
            <w:r w:rsidR="00AB423D" w:rsidRPr="009C52C4">
              <w:rPr>
                <w:rFonts w:ascii="Times New Roman" w:hAnsi="Times New Roman" w:cs="Times New Roman"/>
                <w:sz w:val="24"/>
                <w:szCs w:val="24"/>
              </w:rPr>
              <w:t xml:space="preserve"> razvoj i Kohezijskog fonda (Operativni program konkurentnost i kohezija 2014.-2020.)</w:t>
            </w:r>
          </w:p>
          <w:p w14:paraId="65C602B3" w14:textId="21FDFA7B" w:rsidR="00F973C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u</w:t>
            </w:r>
            <w:r w:rsidR="00F973C1" w:rsidRPr="009C52C4">
              <w:rPr>
                <w:rFonts w:ascii="Times New Roman" w:hAnsi="Times New Roman" w:cs="Times New Roman"/>
                <w:sz w:val="24"/>
                <w:szCs w:val="24"/>
              </w:rPr>
              <w:t xml:space="preserve">vođenjem zakonskih obveza </w:t>
            </w:r>
            <w:r w:rsidR="00F973C1" w:rsidRPr="009C52C4">
              <w:rPr>
                <w:rFonts w:ascii="Times New Roman" w:hAnsi="Times New Roman" w:cs="Times New Roman"/>
                <w:sz w:val="24"/>
                <w:szCs w:val="24"/>
              </w:rPr>
              <w:lastRenderedPageBreak/>
              <w:t>opskrbljivačima energije za postizanje energetskih ušteda njihovih kupaca</w:t>
            </w:r>
          </w:p>
          <w:p w14:paraId="786278EC" w14:textId="12CBD8B8" w:rsidR="00634901" w:rsidRPr="009C52C4" w:rsidRDefault="00711793" w:rsidP="00F973C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k</w:t>
            </w:r>
            <w:r w:rsidR="00F973C1" w:rsidRPr="009C52C4">
              <w:rPr>
                <w:rFonts w:ascii="Times New Roman" w:hAnsi="Times New Roman" w:cs="Times New Roman"/>
                <w:sz w:val="24"/>
                <w:szCs w:val="24"/>
              </w:rPr>
              <w:t>ontinuiranom provedbom programa i projekata Fonda za zaštitu okoliša i energetsku učinkovitost</w:t>
            </w:r>
          </w:p>
        </w:tc>
      </w:tr>
      <w:tr w:rsidR="00634901" w:rsidRPr="009C52C4" w14:paraId="4681A5A1" w14:textId="77777777" w:rsidTr="00D4414D">
        <w:trPr>
          <w:trHeight w:val="796"/>
        </w:trPr>
        <w:tc>
          <w:tcPr>
            <w:tcW w:w="4373" w:type="dxa"/>
            <w:shd w:val="clear" w:color="auto" w:fill="FFFFFF"/>
            <w:tcMar>
              <w:left w:w="115" w:type="dxa"/>
              <w:right w:w="115" w:type="dxa"/>
            </w:tcMar>
          </w:tcPr>
          <w:p w14:paraId="66F4E6E7"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lastRenderedPageBreak/>
              <w:t>Fond za zaštitu okoliša i energetsku učinkovitost</w:t>
            </w:r>
          </w:p>
        </w:tc>
        <w:tc>
          <w:tcPr>
            <w:tcW w:w="4808" w:type="dxa"/>
            <w:shd w:val="clear" w:color="auto" w:fill="FFFFFF"/>
            <w:tcMar>
              <w:left w:w="115" w:type="dxa"/>
              <w:right w:w="115" w:type="dxa"/>
            </w:tcMar>
          </w:tcPr>
          <w:p w14:paraId="5C4B0EBF" w14:textId="77777777" w:rsidR="00634901" w:rsidRPr="009C52C4" w:rsidRDefault="00F973C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Fond pruža sustavnu tehničku i administrativnu podršku u provedbi programa energetske obnove te provodi edukacijske aktivnosti za korisnike iz javnog i privatnog sektora.</w:t>
            </w:r>
          </w:p>
        </w:tc>
      </w:tr>
      <w:tr w:rsidR="00634901" w:rsidRPr="009C52C4" w14:paraId="22CF80B9" w14:textId="77777777" w:rsidTr="00991EA0">
        <w:trPr>
          <w:trHeight w:val="280"/>
        </w:trPr>
        <w:tc>
          <w:tcPr>
            <w:tcW w:w="9181" w:type="dxa"/>
            <w:gridSpan w:val="2"/>
            <w:shd w:val="clear" w:color="auto" w:fill="EBF1DE"/>
            <w:tcMar>
              <w:left w:w="115" w:type="dxa"/>
              <w:right w:w="115" w:type="dxa"/>
            </w:tcMar>
            <w:vAlign w:val="center"/>
          </w:tcPr>
          <w:p w14:paraId="76BBEF12" w14:textId="77777777" w:rsidR="00634901" w:rsidRPr="009C52C4" w:rsidRDefault="00634901" w:rsidP="00634901">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Razvojne banke, fondovi i kreditne linije</w:t>
            </w:r>
          </w:p>
        </w:tc>
      </w:tr>
      <w:tr w:rsidR="00634901" w:rsidRPr="009C52C4" w14:paraId="6B584AB9" w14:textId="77777777" w:rsidTr="00D4414D">
        <w:trPr>
          <w:trHeight w:val="778"/>
        </w:trPr>
        <w:tc>
          <w:tcPr>
            <w:tcW w:w="4373" w:type="dxa"/>
            <w:shd w:val="clear" w:color="auto" w:fill="FFFFFF"/>
            <w:tcMar>
              <w:left w:w="115" w:type="dxa"/>
              <w:right w:w="115" w:type="dxa"/>
            </w:tcMar>
          </w:tcPr>
          <w:p w14:paraId="0D8A045D"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Hrvatska banka za obnovu i razvitak (HBOR)</w:t>
            </w:r>
          </w:p>
        </w:tc>
        <w:tc>
          <w:tcPr>
            <w:tcW w:w="4808" w:type="dxa"/>
            <w:shd w:val="clear" w:color="auto" w:fill="FFFFFF"/>
            <w:tcMar>
              <w:left w:w="115" w:type="dxa"/>
              <w:right w:w="115" w:type="dxa"/>
            </w:tcMar>
          </w:tcPr>
          <w:p w14:paraId="02D61E62" w14:textId="3048B63F" w:rsidR="00634901" w:rsidRPr="009C52C4" w:rsidRDefault="00634901"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Povlašteni zajmovi i garancije nude se u sklopu nekoliko programa povećanja energetske učinkovitosti za investitore iz javnog i privatnog sektora</w:t>
            </w:r>
          </w:p>
        </w:tc>
      </w:tr>
      <w:tr w:rsidR="00634901" w:rsidRPr="009C52C4" w14:paraId="5F7E859E" w14:textId="77777777" w:rsidTr="00D4414D">
        <w:trPr>
          <w:trHeight w:val="751"/>
        </w:trPr>
        <w:tc>
          <w:tcPr>
            <w:tcW w:w="4373" w:type="dxa"/>
            <w:shd w:val="clear" w:color="auto" w:fill="FFFFFF"/>
            <w:tcMar>
              <w:left w:w="115" w:type="dxa"/>
              <w:right w:w="115" w:type="dxa"/>
            </w:tcMar>
          </w:tcPr>
          <w:p w14:paraId="35379318"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Hrvatska agencija za malo gospodarstvo, inovacije i investicije (HAMAG-BICRO)</w:t>
            </w:r>
          </w:p>
        </w:tc>
        <w:tc>
          <w:tcPr>
            <w:tcW w:w="4808" w:type="dxa"/>
            <w:shd w:val="clear" w:color="auto" w:fill="FFFFFF"/>
            <w:tcMar>
              <w:left w:w="115" w:type="dxa"/>
              <w:right w:w="115" w:type="dxa"/>
            </w:tcMar>
          </w:tcPr>
          <w:p w14:paraId="3012E240" w14:textId="5BCE3F85" w:rsidR="00634901" w:rsidRPr="009C52C4" w:rsidRDefault="00634901"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 xml:space="preserve">Financijski instrumenti pružaju podršku ulaganjima putem kredita, jamstava uz mogućnost kombiniranja sa subvencioniranjem kamatne stope i za energetsku obnovu poslovnih objekata </w:t>
            </w:r>
          </w:p>
        </w:tc>
      </w:tr>
      <w:tr w:rsidR="00634901" w:rsidRPr="009C52C4" w14:paraId="57820C3F" w14:textId="77777777" w:rsidTr="00D4414D">
        <w:trPr>
          <w:trHeight w:val="500"/>
        </w:trPr>
        <w:tc>
          <w:tcPr>
            <w:tcW w:w="4373" w:type="dxa"/>
            <w:shd w:val="clear" w:color="auto" w:fill="FFFFFF"/>
            <w:tcMar>
              <w:left w:w="115" w:type="dxa"/>
              <w:right w:w="115" w:type="dxa"/>
            </w:tcMar>
          </w:tcPr>
          <w:p w14:paraId="13D8EC79"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Europske razvojne banke i fondovi (EIB Grupa, EBRD, Europski fond za energetsku učinkovitost, Europski fond za strateška ulaganja)</w:t>
            </w:r>
          </w:p>
        </w:tc>
        <w:tc>
          <w:tcPr>
            <w:tcW w:w="4808" w:type="dxa"/>
            <w:shd w:val="clear" w:color="auto" w:fill="FFFFFF"/>
            <w:tcMar>
              <w:left w:w="115" w:type="dxa"/>
              <w:right w:w="115" w:type="dxa"/>
            </w:tcMar>
          </w:tcPr>
          <w:p w14:paraId="03F48AEB" w14:textId="3145BF72" w:rsidR="00634901" w:rsidRPr="009C52C4" w:rsidRDefault="00634901"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Direktni i indirektni povlašteni zajmovi i garancije nude se investitorima iz javnog i privatnog sektora za velike projekte energetske obnove</w:t>
            </w:r>
          </w:p>
        </w:tc>
      </w:tr>
      <w:tr w:rsidR="00634901" w:rsidRPr="009C52C4" w14:paraId="4E398237" w14:textId="77777777" w:rsidTr="00D4414D">
        <w:trPr>
          <w:trHeight w:val="500"/>
        </w:trPr>
        <w:tc>
          <w:tcPr>
            <w:tcW w:w="4373" w:type="dxa"/>
            <w:shd w:val="clear" w:color="auto" w:fill="FFFFFF"/>
            <w:tcMar>
              <w:left w:w="115" w:type="dxa"/>
              <w:right w:w="115" w:type="dxa"/>
            </w:tcMar>
          </w:tcPr>
          <w:p w14:paraId="331CB38A"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Program EBRD za potporu privatnog sektora Hrvatske (REENOVA+)</w:t>
            </w:r>
          </w:p>
        </w:tc>
        <w:tc>
          <w:tcPr>
            <w:tcW w:w="4808" w:type="dxa"/>
            <w:shd w:val="clear" w:color="auto" w:fill="FFFFFF"/>
            <w:tcMar>
              <w:left w:w="115" w:type="dxa"/>
              <w:right w:w="115" w:type="dxa"/>
            </w:tcMar>
          </w:tcPr>
          <w:p w14:paraId="6F208920" w14:textId="70844C2D" w:rsidR="00634901" w:rsidRPr="009C52C4" w:rsidRDefault="00634901"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Program dodjele zajmova EBRD-a namijenjen građanima i poduzetnicima</w:t>
            </w:r>
          </w:p>
        </w:tc>
      </w:tr>
      <w:tr w:rsidR="00634901" w:rsidRPr="009C52C4" w14:paraId="737D1EA5" w14:textId="77777777" w:rsidTr="00991EA0">
        <w:trPr>
          <w:trHeight w:val="280"/>
        </w:trPr>
        <w:tc>
          <w:tcPr>
            <w:tcW w:w="9181" w:type="dxa"/>
            <w:gridSpan w:val="2"/>
            <w:shd w:val="clear" w:color="auto" w:fill="EBF1DE"/>
            <w:tcMar>
              <w:left w:w="115" w:type="dxa"/>
              <w:right w:w="115" w:type="dxa"/>
            </w:tcMar>
            <w:vAlign w:val="center"/>
          </w:tcPr>
          <w:p w14:paraId="0F455FE9" w14:textId="77777777" w:rsidR="00634901" w:rsidRPr="009C52C4" w:rsidRDefault="00634901" w:rsidP="00634901">
            <w:pPr>
              <w:widowControl w:val="0"/>
              <w:spacing w:line="276" w:lineRule="auto"/>
              <w:jc w:val="center"/>
              <w:rPr>
                <w:rFonts w:ascii="Times New Roman" w:hAnsi="Times New Roman" w:cs="Times New Roman"/>
                <w:sz w:val="24"/>
                <w:szCs w:val="24"/>
              </w:rPr>
            </w:pPr>
            <w:r w:rsidRPr="009C52C4">
              <w:rPr>
                <w:rFonts w:ascii="Times New Roman" w:hAnsi="Times New Roman" w:cs="Times New Roman"/>
                <w:b/>
                <w:sz w:val="24"/>
                <w:szCs w:val="24"/>
              </w:rPr>
              <w:t>Programi tehničke pomoći</w:t>
            </w:r>
          </w:p>
        </w:tc>
      </w:tr>
      <w:tr w:rsidR="00634901" w:rsidRPr="009C52C4" w14:paraId="2D38A263" w14:textId="77777777" w:rsidTr="00D4414D">
        <w:trPr>
          <w:trHeight w:val="500"/>
        </w:trPr>
        <w:tc>
          <w:tcPr>
            <w:tcW w:w="4373" w:type="dxa"/>
            <w:shd w:val="clear" w:color="auto" w:fill="FFFFFF"/>
            <w:tcMar>
              <w:left w:w="115" w:type="dxa"/>
              <w:right w:w="115" w:type="dxa"/>
            </w:tcMar>
          </w:tcPr>
          <w:p w14:paraId="220D9834"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Europski programi tehničke pomoći (ELENA, JASPERS, Horizon2020)</w:t>
            </w:r>
          </w:p>
        </w:tc>
        <w:tc>
          <w:tcPr>
            <w:tcW w:w="4808" w:type="dxa"/>
            <w:shd w:val="clear" w:color="auto" w:fill="FFFFFF"/>
            <w:tcMar>
              <w:left w:w="115" w:type="dxa"/>
              <w:right w:w="115" w:type="dxa"/>
            </w:tcMar>
          </w:tcPr>
          <w:p w14:paraId="7E94CAE5" w14:textId="1E6B4A85" w:rsidR="00634901" w:rsidRPr="009C52C4" w:rsidRDefault="00634901" w:rsidP="004F09F1">
            <w:pPr>
              <w:numPr>
                <w:ilvl w:val="0"/>
                <w:numId w:val="37"/>
              </w:numPr>
              <w:contextualSpacing/>
              <w:rPr>
                <w:rFonts w:ascii="Times New Roman" w:hAnsi="Times New Roman" w:cs="Times New Roman"/>
                <w:sz w:val="24"/>
                <w:szCs w:val="24"/>
              </w:rPr>
            </w:pPr>
            <w:r w:rsidRPr="009C52C4">
              <w:rPr>
                <w:rFonts w:ascii="Times New Roman" w:hAnsi="Times New Roman" w:cs="Times New Roman"/>
                <w:sz w:val="24"/>
                <w:szCs w:val="24"/>
              </w:rPr>
              <w:t>Programi sufinanciranja i tehničke podrške za pripremu velikih projekata javnog sektora</w:t>
            </w:r>
          </w:p>
        </w:tc>
      </w:tr>
    </w:tbl>
    <w:p w14:paraId="70BA78B8" w14:textId="77777777" w:rsidR="001C04C1" w:rsidRPr="009C52C4" w:rsidRDefault="001C04C1" w:rsidP="001C04C1">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3CB612FF" w14:textId="77777777" w:rsidR="00B122B4" w:rsidRPr="009C52C4" w:rsidRDefault="00B122B4">
      <w:pPr>
        <w:jc w:val="left"/>
        <w:rPr>
          <w:rFonts w:ascii="Times New Roman" w:hAnsi="Times New Roman" w:cs="Times New Roman"/>
          <w:sz w:val="24"/>
          <w:szCs w:val="24"/>
        </w:rPr>
      </w:pPr>
    </w:p>
    <w:p w14:paraId="300386B2"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Pregledom trenutno raspoloživih izvora financiranja razvidno je kako je većina instrumenata namijenjena investitorima iz javnog sektora. Razlozi za to nalaze se u obvezama koje proizlaze iz direktiva Europske unije, a koje nalažu da javni sektor mora zauzeti vodeću ulogu u provedbi aktivnosti za poboljšanje energetske učinkovitosti u sektoru zgradarstva. Osim poštivanja obveza preuzetim ulaskom u Europsku uniju, javni sektor energetskom obnovom svojih zgrada služi kao primjer privatnom sektoru te doprinosi uspostavi novih financijskih modela i primjeni novih tehnologija i znanja u građevinskom sektoru. </w:t>
      </w:r>
    </w:p>
    <w:p w14:paraId="12532E23" w14:textId="77777777" w:rsidR="00B122B4" w:rsidRPr="009C52C4" w:rsidRDefault="00B122B4">
      <w:pPr>
        <w:rPr>
          <w:rFonts w:ascii="Times New Roman" w:hAnsi="Times New Roman" w:cs="Times New Roman"/>
          <w:sz w:val="24"/>
          <w:szCs w:val="24"/>
        </w:rPr>
      </w:pPr>
    </w:p>
    <w:p w14:paraId="1C1DB588" w14:textId="77777777" w:rsidR="00B122B4" w:rsidRPr="009C52C4" w:rsidRDefault="00F54CC3" w:rsidP="00AE7037">
      <w:pPr>
        <w:pStyle w:val="Heading3"/>
        <w:keepLines w:val="0"/>
        <w:numPr>
          <w:ilvl w:val="2"/>
          <w:numId w:val="1"/>
        </w:numPr>
        <w:spacing w:before="0" w:after="240" w:line="240" w:lineRule="auto"/>
        <w:ind w:hanging="719"/>
        <w:jc w:val="left"/>
        <w:rPr>
          <w:rFonts w:ascii="Times New Roman" w:hAnsi="Times New Roman" w:cs="Times New Roman"/>
          <w:sz w:val="24"/>
          <w:szCs w:val="24"/>
        </w:rPr>
      </w:pPr>
      <w:bookmarkStart w:id="189" w:name="h.pkwqa1" w:colFirst="0" w:colLast="0"/>
      <w:bookmarkStart w:id="190" w:name="_Toc3277929"/>
      <w:bookmarkEnd w:id="189"/>
      <w:r w:rsidRPr="009C52C4">
        <w:rPr>
          <w:rFonts w:ascii="Times New Roman" w:hAnsi="Times New Roman" w:cs="Times New Roman"/>
          <w:sz w:val="24"/>
          <w:szCs w:val="24"/>
        </w:rPr>
        <w:t>Financijske barijere i ograničenja</w:t>
      </w:r>
      <w:bookmarkEnd w:id="190"/>
      <w:r w:rsidRPr="009C52C4">
        <w:rPr>
          <w:rFonts w:ascii="Times New Roman" w:hAnsi="Times New Roman" w:cs="Times New Roman"/>
          <w:sz w:val="24"/>
          <w:szCs w:val="24"/>
        </w:rPr>
        <w:t xml:space="preserve"> </w:t>
      </w:r>
    </w:p>
    <w:p w14:paraId="3AC9DA74" w14:textId="151680A6" w:rsidR="00634901" w:rsidRPr="009C52C4" w:rsidRDefault="00634901" w:rsidP="00634901">
      <w:pPr>
        <w:spacing w:after="60"/>
        <w:rPr>
          <w:rFonts w:ascii="Times New Roman" w:hAnsi="Times New Roman" w:cs="Times New Roman"/>
          <w:sz w:val="24"/>
          <w:szCs w:val="24"/>
        </w:rPr>
      </w:pPr>
      <w:r w:rsidRPr="009C52C4">
        <w:rPr>
          <w:rFonts w:ascii="Times New Roman" w:hAnsi="Times New Roman" w:cs="Times New Roman"/>
          <w:sz w:val="24"/>
          <w:szCs w:val="24"/>
        </w:rPr>
        <w:t>Direktiva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nalaže potporu razvoja tržišta energetskih usluga, razvoj novih financijskih mehanizama i poticaja te institucionalnih, financijskih i pravnih okvira za uklanjanje postojećih tržišnih prepreka i nedostataka koji spr</w:t>
      </w:r>
      <w:r w:rsidR="00711793" w:rsidRPr="009C52C4">
        <w:rPr>
          <w:rFonts w:ascii="Times New Roman" w:hAnsi="Times New Roman" w:cs="Times New Roman"/>
          <w:sz w:val="24"/>
          <w:szCs w:val="24"/>
        </w:rPr>
        <w:t>j</w:t>
      </w:r>
      <w:r w:rsidRPr="009C52C4">
        <w:rPr>
          <w:rFonts w:ascii="Times New Roman" w:hAnsi="Times New Roman" w:cs="Times New Roman"/>
          <w:sz w:val="24"/>
          <w:szCs w:val="24"/>
        </w:rPr>
        <w:t xml:space="preserve">ečavaju učinkovitu krajnju potrošnju energije. Barijere financijske prirode koje trenutno koče razvoj projekata energetske obnove, a čijem uklanjanju treba doprinijeti </w:t>
      </w:r>
      <w:r w:rsidR="004F68D2" w:rsidRPr="009C52C4">
        <w:rPr>
          <w:rFonts w:ascii="Times New Roman" w:hAnsi="Times New Roman" w:cs="Times New Roman"/>
          <w:sz w:val="24"/>
          <w:szCs w:val="24"/>
        </w:rPr>
        <w:t>Dugoročna strategija za poticanje ulaganja u obnovu nacionalnog fonda zgrada Republike Hrvatske</w:t>
      </w:r>
      <w:r w:rsidRPr="009C52C4">
        <w:rPr>
          <w:rFonts w:ascii="Times New Roman" w:hAnsi="Times New Roman" w:cs="Times New Roman"/>
          <w:sz w:val="24"/>
          <w:szCs w:val="24"/>
        </w:rPr>
        <w:t xml:space="preserve"> uključuju:</w:t>
      </w:r>
    </w:p>
    <w:p w14:paraId="6CCE68E2" w14:textId="2A3011F2" w:rsidR="00634901" w:rsidRPr="009C52C4" w:rsidRDefault="00711793" w:rsidP="00853BC8">
      <w:pPr>
        <w:numPr>
          <w:ilvl w:val="0"/>
          <w:numId w:val="12"/>
        </w:numPr>
        <w:ind w:left="714" w:hanging="356"/>
        <w:rPr>
          <w:rFonts w:ascii="Times New Roman" w:hAnsi="Times New Roman" w:cs="Times New Roman"/>
          <w:sz w:val="24"/>
          <w:szCs w:val="24"/>
        </w:rPr>
      </w:pPr>
      <w:r w:rsidRPr="009C52C4">
        <w:rPr>
          <w:rFonts w:ascii="Times New Roman" w:hAnsi="Times New Roman" w:cs="Times New Roman"/>
          <w:sz w:val="24"/>
          <w:szCs w:val="24"/>
        </w:rPr>
        <w:t>v</w:t>
      </w:r>
      <w:r w:rsidR="00634901" w:rsidRPr="009C52C4">
        <w:rPr>
          <w:rFonts w:ascii="Times New Roman" w:hAnsi="Times New Roman" w:cs="Times New Roman"/>
          <w:sz w:val="24"/>
          <w:szCs w:val="24"/>
        </w:rPr>
        <w:t>rlo ograničena raspoloživa sredstva javnih potpora</w:t>
      </w:r>
    </w:p>
    <w:p w14:paraId="459A90A6" w14:textId="112D3075"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lastRenderedPageBreak/>
        <w:t>n</w:t>
      </w:r>
      <w:r w:rsidR="00634901" w:rsidRPr="009C52C4">
        <w:rPr>
          <w:rFonts w:ascii="Times New Roman" w:hAnsi="Times New Roman" w:cs="Times New Roman"/>
          <w:sz w:val="24"/>
          <w:szCs w:val="24"/>
        </w:rPr>
        <w:t>edostatak financijske sposobnosti i visok stupanj zaduženosti javnog sektora</w:t>
      </w:r>
    </w:p>
    <w:p w14:paraId="55AC1588" w14:textId="1B088BCA"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634901" w:rsidRPr="009C52C4">
        <w:rPr>
          <w:rFonts w:ascii="Times New Roman" w:hAnsi="Times New Roman" w:cs="Times New Roman"/>
          <w:sz w:val="24"/>
          <w:szCs w:val="24"/>
        </w:rPr>
        <w:t>orezni (PDV) i statistički (EUROSTAT) tretman ugovora o energetskom učinku;</w:t>
      </w:r>
    </w:p>
    <w:p w14:paraId="45C2EB75" w14:textId="611E9815" w:rsidR="00634901" w:rsidRPr="009C52C4" w:rsidRDefault="00711793" w:rsidP="00853BC8">
      <w:pPr>
        <w:numPr>
          <w:ilvl w:val="0"/>
          <w:numId w:val="12"/>
        </w:numPr>
        <w:ind w:left="714" w:hanging="356"/>
        <w:rPr>
          <w:rFonts w:ascii="Times New Roman" w:hAnsi="Times New Roman" w:cs="Times New Roman"/>
          <w:sz w:val="24"/>
          <w:szCs w:val="24"/>
        </w:rPr>
      </w:pPr>
      <w:r w:rsidRPr="009C52C4">
        <w:rPr>
          <w:rFonts w:ascii="Times New Roman" w:hAnsi="Times New Roman" w:cs="Times New Roman"/>
          <w:sz w:val="24"/>
          <w:szCs w:val="24"/>
        </w:rPr>
        <w:t>m</w:t>
      </w:r>
      <w:r w:rsidR="00634901" w:rsidRPr="009C52C4">
        <w:rPr>
          <w:rFonts w:ascii="Times New Roman" w:hAnsi="Times New Roman" w:cs="Times New Roman"/>
          <w:sz w:val="24"/>
          <w:szCs w:val="24"/>
        </w:rPr>
        <w:t>anjak adekvatnih, obnovljivih financijskih instrumenata</w:t>
      </w:r>
    </w:p>
    <w:p w14:paraId="61CFB44E" w14:textId="530AD1C7"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v</w:t>
      </w:r>
      <w:r w:rsidR="00634901" w:rsidRPr="009C52C4">
        <w:rPr>
          <w:rFonts w:ascii="Times New Roman" w:hAnsi="Times New Roman" w:cs="Times New Roman"/>
          <w:sz w:val="24"/>
          <w:szCs w:val="24"/>
        </w:rPr>
        <w:t>isok trošak kapitala zbog rizične percepcije projekata energetske obnove te manjak financijskih proizvoda namijenjenih projektnom financiranju</w:t>
      </w:r>
    </w:p>
    <w:p w14:paraId="7844F524" w14:textId="6DBD40D5"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n</w:t>
      </w:r>
      <w:r w:rsidR="00634901" w:rsidRPr="009C52C4">
        <w:rPr>
          <w:rFonts w:ascii="Times New Roman" w:hAnsi="Times New Roman" w:cs="Times New Roman"/>
          <w:sz w:val="24"/>
          <w:szCs w:val="24"/>
        </w:rPr>
        <w:t>epostojanje posebnih programa potpore za energetsku obnovu zgrada kulturne baštine</w:t>
      </w:r>
    </w:p>
    <w:p w14:paraId="087D59FF" w14:textId="786EF06F"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m</w:t>
      </w:r>
      <w:r w:rsidR="00634901" w:rsidRPr="009C52C4">
        <w:rPr>
          <w:rFonts w:ascii="Times New Roman" w:hAnsi="Times New Roman" w:cs="Times New Roman"/>
          <w:sz w:val="24"/>
          <w:szCs w:val="24"/>
        </w:rPr>
        <w:t>anjak potpornih instrumenata za velike poduzetnike</w:t>
      </w:r>
    </w:p>
    <w:p w14:paraId="4BF23F1D" w14:textId="1D12E1D9"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n</w:t>
      </w:r>
      <w:r w:rsidR="00634901" w:rsidRPr="009C52C4">
        <w:rPr>
          <w:rFonts w:ascii="Times New Roman" w:hAnsi="Times New Roman" w:cs="Times New Roman"/>
          <w:sz w:val="24"/>
          <w:szCs w:val="24"/>
        </w:rPr>
        <w:t>epostojanje poreznih olakšica za projekte energetske obnove</w:t>
      </w:r>
    </w:p>
    <w:p w14:paraId="276C0D35" w14:textId="0BC4EF09"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n</w:t>
      </w:r>
      <w:r w:rsidR="00634901" w:rsidRPr="009C52C4">
        <w:rPr>
          <w:rFonts w:ascii="Times New Roman" w:hAnsi="Times New Roman" w:cs="Times New Roman"/>
          <w:sz w:val="24"/>
          <w:szCs w:val="24"/>
        </w:rPr>
        <w:t>erazvijeno ESCO tržište</w:t>
      </w:r>
    </w:p>
    <w:p w14:paraId="774383A4" w14:textId="43B3F4E3" w:rsidR="00634901" w:rsidRPr="009C52C4" w:rsidRDefault="00711793" w:rsidP="00853BC8">
      <w:pPr>
        <w:numPr>
          <w:ilvl w:val="0"/>
          <w:numId w:val="12"/>
        </w:numPr>
        <w:ind w:hanging="359"/>
        <w:rPr>
          <w:rFonts w:ascii="Times New Roman" w:hAnsi="Times New Roman" w:cs="Times New Roman"/>
          <w:sz w:val="24"/>
          <w:szCs w:val="24"/>
        </w:rPr>
      </w:pPr>
      <w:r w:rsidRPr="009C52C4">
        <w:rPr>
          <w:rFonts w:ascii="Times New Roman" w:hAnsi="Times New Roman" w:cs="Times New Roman"/>
          <w:sz w:val="24"/>
          <w:szCs w:val="24"/>
        </w:rPr>
        <w:t>n</w:t>
      </w:r>
      <w:r w:rsidR="00634901" w:rsidRPr="009C52C4">
        <w:rPr>
          <w:rFonts w:ascii="Times New Roman" w:hAnsi="Times New Roman" w:cs="Times New Roman"/>
          <w:sz w:val="24"/>
          <w:szCs w:val="24"/>
        </w:rPr>
        <w:t xml:space="preserve">etržišne cijene energenata smanjuju isplativost projekata energetske učinkovitosti; </w:t>
      </w:r>
    </w:p>
    <w:p w14:paraId="741E1F2A" w14:textId="7BD093D9" w:rsidR="00634901" w:rsidRPr="009C52C4" w:rsidRDefault="00711793" w:rsidP="00853BC8">
      <w:pPr>
        <w:numPr>
          <w:ilvl w:val="0"/>
          <w:numId w:val="12"/>
        </w:numPr>
        <w:spacing w:after="120"/>
        <w:ind w:left="714" w:hanging="356"/>
        <w:rPr>
          <w:rFonts w:ascii="Times New Roman" w:hAnsi="Times New Roman" w:cs="Times New Roman"/>
          <w:sz w:val="24"/>
          <w:szCs w:val="24"/>
        </w:rPr>
      </w:pPr>
      <w:r w:rsidRPr="009C52C4">
        <w:rPr>
          <w:rFonts w:ascii="Times New Roman" w:hAnsi="Times New Roman" w:cs="Times New Roman"/>
          <w:sz w:val="24"/>
          <w:szCs w:val="24"/>
        </w:rPr>
        <w:t>v</w:t>
      </w:r>
      <w:r w:rsidR="00634901" w:rsidRPr="009C52C4">
        <w:rPr>
          <w:rFonts w:ascii="Times New Roman" w:hAnsi="Times New Roman" w:cs="Times New Roman"/>
          <w:sz w:val="24"/>
          <w:szCs w:val="24"/>
        </w:rPr>
        <w:t>isoka minimalna veličina projekata za korištenje EU programa tehničke pomoći za investitore iz Republike Hrvatske</w:t>
      </w:r>
    </w:p>
    <w:p w14:paraId="429E8060" w14:textId="77777777" w:rsidR="00634901"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 xml:space="preserve">Postojeće institucije i pripadajući izvori financiranja u Hrvatskoj trenutno ne posjeduju dovoljnu financijsku snagu kako bi iznijeli cjelokupnu investiciju predviđenu ovom </w:t>
      </w:r>
      <w:r w:rsidR="004F68D2" w:rsidRPr="009C52C4">
        <w:rPr>
          <w:rFonts w:ascii="Times New Roman" w:hAnsi="Times New Roman" w:cs="Times New Roman"/>
          <w:sz w:val="24"/>
          <w:szCs w:val="24"/>
        </w:rPr>
        <w:t>Dugoročnom strategijom za poticanje ulaganja u obnovu nacionalnog fonda zgrada Republike Hrvatske</w:t>
      </w:r>
      <w:r w:rsidRPr="009C52C4">
        <w:rPr>
          <w:rFonts w:ascii="Times New Roman" w:hAnsi="Times New Roman" w:cs="Times New Roman"/>
          <w:sz w:val="24"/>
          <w:szCs w:val="24"/>
        </w:rPr>
        <w:t xml:space="preserve">. Ovo posebno vrijedi za ograničena proračunska sredstva države i jedinica regionalne i lokalne samouprave koje je novim i inovativnim mehanizmima financiranja nužno rasteretiti. </w:t>
      </w:r>
    </w:p>
    <w:p w14:paraId="55AFAEED" w14:textId="77777777" w:rsidR="00D4414D" w:rsidRPr="009C52C4" w:rsidRDefault="00D4414D" w:rsidP="00D4414D">
      <w:pPr>
        <w:spacing w:after="120"/>
        <w:rPr>
          <w:rFonts w:ascii="Times New Roman" w:hAnsi="Times New Roman" w:cs="Times New Roman"/>
          <w:sz w:val="24"/>
          <w:szCs w:val="24"/>
        </w:rPr>
      </w:pPr>
      <w:r w:rsidRPr="009C52C4">
        <w:rPr>
          <w:rFonts w:ascii="Times New Roman" w:hAnsi="Times New Roman" w:cs="Times New Roman"/>
          <w:sz w:val="24"/>
          <w:szCs w:val="24"/>
        </w:rPr>
        <w:t>Komercijalni sektor vođen je načelom maksimizacije profita i konstantnim smanjenjem operativnih troškova zbog čega svoj interes u energetskoj učinkovitosti pronalazi u slučajevima kada investicije rezultiraju značajnim smanjenjem izdataka i omogućuju povrat uloženih sredstava u kratkom vremenskom okviru. Poduzetnici su u kontekstu javnih financijskih poticaja podložni ograničenjima za korištenje državnih potpora, a koje Europska komisija uvjetuje zemljama članicama Europske unije kako bi se spriječilo narušavanje konkurencije na tržištu stavljanjem u povoljniji položaj određenih gospodarskih subjekata</w:t>
      </w:r>
      <w:r w:rsidRPr="009C52C4">
        <w:rPr>
          <w:rFonts w:ascii="Times New Roman" w:hAnsi="Times New Roman" w:cs="Times New Roman"/>
          <w:sz w:val="24"/>
          <w:szCs w:val="24"/>
          <w:vertAlign w:val="superscript"/>
        </w:rPr>
        <w:footnoteReference w:id="74"/>
      </w:r>
      <w:r w:rsidRPr="009C52C4">
        <w:rPr>
          <w:rFonts w:ascii="Times New Roman" w:hAnsi="Times New Roman" w:cs="Times New Roman"/>
          <w:sz w:val="24"/>
          <w:szCs w:val="24"/>
        </w:rPr>
        <w:t xml:space="preserve">. Kako bi se ovom sektoru omogućilo korištenje javnih potpora iznad razina potpora male vrijednosti, Ministarstvo zaštite okoliša i energetike planira za energetsku obnovu komercijalnih zgrada razraditi model dodjele državne potpore usklađen s pravilima o državnim potporama uz pretpostavku da su primjenjiva pravila o općem skupnom izuzeću (engl. </w:t>
      </w:r>
      <w:r w:rsidRPr="009C52C4">
        <w:rPr>
          <w:rFonts w:ascii="Times New Roman" w:hAnsi="Times New Roman" w:cs="Times New Roman"/>
          <w:i/>
          <w:sz w:val="24"/>
          <w:szCs w:val="24"/>
        </w:rPr>
        <w:t>GBER - General Block Exemption Regulation</w:t>
      </w:r>
      <w:r w:rsidRPr="009C52C4">
        <w:rPr>
          <w:rFonts w:ascii="Times New Roman" w:hAnsi="Times New Roman" w:cs="Times New Roman"/>
          <w:sz w:val="24"/>
          <w:szCs w:val="24"/>
        </w:rPr>
        <w:t>).</w:t>
      </w:r>
    </w:p>
    <w:p w14:paraId="4FD6A1F3" w14:textId="3D300324"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Građani su posebno osjetljiva skupina krajnjih potrošača za koju je osim posebnih financijskih modela potrebno razmotriti i promotivne kampanje kako bi se podigla razina svijesti i informiranost o potrebi i koristima od investiranja u energetsku obnovu njihovih domova. Energetskom obnovom u sektoru obiteljskih kuća i višestambenih zgrada moguće se učinkovito boriti protiv rastuće opasnosti energetskog siromaštva građana zbog čega je </w:t>
      </w:r>
      <w:r w:rsidR="00711793" w:rsidRPr="009C52C4">
        <w:rPr>
          <w:rFonts w:ascii="Times New Roman" w:hAnsi="Times New Roman" w:cs="Times New Roman"/>
          <w:sz w:val="24"/>
          <w:szCs w:val="24"/>
        </w:rPr>
        <w:t>donesen Program suzbijanja energetskog siromaštva koji uključuje korištenje obnovljivih izvora energije u stambenim zgradama na potpomognutim područjima i područjima posebne državne skrbi za razdoblje 2019. – 2021. godine</w:t>
      </w:r>
    </w:p>
    <w:p w14:paraId="780FB7AC" w14:textId="77777777" w:rsidR="00B122B4" w:rsidRPr="009C52C4" w:rsidRDefault="00B122B4">
      <w:pPr>
        <w:spacing w:after="120"/>
        <w:rPr>
          <w:rFonts w:ascii="Times New Roman" w:hAnsi="Times New Roman" w:cs="Times New Roman"/>
          <w:sz w:val="24"/>
          <w:szCs w:val="24"/>
        </w:rPr>
      </w:pPr>
    </w:p>
    <w:p w14:paraId="0E063DDE" w14:textId="77777777" w:rsidR="00B122B4" w:rsidRPr="009C52C4" w:rsidRDefault="00F54CC3" w:rsidP="00AE7037">
      <w:pPr>
        <w:pStyle w:val="Heading3"/>
        <w:keepLines w:val="0"/>
        <w:numPr>
          <w:ilvl w:val="2"/>
          <w:numId w:val="1"/>
        </w:numPr>
        <w:spacing w:before="0" w:after="240" w:line="240" w:lineRule="auto"/>
        <w:ind w:left="720" w:hanging="719"/>
        <w:jc w:val="left"/>
        <w:rPr>
          <w:rFonts w:ascii="Times New Roman" w:hAnsi="Times New Roman" w:cs="Times New Roman"/>
          <w:sz w:val="24"/>
          <w:szCs w:val="24"/>
        </w:rPr>
      </w:pPr>
      <w:bookmarkStart w:id="191" w:name="h.39kk8xu" w:colFirst="0" w:colLast="0"/>
      <w:bookmarkStart w:id="192" w:name="_Toc3277930"/>
      <w:bookmarkEnd w:id="191"/>
      <w:r w:rsidRPr="009C52C4">
        <w:rPr>
          <w:rFonts w:ascii="Times New Roman" w:hAnsi="Times New Roman" w:cs="Times New Roman"/>
          <w:sz w:val="24"/>
          <w:szCs w:val="24"/>
        </w:rPr>
        <w:t>Dugoročni model financiranja energetske obnove</w:t>
      </w:r>
      <w:bookmarkEnd w:id="192"/>
    </w:p>
    <w:p w14:paraId="20803535" w14:textId="1B50C00C" w:rsidR="00384358"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 xml:space="preserve">Nedostatak povoljnih i stalno raspoloživih izvora financiranja dovodi do provedbe isključivo komercijalno isplativih projekata povećanja energetske učinkovitosti u sektoru zgradarstva. Osnivanjem posebnih programa, fondova i kreditnih linija u suradnji s europskim razvojnim </w:t>
      </w:r>
      <w:r w:rsidRPr="009C52C4">
        <w:rPr>
          <w:rFonts w:ascii="Times New Roman" w:hAnsi="Times New Roman" w:cs="Times New Roman"/>
          <w:sz w:val="24"/>
          <w:szCs w:val="24"/>
        </w:rPr>
        <w:lastRenderedPageBreak/>
        <w:t xml:space="preserve">bankama Republika Hrvatska je prepoznala važnost financijske potpore prema investitorima. Nedostatak financijskih sredstava javnog sektora uslijed nepovoljnih makroekonomskih kretanja pritom je bila ključna prepreka u široj provedbi projekata energetske učinkovitosti. Republika Hrvatska u dosadašnjoj provedbi programa poticanja energetske obnove nije na raspolaganju imala </w:t>
      </w:r>
      <w:r w:rsidR="00711793" w:rsidRPr="009C52C4">
        <w:rPr>
          <w:rFonts w:ascii="Times New Roman" w:hAnsi="Times New Roman" w:cs="Times New Roman"/>
          <w:sz w:val="24"/>
          <w:szCs w:val="24"/>
        </w:rPr>
        <w:t>f</w:t>
      </w:r>
      <w:r w:rsidRPr="009C52C4">
        <w:rPr>
          <w:rFonts w:ascii="Times New Roman" w:hAnsi="Times New Roman" w:cs="Times New Roman"/>
          <w:sz w:val="24"/>
          <w:szCs w:val="24"/>
        </w:rPr>
        <w:t xml:space="preserve">ondove Kohezijske politike i Europskih </w:t>
      </w:r>
      <w:r w:rsidR="00711793" w:rsidRPr="009C52C4">
        <w:rPr>
          <w:rFonts w:ascii="Times New Roman" w:hAnsi="Times New Roman" w:cs="Times New Roman"/>
          <w:sz w:val="24"/>
          <w:szCs w:val="24"/>
        </w:rPr>
        <w:t>s</w:t>
      </w:r>
      <w:r w:rsidRPr="009C52C4">
        <w:rPr>
          <w:rFonts w:ascii="Times New Roman" w:hAnsi="Times New Roman" w:cs="Times New Roman"/>
          <w:sz w:val="24"/>
          <w:szCs w:val="24"/>
        </w:rPr>
        <w:t xml:space="preserve">trukturnih i </w:t>
      </w:r>
      <w:r w:rsidR="00711793" w:rsidRPr="009C52C4">
        <w:rPr>
          <w:rFonts w:ascii="Times New Roman" w:hAnsi="Times New Roman" w:cs="Times New Roman"/>
          <w:sz w:val="24"/>
          <w:szCs w:val="24"/>
        </w:rPr>
        <w:t>i</w:t>
      </w:r>
      <w:r w:rsidRPr="009C52C4">
        <w:rPr>
          <w:rFonts w:ascii="Times New Roman" w:hAnsi="Times New Roman" w:cs="Times New Roman"/>
          <w:sz w:val="24"/>
          <w:szCs w:val="24"/>
        </w:rPr>
        <w:t xml:space="preserve">nvesticijskih </w:t>
      </w:r>
      <w:r w:rsidR="00711793" w:rsidRPr="009C52C4">
        <w:rPr>
          <w:rFonts w:ascii="Times New Roman" w:hAnsi="Times New Roman" w:cs="Times New Roman"/>
          <w:sz w:val="24"/>
          <w:szCs w:val="24"/>
        </w:rPr>
        <w:t>f</w:t>
      </w:r>
      <w:r w:rsidRPr="009C52C4">
        <w:rPr>
          <w:rFonts w:ascii="Times New Roman" w:hAnsi="Times New Roman" w:cs="Times New Roman"/>
          <w:sz w:val="24"/>
          <w:szCs w:val="24"/>
        </w:rPr>
        <w:t>ondova</w:t>
      </w:r>
      <w:r w:rsidRPr="009C52C4">
        <w:rPr>
          <w:rFonts w:ascii="Times New Roman" w:hAnsi="Times New Roman" w:cs="Times New Roman"/>
          <w:sz w:val="24"/>
          <w:szCs w:val="24"/>
          <w:vertAlign w:val="superscript"/>
        </w:rPr>
        <w:footnoteReference w:id="75"/>
      </w:r>
      <w:r w:rsidRPr="009C52C4">
        <w:rPr>
          <w:rFonts w:ascii="Times New Roman" w:hAnsi="Times New Roman" w:cs="Times New Roman"/>
          <w:sz w:val="24"/>
          <w:szCs w:val="24"/>
        </w:rPr>
        <w:t xml:space="preserve"> što je uvelike ograničavalo mogućnosti potpore investitora u ovom sektoru. Europska unija istodobno nalaže i omogućava zemljama članicama da provedbu svojih programa energetske obnove u sektoru zgradarstva financiraju putem ovih instrumenata. Ovo je posebno naglašeno u </w:t>
      </w:r>
      <w:r w:rsidR="00711793" w:rsidRPr="009C52C4">
        <w:rPr>
          <w:rFonts w:ascii="Times New Roman" w:hAnsi="Times New Roman" w:cs="Times New Roman"/>
          <w:sz w:val="24"/>
          <w:szCs w:val="24"/>
        </w:rPr>
        <w:t>č</w:t>
      </w:r>
      <w:r w:rsidRPr="009C52C4">
        <w:rPr>
          <w:rFonts w:ascii="Times New Roman" w:hAnsi="Times New Roman" w:cs="Times New Roman"/>
          <w:sz w:val="24"/>
          <w:szCs w:val="24"/>
        </w:rPr>
        <w:t>lanku 20. Direktive 2012/27/EU</w:t>
      </w:r>
      <w:r w:rsidR="0096324F" w:rsidRPr="009C52C4">
        <w:rPr>
          <w:rFonts w:ascii="Times New Roman" w:hAnsi="Times New Roman" w:cs="Times New Roman"/>
          <w:sz w:val="24"/>
          <w:szCs w:val="24"/>
        </w:rPr>
        <w:t xml:space="preserve"> </w:t>
      </w:r>
      <w:r w:rsidRPr="009C52C4">
        <w:rPr>
          <w:rFonts w:ascii="Times New Roman" w:hAnsi="Times New Roman" w:cs="Times New Roman"/>
          <w:sz w:val="24"/>
          <w:szCs w:val="24"/>
        </w:rPr>
        <w:t xml:space="preserve">kojom se zemlje članice poziva na osnivanje nacionalnih fondova za poticanje energetske učinkovitosti ukoliko ne postoje dovoljno snažni tržišni instrumenti za provedbu planiranih ciljeva. </w:t>
      </w:r>
    </w:p>
    <w:p w14:paraId="7185F7A3" w14:textId="660A4B11" w:rsidR="00634901"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U prethodnom višegodišnjem financijskom okviru (2007.-2013.), sredstva ESI Fondova bila su primarni izvor većine nacionalnih programa energetske obnove, a njihova uloga u novom financijskom okviru dodatno je ojačana. Europska komisija postavila je minimalnu alokaciju sredstava iz Europskog fonda za regionalni razvoj za ostvarenje Tematskog cilja 4 - Podrška prijelazu prema ekonomiji temeljenoj na niskoj razini emisije CO</w:t>
      </w:r>
      <w:r w:rsidRPr="009C52C4">
        <w:rPr>
          <w:rFonts w:ascii="Times New Roman" w:hAnsi="Times New Roman" w:cs="Times New Roman"/>
          <w:sz w:val="24"/>
          <w:szCs w:val="24"/>
          <w:vertAlign w:val="subscript"/>
        </w:rPr>
        <w:t>2</w:t>
      </w:r>
      <w:r w:rsidRPr="009C52C4">
        <w:rPr>
          <w:rFonts w:ascii="Times New Roman" w:hAnsi="Times New Roman" w:cs="Times New Roman"/>
          <w:sz w:val="24"/>
          <w:szCs w:val="24"/>
        </w:rPr>
        <w:t xml:space="preserve"> u svim sektorima, za manje razvijene članice poput Hrvatske na 12%</w:t>
      </w:r>
      <w:r w:rsidRPr="009C52C4">
        <w:rPr>
          <w:rFonts w:ascii="Times New Roman" w:hAnsi="Times New Roman" w:cs="Times New Roman"/>
          <w:sz w:val="24"/>
          <w:szCs w:val="24"/>
          <w:vertAlign w:val="superscript"/>
        </w:rPr>
        <w:footnoteReference w:id="76"/>
      </w:r>
      <w:r w:rsidRPr="009C52C4">
        <w:rPr>
          <w:rFonts w:ascii="Times New Roman" w:hAnsi="Times New Roman" w:cs="Times New Roman"/>
          <w:sz w:val="24"/>
          <w:szCs w:val="24"/>
        </w:rPr>
        <w:t xml:space="preserve">. Sredstva se putem operativnih programa moraju iskoristiti za poticanje ulaganja u energetsku obnovu fonda zgrada u javnom i privatnom sektoru, poticanje korištenja obnovljivih izvora energije, napredne energetske mreže i urbanu mobilnost. Ova sredstva predstavljaju znatan iskorak i priliku za potporu cjelovite energetske obnove nacionalnog fonda zgrada stoga se financijski mehanizmi dugoročne strategije pretežno temelje na sredstvima </w:t>
      </w:r>
      <w:r w:rsidR="00711793" w:rsidRPr="009C52C4">
        <w:rPr>
          <w:rFonts w:ascii="Times New Roman" w:hAnsi="Times New Roman" w:cs="Times New Roman"/>
          <w:sz w:val="24"/>
          <w:szCs w:val="24"/>
        </w:rPr>
        <w:t>e</w:t>
      </w:r>
      <w:r w:rsidRPr="009C52C4">
        <w:rPr>
          <w:rFonts w:ascii="Times New Roman" w:hAnsi="Times New Roman" w:cs="Times New Roman"/>
          <w:sz w:val="24"/>
          <w:szCs w:val="24"/>
        </w:rPr>
        <w:t>uropskih fondova.</w:t>
      </w:r>
    </w:p>
    <w:p w14:paraId="3B7A09B2" w14:textId="77777777" w:rsidR="00634901" w:rsidRPr="009C52C4" w:rsidRDefault="00634901" w:rsidP="00634901">
      <w:pPr>
        <w:spacing w:after="60"/>
        <w:rPr>
          <w:rFonts w:ascii="Times New Roman" w:hAnsi="Times New Roman" w:cs="Times New Roman"/>
          <w:sz w:val="24"/>
          <w:szCs w:val="24"/>
        </w:rPr>
      </w:pPr>
      <w:r w:rsidRPr="009C52C4">
        <w:rPr>
          <w:rFonts w:ascii="Times New Roman" w:hAnsi="Times New Roman" w:cs="Times New Roman"/>
          <w:sz w:val="24"/>
          <w:szCs w:val="24"/>
        </w:rPr>
        <w:t>Tijekom prethodnog financijskog okvira za korištenje ESI fondova napravljen je odmak od klasičnih instrumenata bespovratnih potpora kako bi se postigla tri cilja koja su nedostajala kod prethodnih programa. Na ovim ciljevima temelje se i dugoročni izvori financiranja Dugoročne strategije obnove nacionalnog fonda zgrada Republike Hrvatske, a njihove ključne osobine su:</w:t>
      </w:r>
    </w:p>
    <w:p w14:paraId="53D2D7A4" w14:textId="643E1E95" w:rsidR="00634901" w:rsidRPr="009C52C4" w:rsidRDefault="00711793" w:rsidP="00853BC8">
      <w:pPr>
        <w:numPr>
          <w:ilvl w:val="0"/>
          <w:numId w:val="9"/>
        </w:numPr>
        <w:ind w:left="760" w:hanging="356"/>
        <w:rPr>
          <w:rFonts w:ascii="Times New Roman" w:hAnsi="Times New Roman" w:cs="Times New Roman"/>
          <w:sz w:val="24"/>
          <w:szCs w:val="24"/>
        </w:rPr>
      </w:pPr>
      <w:r w:rsidRPr="009C52C4">
        <w:rPr>
          <w:rFonts w:ascii="Times New Roman" w:hAnsi="Times New Roman" w:cs="Times New Roman"/>
          <w:sz w:val="24"/>
          <w:szCs w:val="24"/>
        </w:rPr>
        <w:t>f</w:t>
      </w:r>
      <w:r w:rsidR="00634901" w:rsidRPr="009C52C4">
        <w:rPr>
          <w:rFonts w:ascii="Times New Roman" w:hAnsi="Times New Roman" w:cs="Times New Roman"/>
          <w:sz w:val="24"/>
          <w:szCs w:val="24"/>
        </w:rPr>
        <w:t>inancijska održivost</w:t>
      </w:r>
    </w:p>
    <w:p w14:paraId="5AA79095" w14:textId="24C9294A" w:rsidR="00634901" w:rsidRPr="009C52C4" w:rsidRDefault="00711793" w:rsidP="00853BC8">
      <w:pPr>
        <w:numPr>
          <w:ilvl w:val="0"/>
          <w:numId w:val="9"/>
        </w:numPr>
        <w:ind w:left="760" w:hanging="356"/>
        <w:rPr>
          <w:rFonts w:ascii="Times New Roman" w:hAnsi="Times New Roman" w:cs="Times New Roman"/>
          <w:sz w:val="24"/>
          <w:szCs w:val="24"/>
        </w:rPr>
      </w:pPr>
      <w:r w:rsidRPr="009C52C4">
        <w:rPr>
          <w:rFonts w:ascii="Times New Roman" w:hAnsi="Times New Roman" w:cs="Times New Roman"/>
          <w:sz w:val="24"/>
          <w:szCs w:val="24"/>
        </w:rPr>
        <w:t>r</w:t>
      </w:r>
      <w:r w:rsidR="00634901" w:rsidRPr="009C52C4">
        <w:rPr>
          <w:rFonts w:ascii="Times New Roman" w:hAnsi="Times New Roman" w:cs="Times New Roman"/>
          <w:sz w:val="24"/>
          <w:szCs w:val="24"/>
        </w:rPr>
        <w:t>acionalnost pri dodjeli bespovratnih sredstava s ciljem poticanja projekata sveobuhvatne energetske obnove, a koji ostvaruju ambiciozne energetske uštede</w:t>
      </w:r>
    </w:p>
    <w:p w14:paraId="69629472" w14:textId="7BB11763" w:rsidR="00634901" w:rsidRPr="009C52C4" w:rsidRDefault="00711793" w:rsidP="00853BC8">
      <w:pPr>
        <w:numPr>
          <w:ilvl w:val="0"/>
          <w:numId w:val="9"/>
        </w:numPr>
        <w:spacing w:after="120"/>
        <w:ind w:left="760" w:hanging="356"/>
        <w:rPr>
          <w:rFonts w:ascii="Times New Roman" w:hAnsi="Times New Roman" w:cs="Times New Roman"/>
          <w:sz w:val="24"/>
          <w:szCs w:val="24"/>
        </w:rPr>
      </w:pPr>
      <w:r w:rsidRPr="009C52C4">
        <w:rPr>
          <w:rFonts w:ascii="Times New Roman" w:hAnsi="Times New Roman" w:cs="Times New Roman"/>
          <w:sz w:val="24"/>
          <w:szCs w:val="24"/>
        </w:rPr>
        <w:t>u</w:t>
      </w:r>
      <w:r w:rsidR="00634901" w:rsidRPr="009C52C4">
        <w:rPr>
          <w:rFonts w:ascii="Times New Roman" w:hAnsi="Times New Roman" w:cs="Times New Roman"/>
          <w:sz w:val="24"/>
          <w:szCs w:val="24"/>
        </w:rPr>
        <w:t>ključenost privatnog sektora i tržišnih mehanizama u financiranje projekata</w:t>
      </w:r>
    </w:p>
    <w:p w14:paraId="05E5BDF9" w14:textId="1E64E725" w:rsidR="00D4414D" w:rsidRPr="009C52C4" w:rsidRDefault="00634901" w:rsidP="00634901">
      <w:pPr>
        <w:spacing w:after="240"/>
        <w:rPr>
          <w:rFonts w:ascii="Times New Roman" w:hAnsi="Times New Roman" w:cs="Times New Roman"/>
          <w:sz w:val="24"/>
          <w:szCs w:val="24"/>
        </w:rPr>
      </w:pPr>
      <w:r w:rsidRPr="009C52C4">
        <w:rPr>
          <w:rFonts w:ascii="Times New Roman" w:hAnsi="Times New Roman" w:cs="Times New Roman"/>
          <w:sz w:val="24"/>
          <w:szCs w:val="24"/>
        </w:rPr>
        <w:t>Uz poštivanje zahtjeva za uvođenje inovativnih i održivih financijskih instrumenata, a uzevši u obzir barijere identificirane u poglavlju 5.2.2. napravljen je pregled financijskih mjera kojima bi se pospješila provedba obnove nacionalnog fonda zgrada u razdoblju do 2050. godine (</w:t>
      </w:r>
      <w:r w:rsidR="00462D0B" w:rsidRPr="009C52C4">
        <w:rPr>
          <w:rFonts w:ascii="Times New Roman" w:hAnsi="Times New Roman" w:cs="Times New Roman"/>
          <w:sz w:val="24"/>
          <w:szCs w:val="24"/>
        </w:rPr>
        <w:fldChar w:fldCharType="begin"/>
      </w:r>
      <w:r w:rsidR="00462D0B" w:rsidRPr="009C52C4">
        <w:rPr>
          <w:rFonts w:ascii="Times New Roman" w:hAnsi="Times New Roman" w:cs="Times New Roman"/>
          <w:sz w:val="24"/>
          <w:szCs w:val="24"/>
        </w:rPr>
        <w:instrText xml:space="preserve"> REF _Ref483404407 \h </w:instrText>
      </w:r>
      <w:r w:rsidR="00873572" w:rsidRPr="009C52C4">
        <w:rPr>
          <w:rFonts w:ascii="Times New Roman" w:hAnsi="Times New Roman" w:cs="Times New Roman"/>
          <w:sz w:val="24"/>
          <w:szCs w:val="24"/>
        </w:rPr>
        <w:instrText xml:space="preserve"> \* MERGEFORMAT </w:instrText>
      </w:r>
      <w:r w:rsidR="00462D0B" w:rsidRPr="009C52C4">
        <w:rPr>
          <w:rFonts w:ascii="Times New Roman" w:hAnsi="Times New Roman" w:cs="Times New Roman"/>
          <w:sz w:val="24"/>
          <w:szCs w:val="24"/>
        </w:rPr>
      </w:r>
      <w:r w:rsidR="00462D0B" w:rsidRPr="009C52C4">
        <w:rPr>
          <w:rFonts w:ascii="Times New Roman" w:hAnsi="Times New Roman" w:cs="Times New Roman"/>
          <w:sz w:val="24"/>
          <w:szCs w:val="24"/>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5</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w:t>
      </w:r>
      <w:r w:rsidR="00462D0B" w:rsidRPr="009C52C4">
        <w:rPr>
          <w:rFonts w:ascii="Times New Roman" w:hAnsi="Times New Roman" w:cs="Times New Roman"/>
          <w:sz w:val="24"/>
          <w:szCs w:val="24"/>
        </w:rPr>
        <w:fldChar w:fldCharType="end"/>
      </w:r>
      <w:r w:rsidRPr="009C52C4">
        <w:rPr>
          <w:rFonts w:ascii="Times New Roman" w:hAnsi="Times New Roman" w:cs="Times New Roman"/>
          <w:sz w:val="24"/>
          <w:szCs w:val="24"/>
        </w:rPr>
        <w:t>).</w:t>
      </w:r>
    </w:p>
    <w:p w14:paraId="59B5A3CA" w14:textId="5640AD09" w:rsidR="006730B1" w:rsidRPr="009C52C4" w:rsidRDefault="006730B1" w:rsidP="006730B1">
      <w:pPr>
        <w:pStyle w:val="Caption"/>
        <w:rPr>
          <w:rFonts w:ascii="Times New Roman" w:hAnsi="Times New Roman" w:cs="Times New Roman"/>
          <w:sz w:val="24"/>
          <w:szCs w:val="24"/>
        </w:rPr>
      </w:pPr>
      <w:bookmarkStart w:id="193" w:name="h.1opuj5n" w:colFirst="0" w:colLast="0"/>
      <w:bookmarkStart w:id="194" w:name="_Ref483404407"/>
      <w:bookmarkStart w:id="195" w:name="_Toc2681327"/>
      <w:bookmarkEnd w:id="193"/>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194"/>
      <w:r w:rsidRPr="009C52C4">
        <w:rPr>
          <w:rFonts w:ascii="Times New Roman" w:hAnsi="Times New Roman" w:cs="Times New Roman"/>
          <w:sz w:val="24"/>
          <w:szCs w:val="24"/>
        </w:rPr>
        <w:t xml:space="preserve"> </w:t>
      </w:r>
      <w:r w:rsidRPr="009C52C4">
        <w:rPr>
          <w:rFonts w:ascii="Times New Roman" w:hAnsi="Times New Roman" w:cs="Times New Roman"/>
          <w:b w:val="0"/>
          <w:sz w:val="24"/>
          <w:szCs w:val="24"/>
        </w:rPr>
        <w:t>Dugoročne financijsko-fiskalne mjere za poticanje energetske obnove zgrada</w:t>
      </w:r>
      <w:bookmarkEnd w:id="195"/>
    </w:p>
    <w:tbl>
      <w:tblPr>
        <w:tblW w:w="91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30"/>
        <w:gridCol w:w="4447"/>
      </w:tblGrid>
      <w:tr w:rsidR="00634901" w:rsidRPr="009C52C4" w14:paraId="30731B88" w14:textId="77777777" w:rsidTr="00991EA0">
        <w:trPr>
          <w:trHeight w:val="280"/>
        </w:trPr>
        <w:tc>
          <w:tcPr>
            <w:tcW w:w="4730" w:type="dxa"/>
            <w:shd w:val="clear" w:color="auto" w:fill="EBF1DE"/>
            <w:tcMar>
              <w:left w:w="115" w:type="dxa"/>
              <w:right w:w="115" w:type="dxa"/>
            </w:tcMar>
            <w:vAlign w:val="center"/>
          </w:tcPr>
          <w:p w14:paraId="28596E47" w14:textId="77777777" w:rsidR="00634901" w:rsidRPr="009C52C4" w:rsidRDefault="00634901" w:rsidP="00634901">
            <w:pPr>
              <w:jc w:val="center"/>
              <w:rPr>
                <w:rFonts w:ascii="Times New Roman" w:hAnsi="Times New Roman" w:cs="Times New Roman"/>
                <w:sz w:val="24"/>
                <w:szCs w:val="24"/>
              </w:rPr>
            </w:pPr>
            <w:r w:rsidRPr="009C52C4">
              <w:rPr>
                <w:rFonts w:ascii="Times New Roman" w:hAnsi="Times New Roman" w:cs="Times New Roman"/>
                <w:b/>
                <w:sz w:val="24"/>
                <w:szCs w:val="24"/>
              </w:rPr>
              <w:t>Financijske mjere</w:t>
            </w:r>
          </w:p>
        </w:tc>
        <w:tc>
          <w:tcPr>
            <w:tcW w:w="4447" w:type="dxa"/>
            <w:shd w:val="clear" w:color="auto" w:fill="EBF1DE"/>
            <w:tcMar>
              <w:left w:w="115" w:type="dxa"/>
              <w:right w:w="115" w:type="dxa"/>
            </w:tcMar>
            <w:vAlign w:val="center"/>
          </w:tcPr>
          <w:p w14:paraId="09E850DE" w14:textId="77777777" w:rsidR="00634901" w:rsidRPr="009C52C4" w:rsidRDefault="00634901" w:rsidP="00634901">
            <w:pPr>
              <w:jc w:val="center"/>
              <w:rPr>
                <w:rFonts w:ascii="Times New Roman" w:hAnsi="Times New Roman" w:cs="Times New Roman"/>
                <w:sz w:val="24"/>
                <w:szCs w:val="24"/>
              </w:rPr>
            </w:pPr>
            <w:r w:rsidRPr="009C52C4">
              <w:rPr>
                <w:rFonts w:ascii="Times New Roman" w:hAnsi="Times New Roman" w:cs="Times New Roman"/>
                <w:b/>
                <w:sz w:val="24"/>
                <w:szCs w:val="24"/>
              </w:rPr>
              <w:t>Učinci na identificirane barijere</w:t>
            </w:r>
          </w:p>
        </w:tc>
      </w:tr>
      <w:tr w:rsidR="00634901" w:rsidRPr="009C52C4" w14:paraId="73BDAB1D" w14:textId="77777777" w:rsidTr="00991EA0">
        <w:trPr>
          <w:trHeight w:val="2020"/>
        </w:trPr>
        <w:tc>
          <w:tcPr>
            <w:tcW w:w="4730" w:type="dxa"/>
            <w:shd w:val="clear" w:color="auto" w:fill="FFFFFF"/>
            <w:tcMar>
              <w:left w:w="115" w:type="dxa"/>
              <w:right w:w="115" w:type="dxa"/>
            </w:tcMar>
          </w:tcPr>
          <w:p w14:paraId="4AF403CD"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lastRenderedPageBreak/>
              <w:t xml:space="preserve">Uspostava financijskih instrumenata – fonda za urbanu obnovu za projekte energetske obnove putem sredstava Europskih strukturnih i investicijskih fondova i razvojnih banaka kojima bi se ponudili dugoročni i održivi </w:t>
            </w:r>
            <w:r w:rsidR="006107D4" w:rsidRPr="009C52C4">
              <w:rPr>
                <w:rFonts w:ascii="Times New Roman" w:hAnsi="Times New Roman" w:cs="Times New Roman"/>
                <w:sz w:val="24"/>
                <w:szCs w:val="24"/>
              </w:rPr>
              <w:t>mehanizmi</w:t>
            </w:r>
            <w:r w:rsidRPr="009C52C4">
              <w:rPr>
                <w:rFonts w:ascii="Times New Roman" w:hAnsi="Times New Roman" w:cs="Times New Roman"/>
                <w:sz w:val="24"/>
                <w:szCs w:val="24"/>
              </w:rPr>
              <w:t xml:space="preserve"> financiranja (zajmovi, garancije, equity) za korisnike iz javnog i privatnog sektora</w:t>
            </w:r>
          </w:p>
        </w:tc>
        <w:tc>
          <w:tcPr>
            <w:tcW w:w="4447" w:type="dxa"/>
            <w:shd w:val="clear" w:color="auto" w:fill="FFFFFF"/>
            <w:tcMar>
              <w:left w:w="115" w:type="dxa"/>
              <w:right w:w="115" w:type="dxa"/>
            </w:tcMar>
          </w:tcPr>
          <w:p w14:paraId="0E42AFAF" w14:textId="3707613D"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 xml:space="preserve">Osigurana stalna raspoloživost sredstava neovisno o proračunskim sredstvima države i jedinica </w:t>
            </w:r>
            <w:r w:rsidR="00711793" w:rsidRPr="009C52C4">
              <w:rPr>
                <w:rFonts w:ascii="Times New Roman" w:hAnsi="Times New Roman" w:cs="Times New Roman"/>
                <w:sz w:val="24"/>
                <w:szCs w:val="24"/>
              </w:rPr>
              <w:t>lokalne i područne (regionalne) samouprave</w:t>
            </w:r>
          </w:p>
          <w:p w14:paraId="2F5A88BE"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Uključivanje komercijalnih financijskih institucija i mobilizacija većeg obujma privatnog kapitala.</w:t>
            </w:r>
          </w:p>
          <w:p w14:paraId="3F3CB565"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Smanjenje rizika plasmana sredstava u projekte energetske obnove za financijske institucije.</w:t>
            </w:r>
          </w:p>
          <w:p w14:paraId="1707AB67"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Mogućnost ostvarivanja bespovratnih sredstava za povećanje isplativosti ambicioznih i inovativnih projekata.</w:t>
            </w:r>
          </w:p>
          <w:p w14:paraId="1C473B61"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Olakšani pristup kapitalu i niži troškovi financiranja za pružatelje energetskih usluga i projekte javno-privatnog partnerstva.</w:t>
            </w:r>
          </w:p>
        </w:tc>
      </w:tr>
      <w:tr w:rsidR="00634901" w:rsidRPr="009C52C4" w14:paraId="3EDC9A51" w14:textId="77777777" w:rsidTr="00991EA0">
        <w:trPr>
          <w:trHeight w:val="1520"/>
        </w:trPr>
        <w:tc>
          <w:tcPr>
            <w:tcW w:w="4730" w:type="dxa"/>
            <w:shd w:val="clear" w:color="auto" w:fill="FFFFFF"/>
            <w:tcMar>
              <w:left w:w="115" w:type="dxa"/>
              <w:right w:w="115" w:type="dxa"/>
            </w:tcMar>
          </w:tcPr>
          <w:p w14:paraId="4E5A5E30"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Daljnja provedba Programa energetske obnove zgrada javnog sektora </w:t>
            </w:r>
          </w:p>
        </w:tc>
        <w:tc>
          <w:tcPr>
            <w:tcW w:w="4447" w:type="dxa"/>
            <w:shd w:val="clear" w:color="auto" w:fill="FFFFFF"/>
            <w:tcMar>
              <w:left w:w="115" w:type="dxa"/>
              <w:right w:w="115" w:type="dxa"/>
            </w:tcMar>
          </w:tcPr>
          <w:p w14:paraId="7BDC2B94"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Poticanje razvoja tržišta energetskih usluga.</w:t>
            </w:r>
          </w:p>
          <w:p w14:paraId="4880CC4B"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Smanjenje opterećenja proračuna korisnika iz javnog sektora uslijed izbjegavanja dodatnog kreditnog zaduživanja.</w:t>
            </w:r>
          </w:p>
          <w:p w14:paraId="102A3915"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Angažman financijskih sredstava i kapaciteta privatnog sektora.</w:t>
            </w:r>
          </w:p>
        </w:tc>
      </w:tr>
      <w:tr w:rsidR="00634901" w:rsidRPr="009C52C4" w14:paraId="5D592B2D" w14:textId="77777777" w:rsidTr="00991EA0">
        <w:trPr>
          <w:trHeight w:val="760"/>
        </w:trPr>
        <w:tc>
          <w:tcPr>
            <w:tcW w:w="4730" w:type="dxa"/>
            <w:shd w:val="clear" w:color="auto" w:fill="FFFFFF"/>
            <w:tcMar>
              <w:left w:w="115" w:type="dxa"/>
              <w:right w:w="115" w:type="dxa"/>
            </w:tcMar>
          </w:tcPr>
          <w:p w14:paraId="3018FE67"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Uspostava posebnog potpornog programa za sufinanciranje energetske obnove zgrada zaštićene kulturne baštine</w:t>
            </w:r>
          </w:p>
        </w:tc>
        <w:tc>
          <w:tcPr>
            <w:tcW w:w="4447" w:type="dxa"/>
            <w:shd w:val="clear" w:color="auto" w:fill="FFFFFF"/>
            <w:tcMar>
              <w:left w:w="115" w:type="dxa"/>
              <w:right w:w="115" w:type="dxa"/>
            </w:tcMar>
          </w:tcPr>
          <w:p w14:paraId="49E47B40"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Poticanje energetske obnove zgrada kulturne baštine koje ostvaruju visok ekonomski povrat (ERR) i nizak financijski povrat (IRR).</w:t>
            </w:r>
          </w:p>
        </w:tc>
      </w:tr>
      <w:tr w:rsidR="00634901" w:rsidRPr="009C52C4" w14:paraId="3D5D4516" w14:textId="77777777" w:rsidTr="00991EA0">
        <w:trPr>
          <w:trHeight w:val="1000"/>
        </w:trPr>
        <w:tc>
          <w:tcPr>
            <w:tcW w:w="4730" w:type="dxa"/>
            <w:shd w:val="clear" w:color="auto" w:fill="FFFFFF"/>
            <w:tcMar>
              <w:left w:w="115" w:type="dxa"/>
              <w:right w:w="115" w:type="dxa"/>
            </w:tcMar>
          </w:tcPr>
          <w:p w14:paraId="40DA50E3"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Uspostava posebnog instrumenta za sufinanciranje tehničke pripreme projekata </w:t>
            </w:r>
          </w:p>
        </w:tc>
        <w:tc>
          <w:tcPr>
            <w:tcW w:w="4447" w:type="dxa"/>
            <w:shd w:val="clear" w:color="auto" w:fill="FFFFFF"/>
            <w:tcMar>
              <w:left w:w="115" w:type="dxa"/>
              <w:right w:w="115" w:type="dxa"/>
            </w:tcMar>
          </w:tcPr>
          <w:p w14:paraId="125DF1C1"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Izbjegavanje visokih razvojnih troškova projekata.</w:t>
            </w:r>
          </w:p>
          <w:p w14:paraId="3910320F"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Stvaranje baze projekata spremnih za financiranje i provedbu.</w:t>
            </w:r>
          </w:p>
        </w:tc>
      </w:tr>
      <w:tr w:rsidR="00634901" w:rsidRPr="009C52C4" w14:paraId="5CDF34F7" w14:textId="77777777" w:rsidTr="00991EA0">
        <w:trPr>
          <w:trHeight w:val="1000"/>
        </w:trPr>
        <w:tc>
          <w:tcPr>
            <w:tcW w:w="4730" w:type="dxa"/>
            <w:shd w:val="clear" w:color="auto" w:fill="FFFFFF"/>
            <w:tcMar>
              <w:left w:w="115" w:type="dxa"/>
              <w:right w:w="115" w:type="dxa"/>
            </w:tcMar>
          </w:tcPr>
          <w:p w14:paraId="3E303C74"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Uvođenje zakonske odredbe kojom se putem sustava doprinosa obveza provedbe projekata energetske učinkovitosti za velike poduzetnike prebacuje na opskrbljivače energije</w:t>
            </w:r>
          </w:p>
        </w:tc>
        <w:tc>
          <w:tcPr>
            <w:tcW w:w="4447" w:type="dxa"/>
            <w:shd w:val="clear" w:color="auto" w:fill="FFFFFF"/>
            <w:tcMar>
              <w:left w:w="115" w:type="dxa"/>
              <w:right w:w="115" w:type="dxa"/>
            </w:tcMar>
          </w:tcPr>
          <w:p w14:paraId="5B8BF15A"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Osigurani izvori bespovratnih sredstava za velike poduzetnike kojima iznosi državnih potpora nisu dovoljni.</w:t>
            </w:r>
          </w:p>
          <w:p w14:paraId="22B6E0EA"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Rasterećenje financijskih i ljudskih kapaciteta javnih institucija.</w:t>
            </w:r>
          </w:p>
        </w:tc>
      </w:tr>
      <w:tr w:rsidR="00634901" w:rsidRPr="009C52C4" w14:paraId="32D2BEB5" w14:textId="77777777" w:rsidTr="00991EA0">
        <w:trPr>
          <w:trHeight w:val="760"/>
        </w:trPr>
        <w:tc>
          <w:tcPr>
            <w:tcW w:w="4730" w:type="dxa"/>
            <w:shd w:val="clear" w:color="auto" w:fill="FFFFFF"/>
            <w:tcMar>
              <w:left w:w="115" w:type="dxa"/>
              <w:right w:w="115" w:type="dxa"/>
            </w:tcMar>
          </w:tcPr>
          <w:p w14:paraId="79FFDE44" w14:textId="77777777" w:rsidR="00634901" w:rsidRPr="009C52C4" w:rsidRDefault="00634901" w:rsidP="00634901">
            <w:pPr>
              <w:rPr>
                <w:rFonts w:ascii="Times New Roman" w:hAnsi="Times New Roman" w:cs="Times New Roman"/>
                <w:sz w:val="24"/>
                <w:szCs w:val="24"/>
              </w:rPr>
            </w:pPr>
            <w:r w:rsidRPr="009C52C4">
              <w:rPr>
                <w:rFonts w:ascii="Times New Roman" w:hAnsi="Times New Roman" w:cs="Times New Roman"/>
                <w:sz w:val="24"/>
                <w:szCs w:val="24"/>
              </w:rPr>
              <w:t xml:space="preserve">Uspostava sustava poreznih olakšica za ulaganja u energetsku obnovu i viših poreznih stopa na nekretnine za posebno neučinkovite zgrade </w:t>
            </w:r>
          </w:p>
        </w:tc>
        <w:tc>
          <w:tcPr>
            <w:tcW w:w="4447" w:type="dxa"/>
            <w:shd w:val="clear" w:color="auto" w:fill="FFFFFF"/>
            <w:tcMar>
              <w:left w:w="115" w:type="dxa"/>
              <w:right w:w="115" w:type="dxa"/>
            </w:tcMar>
          </w:tcPr>
          <w:p w14:paraId="67FEBE2D" w14:textId="77777777" w:rsidR="00634901" w:rsidRPr="009C52C4" w:rsidRDefault="00634901" w:rsidP="004F09F1">
            <w:pPr>
              <w:numPr>
                <w:ilvl w:val="0"/>
                <w:numId w:val="38"/>
              </w:numPr>
              <w:ind w:left="372" w:hanging="372"/>
              <w:contextualSpacing/>
              <w:rPr>
                <w:rFonts w:ascii="Times New Roman" w:hAnsi="Times New Roman" w:cs="Times New Roman"/>
                <w:sz w:val="24"/>
                <w:szCs w:val="24"/>
              </w:rPr>
            </w:pPr>
            <w:r w:rsidRPr="009C52C4">
              <w:rPr>
                <w:rFonts w:ascii="Times New Roman" w:hAnsi="Times New Roman" w:cs="Times New Roman"/>
                <w:sz w:val="24"/>
                <w:szCs w:val="24"/>
              </w:rPr>
              <w:t>Poticanje ulaganja u obnovu neučinkovitih zgrada.</w:t>
            </w:r>
          </w:p>
        </w:tc>
      </w:tr>
    </w:tbl>
    <w:p w14:paraId="59EAF0FB" w14:textId="77777777" w:rsidR="00634901" w:rsidRPr="009C52C4" w:rsidRDefault="00634901" w:rsidP="00634901">
      <w:pPr>
        <w:rPr>
          <w:rFonts w:ascii="Times New Roman" w:hAnsi="Times New Roman" w:cs="Times New Roman"/>
          <w:sz w:val="24"/>
          <w:szCs w:val="24"/>
        </w:rPr>
      </w:pPr>
    </w:p>
    <w:p w14:paraId="252BB51C" w14:textId="338C2DA4" w:rsidR="00634901"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 xml:space="preserve">Optimalni financijski model kojim će se poduprijeti provedba ciljeva </w:t>
      </w:r>
      <w:r w:rsidR="004F68D2" w:rsidRPr="009C52C4">
        <w:rPr>
          <w:rFonts w:ascii="Times New Roman" w:hAnsi="Times New Roman" w:cs="Times New Roman"/>
          <w:sz w:val="24"/>
          <w:szCs w:val="24"/>
        </w:rPr>
        <w:t xml:space="preserve">Dugoročne strategije za poticanje ulaganja u obnovu nacionalnog fonda zgrada Republike Hrvatske </w:t>
      </w:r>
      <w:r w:rsidRPr="009C52C4">
        <w:rPr>
          <w:rFonts w:ascii="Times New Roman" w:hAnsi="Times New Roman" w:cs="Times New Roman"/>
          <w:sz w:val="24"/>
          <w:szCs w:val="24"/>
        </w:rPr>
        <w:t>složeni je paket financijskih i fiskalnih mehanizama koji kombinira tržišne i javne instrumente. Država pritom svojim djelovanjem mora osigurati maksimalnu učinkovitost korištenja javnih sredstava na način da se dodjelom bespovratnih sredstava izbjegne istiskivanje privatnih investicija kod projekata komercijalne prirode.</w:t>
      </w:r>
    </w:p>
    <w:p w14:paraId="18CFCA8A" w14:textId="77777777" w:rsidR="00B122B4" w:rsidRPr="009C52C4" w:rsidRDefault="00B122B4">
      <w:pPr>
        <w:jc w:val="left"/>
        <w:rPr>
          <w:rFonts w:ascii="Times New Roman" w:hAnsi="Times New Roman" w:cs="Times New Roman"/>
          <w:sz w:val="24"/>
          <w:szCs w:val="24"/>
        </w:rPr>
      </w:pPr>
    </w:p>
    <w:p w14:paraId="7699E207" w14:textId="77777777" w:rsidR="00CB0DFB" w:rsidRPr="009C52C4" w:rsidRDefault="00CB0DFB">
      <w:pPr>
        <w:rPr>
          <w:rFonts w:ascii="Times New Roman" w:hAnsi="Times New Roman" w:cs="Times New Roman"/>
          <w:b/>
          <w:sz w:val="24"/>
          <w:szCs w:val="24"/>
        </w:rPr>
      </w:pPr>
      <w:bookmarkStart w:id="196" w:name="h.48pi1tg" w:colFirst="0" w:colLast="0"/>
      <w:bookmarkEnd w:id="196"/>
      <w:r w:rsidRPr="009C52C4">
        <w:rPr>
          <w:rFonts w:ascii="Times New Roman" w:hAnsi="Times New Roman" w:cs="Times New Roman"/>
          <w:sz w:val="24"/>
          <w:szCs w:val="24"/>
        </w:rPr>
        <w:br w:type="page"/>
      </w:r>
    </w:p>
    <w:p w14:paraId="088114D7" w14:textId="77777777" w:rsidR="00B122B4" w:rsidRPr="009C52C4" w:rsidRDefault="00F54CC3" w:rsidP="00AE7037">
      <w:pPr>
        <w:pStyle w:val="Heading2"/>
        <w:numPr>
          <w:ilvl w:val="1"/>
          <w:numId w:val="1"/>
        </w:numPr>
        <w:ind w:hanging="719"/>
        <w:rPr>
          <w:rFonts w:ascii="Times New Roman" w:hAnsi="Times New Roman" w:cs="Times New Roman"/>
          <w:sz w:val="24"/>
          <w:szCs w:val="24"/>
        </w:rPr>
      </w:pPr>
      <w:bookmarkStart w:id="197" w:name="_Toc3277931"/>
      <w:r w:rsidRPr="009C52C4">
        <w:rPr>
          <w:rFonts w:ascii="Times New Roman" w:hAnsi="Times New Roman" w:cs="Times New Roman"/>
          <w:sz w:val="24"/>
          <w:szCs w:val="24"/>
        </w:rPr>
        <w:lastRenderedPageBreak/>
        <w:t>Načini da se investicije u energetsku obnovu učine atraktivnijima za banke i privatne investitore</w:t>
      </w:r>
      <w:bookmarkEnd w:id="197"/>
    </w:p>
    <w:p w14:paraId="5B093DF7" w14:textId="77777777" w:rsidR="00B122B4" w:rsidRPr="009C52C4" w:rsidRDefault="00B122B4">
      <w:pPr>
        <w:rPr>
          <w:rFonts w:ascii="Times New Roman" w:hAnsi="Times New Roman" w:cs="Times New Roman"/>
          <w:sz w:val="24"/>
          <w:szCs w:val="24"/>
        </w:rPr>
      </w:pPr>
    </w:p>
    <w:p w14:paraId="0C9B1FF9" w14:textId="77777777" w:rsidR="00634901" w:rsidRPr="009C52C4" w:rsidRDefault="004F68D2" w:rsidP="00634901">
      <w:pPr>
        <w:spacing w:after="120"/>
        <w:rPr>
          <w:rFonts w:ascii="Times New Roman" w:hAnsi="Times New Roman" w:cs="Times New Roman"/>
          <w:sz w:val="24"/>
          <w:szCs w:val="24"/>
        </w:rPr>
      </w:pPr>
      <w:r w:rsidRPr="009C52C4">
        <w:rPr>
          <w:rFonts w:ascii="Times New Roman" w:hAnsi="Times New Roman" w:cs="Times New Roman"/>
          <w:sz w:val="24"/>
          <w:szCs w:val="24"/>
        </w:rPr>
        <w:t>Dugoročna strategija za poticanje ulaganja u obnovu nacionalnog fonda zgrada Republike Hrvatske</w:t>
      </w:r>
      <w:r w:rsidR="00634901" w:rsidRPr="009C52C4">
        <w:rPr>
          <w:rFonts w:ascii="Times New Roman" w:hAnsi="Times New Roman" w:cs="Times New Roman"/>
          <w:sz w:val="24"/>
          <w:szCs w:val="24"/>
        </w:rPr>
        <w:t xml:space="preserve"> ima za cilj osigurati dugoročno uklanjanje prepreka privatnom investiranju u energetski sektor i to naputcima za stvaranje jasnog, nedvosmislenog i stabilnog zakonskog i administrativnog okvira koji će biti poticajan za poduzimanje ulaganja u energetsku obnovu zgrada i koji će smanjivati stupanj neizvjesnosti s kojom se privatni ulagači suočavaju. Ulaganja u energetski sektor potrebno je zbog visine ulaganja, dugoročnog karaktera i osjetljivosti ishoda kod značajnih kretanja tržišnih cijena energije dodatno ohrabrivati kako bi se ova ulaganja učinila atraktivnima za investitore. To može uključivati i pravodobno informiranje svih relevantnih dionika o financijskim i pravnim okvirima te široku razmjenu najbolje prakse na svim razinama. </w:t>
      </w:r>
    </w:p>
    <w:p w14:paraId="362654DF" w14:textId="77777777" w:rsidR="00634901" w:rsidRPr="009C52C4" w:rsidRDefault="00634901" w:rsidP="00634901">
      <w:pPr>
        <w:spacing w:after="120"/>
        <w:rPr>
          <w:rFonts w:ascii="Times New Roman" w:hAnsi="Times New Roman" w:cs="Times New Roman"/>
          <w:sz w:val="24"/>
          <w:szCs w:val="24"/>
        </w:rPr>
      </w:pPr>
      <w:r w:rsidRPr="009C52C4">
        <w:rPr>
          <w:rFonts w:ascii="Times New Roman" w:hAnsi="Times New Roman" w:cs="Times New Roman"/>
          <w:sz w:val="24"/>
          <w:szCs w:val="24"/>
        </w:rPr>
        <w:t xml:space="preserve">Financijske institucije ključan su dionik u strateškoj obnovi nacionalnog fonda zgrada iz razloga što javni sektor nema financijsku snagu da sam podrži provedbu svih planiranih mjera. Angažman privatnih investitora i banaka u projektima energetske učinkovitosti u prošlosti je bio minimalan i ograničen na komercijalne projekte. Projekti energetske obnove ne stvaraju direktne novčane primitke već utječu na smanjenje postojećih troškova. Ove financijske koristi podložnije su tehničkom riziku i ponašanju korisnika te su razlog zbog kojeg su banke bile manje sklone financirati ovaj tip projekata ili uz zahtijevanje visokih kamatnih stopa i velikih jamstava. Uklanjanje i premošćivanje ovih rizika, kao i nepovjerenja prema ESCO modelu financiranja ključan je preduvjet za intenzivnije uključivanje financijskih institucija, pri čemu država posjeduje mehanizme kojima se to može omogućiti. Određeni napredak u dosadašnjem radu ipak je postignut intervencijom europskih razvojnih banaka (EBRD i EIB) kojom su u suradnji s domaćim razvojnim i komercijalnim bankama uspostavljene linije kreditiranja za projekte održive energije te jačanje kapaciteta financijskih institucija prilikom ocjenjivanja i strukturiranja projekata. </w:t>
      </w:r>
    </w:p>
    <w:p w14:paraId="7792B870" w14:textId="471F6882" w:rsidR="00634901" w:rsidRPr="009C52C4" w:rsidRDefault="00634901" w:rsidP="00CB0DFB">
      <w:pPr>
        <w:rPr>
          <w:rFonts w:ascii="Times New Roman" w:hAnsi="Times New Roman" w:cs="Times New Roman"/>
          <w:sz w:val="24"/>
          <w:szCs w:val="24"/>
        </w:rPr>
      </w:pPr>
      <w:r w:rsidRPr="009C52C4">
        <w:rPr>
          <w:rFonts w:ascii="Times New Roman" w:hAnsi="Times New Roman" w:cs="Times New Roman"/>
          <w:sz w:val="24"/>
          <w:szCs w:val="24"/>
        </w:rPr>
        <w:t>Privatnim investitorima, odnosno pružateljima energetskih usluga najveću barijeru predstavlja ograničen pristup povoljnim izvorima financiranja. Nedostatak podrške financijskih institucija u obliku dugoročnih povlaštenih zajmova, garancija i projektnog financiranja uzrokovao je vrlo visoku cijenu ESCO projekata i posljedičnu nesklonost investitora za odabir ovog</w:t>
      </w:r>
      <w:r w:rsidR="006E3ED8" w:rsidRPr="009C52C4">
        <w:rPr>
          <w:rFonts w:ascii="Times New Roman" w:hAnsi="Times New Roman" w:cs="Times New Roman"/>
          <w:sz w:val="24"/>
          <w:szCs w:val="24"/>
        </w:rPr>
        <w:t>a</w:t>
      </w:r>
      <w:r w:rsidRPr="009C52C4">
        <w:rPr>
          <w:rFonts w:ascii="Times New Roman" w:hAnsi="Times New Roman" w:cs="Times New Roman"/>
          <w:sz w:val="24"/>
          <w:szCs w:val="24"/>
        </w:rPr>
        <w:t xml:space="preserve"> modela.</w:t>
      </w:r>
      <w:r w:rsidR="004C3066" w:rsidRPr="009C52C4">
        <w:rPr>
          <w:rFonts w:ascii="Times New Roman" w:hAnsi="Times New Roman" w:cs="Times New Roman"/>
          <w:sz w:val="24"/>
          <w:szCs w:val="24"/>
        </w:rPr>
        <w:t xml:space="preserve"> Kohezijska politika Europske unije nalaže da se provedba projekata održive energije provede s većim sudjelovanjem privatnih investitora. </w:t>
      </w:r>
      <w:r w:rsidRPr="009C52C4">
        <w:rPr>
          <w:rFonts w:ascii="Times New Roman" w:hAnsi="Times New Roman" w:cs="Times New Roman"/>
          <w:sz w:val="24"/>
          <w:szCs w:val="24"/>
        </w:rPr>
        <w:t>Javne potpore pritom moraju zauzeti ulogu komplementarnih financijskih sredstava koja će mobilizirati sredstva privatnih investitora na način da ih učini atraktivnijima za njihovo uključivanje u financiranje obnove. Ovaj cilj moguće je postići uvođenjem sljedećih financijskih i regulatornih mehanizama:</w:t>
      </w:r>
    </w:p>
    <w:p w14:paraId="52BAA130" w14:textId="6DD71132" w:rsidR="00634901" w:rsidRPr="009C52C4" w:rsidRDefault="006E3ED8" w:rsidP="00853BC8">
      <w:pPr>
        <w:numPr>
          <w:ilvl w:val="0"/>
          <w:numId w:val="11"/>
        </w:numPr>
        <w:ind w:left="714" w:hanging="356"/>
        <w:rPr>
          <w:rFonts w:ascii="Times New Roman" w:hAnsi="Times New Roman" w:cs="Times New Roman"/>
          <w:color w:val="auto"/>
          <w:sz w:val="24"/>
          <w:szCs w:val="24"/>
        </w:rPr>
      </w:pPr>
      <w:r w:rsidRPr="009C52C4">
        <w:rPr>
          <w:rFonts w:ascii="Times New Roman" w:hAnsi="Times New Roman" w:cs="Times New Roman"/>
          <w:color w:val="auto"/>
          <w:sz w:val="24"/>
          <w:szCs w:val="24"/>
        </w:rPr>
        <w:t>o</w:t>
      </w:r>
      <w:r w:rsidR="00634901" w:rsidRPr="009C52C4">
        <w:rPr>
          <w:rFonts w:ascii="Times New Roman" w:hAnsi="Times New Roman" w:cs="Times New Roman"/>
          <w:color w:val="auto"/>
          <w:sz w:val="24"/>
          <w:szCs w:val="24"/>
        </w:rPr>
        <w:t>snivanjem nacionalnog revolving fonda preusmjeravanjem sredstava ESI fondova, pružateljima energetske usluge omogućit će se pristup dugoročnom izvoru financiranja uz tržišno povoljnije uvjete, a bankama mogućnost plasiranja sredstava kroz fond</w:t>
      </w:r>
    </w:p>
    <w:p w14:paraId="5CC69C0E" w14:textId="285356EA" w:rsidR="00634901" w:rsidRPr="009C52C4" w:rsidRDefault="006E3ED8" w:rsidP="00853BC8">
      <w:pPr>
        <w:numPr>
          <w:ilvl w:val="0"/>
          <w:numId w:val="11"/>
        </w:numPr>
        <w:ind w:hanging="359"/>
        <w:rPr>
          <w:rFonts w:ascii="Times New Roman" w:hAnsi="Times New Roman" w:cs="Times New Roman"/>
          <w:sz w:val="24"/>
          <w:szCs w:val="24"/>
        </w:rPr>
      </w:pPr>
      <w:r w:rsidRPr="009C52C4">
        <w:rPr>
          <w:rFonts w:ascii="Times New Roman" w:hAnsi="Times New Roman" w:cs="Times New Roman"/>
          <w:sz w:val="24"/>
          <w:szCs w:val="24"/>
        </w:rPr>
        <w:t>u</w:t>
      </w:r>
      <w:r w:rsidR="00634901" w:rsidRPr="009C52C4">
        <w:rPr>
          <w:rFonts w:ascii="Times New Roman" w:hAnsi="Times New Roman" w:cs="Times New Roman"/>
          <w:sz w:val="24"/>
          <w:szCs w:val="24"/>
        </w:rPr>
        <w:t>vođenjem posebnih garantnih instrumenata smanjit će se rizičnost plasmana sredstava privatnih investitora</w:t>
      </w:r>
    </w:p>
    <w:p w14:paraId="4A5DBB53" w14:textId="1708C045" w:rsidR="00634901" w:rsidRPr="009C52C4" w:rsidRDefault="006E3ED8" w:rsidP="00853BC8">
      <w:pPr>
        <w:numPr>
          <w:ilvl w:val="0"/>
          <w:numId w:val="11"/>
        </w:numPr>
        <w:ind w:left="714" w:hanging="356"/>
        <w:rPr>
          <w:rFonts w:ascii="Times New Roman" w:hAnsi="Times New Roman" w:cs="Times New Roman"/>
          <w:sz w:val="24"/>
          <w:szCs w:val="24"/>
        </w:rPr>
      </w:pPr>
      <w:r w:rsidRPr="009C52C4">
        <w:rPr>
          <w:rFonts w:ascii="Times New Roman" w:hAnsi="Times New Roman" w:cs="Times New Roman"/>
          <w:sz w:val="24"/>
          <w:szCs w:val="24"/>
        </w:rPr>
        <w:t>s</w:t>
      </w:r>
      <w:r w:rsidR="00634901" w:rsidRPr="009C52C4">
        <w:rPr>
          <w:rFonts w:ascii="Times New Roman" w:hAnsi="Times New Roman" w:cs="Times New Roman"/>
          <w:sz w:val="24"/>
          <w:szCs w:val="24"/>
        </w:rPr>
        <w:t>ubvencioniranjem kamata komercijalnih kredita omogućit će se plasman financijskih sredstava komercijalnih banaka u energetsku obnovu zgrada</w:t>
      </w:r>
    </w:p>
    <w:p w14:paraId="08E82AC2" w14:textId="4D262233" w:rsidR="00634901" w:rsidRPr="009C52C4" w:rsidRDefault="006E3ED8" w:rsidP="00853BC8">
      <w:pPr>
        <w:numPr>
          <w:ilvl w:val="0"/>
          <w:numId w:val="11"/>
        </w:numPr>
        <w:ind w:hanging="359"/>
        <w:rPr>
          <w:rFonts w:ascii="Times New Roman" w:hAnsi="Times New Roman" w:cs="Times New Roman"/>
          <w:sz w:val="24"/>
          <w:szCs w:val="24"/>
        </w:rPr>
      </w:pPr>
      <w:r w:rsidRPr="009C52C4">
        <w:rPr>
          <w:rFonts w:ascii="Times New Roman" w:hAnsi="Times New Roman" w:cs="Times New Roman"/>
          <w:sz w:val="24"/>
          <w:szCs w:val="24"/>
        </w:rPr>
        <w:t>p</w:t>
      </w:r>
      <w:r w:rsidR="00634901" w:rsidRPr="009C52C4">
        <w:rPr>
          <w:rFonts w:ascii="Times New Roman" w:hAnsi="Times New Roman" w:cs="Times New Roman"/>
          <w:sz w:val="24"/>
          <w:szCs w:val="24"/>
        </w:rPr>
        <w:t>romicanje razvoja tržišta energetskih usluga putem provedbe Programa obnove zgrada javne namjene</w:t>
      </w:r>
    </w:p>
    <w:p w14:paraId="4DBD1284" w14:textId="4DCF9383" w:rsidR="00634901" w:rsidRPr="009C52C4" w:rsidRDefault="006E3ED8" w:rsidP="00853BC8">
      <w:pPr>
        <w:numPr>
          <w:ilvl w:val="0"/>
          <w:numId w:val="11"/>
        </w:numPr>
        <w:ind w:hanging="359"/>
        <w:rPr>
          <w:rFonts w:ascii="Times New Roman" w:hAnsi="Times New Roman" w:cs="Times New Roman"/>
          <w:sz w:val="24"/>
          <w:szCs w:val="24"/>
        </w:rPr>
      </w:pPr>
      <w:r w:rsidRPr="009C52C4">
        <w:rPr>
          <w:rFonts w:ascii="Times New Roman" w:hAnsi="Times New Roman" w:cs="Times New Roman"/>
          <w:sz w:val="24"/>
          <w:szCs w:val="24"/>
        </w:rPr>
        <w:t>r</w:t>
      </w:r>
      <w:r w:rsidR="00634901" w:rsidRPr="009C52C4">
        <w:rPr>
          <w:rFonts w:ascii="Times New Roman" w:hAnsi="Times New Roman" w:cs="Times New Roman"/>
          <w:sz w:val="24"/>
          <w:szCs w:val="24"/>
        </w:rPr>
        <w:t>azvoj tipiziranih ugovora o energetskom učinku te standardiziranih metoda za mjerenje i verifikaciju energetskih ušteda koje će povećati povjerenje korisnika i financijskih institucija u ESCO model</w:t>
      </w:r>
    </w:p>
    <w:p w14:paraId="697C3B13" w14:textId="6EBBAF1C" w:rsidR="00B122B4" w:rsidRPr="009C52C4" w:rsidRDefault="00634901" w:rsidP="00CB0DFB">
      <w:pPr>
        <w:spacing w:after="120"/>
        <w:rPr>
          <w:rFonts w:ascii="Times New Roman" w:hAnsi="Times New Roman" w:cs="Times New Roman"/>
          <w:sz w:val="24"/>
          <w:szCs w:val="24"/>
        </w:rPr>
      </w:pPr>
      <w:r w:rsidRPr="009C52C4">
        <w:rPr>
          <w:rFonts w:ascii="Times New Roman" w:hAnsi="Times New Roman" w:cs="Times New Roman"/>
          <w:sz w:val="24"/>
          <w:szCs w:val="24"/>
        </w:rPr>
        <w:lastRenderedPageBreak/>
        <w:t>Osim intervencija na strani ponude važno je poraditi i na strani povećanja potražnje za uslugama financiranja projekata energetske učinkovitosti putem promotivnih i informativnih kampanja kako bi se povećala svijest korisnika o postojanju povoljnih izvora financiranja. Mnoge banke u Hrvatskoj prepoznale su važnost ovog</w:t>
      </w:r>
      <w:r w:rsidR="006E3ED8" w:rsidRPr="009C52C4">
        <w:rPr>
          <w:rFonts w:ascii="Times New Roman" w:hAnsi="Times New Roman" w:cs="Times New Roman"/>
          <w:sz w:val="24"/>
          <w:szCs w:val="24"/>
        </w:rPr>
        <w:t>a</w:t>
      </w:r>
      <w:r w:rsidRPr="009C52C4">
        <w:rPr>
          <w:rFonts w:ascii="Times New Roman" w:hAnsi="Times New Roman" w:cs="Times New Roman"/>
          <w:sz w:val="24"/>
          <w:szCs w:val="24"/>
        </w:rPr>
        <w:t xml:space="preserve"> elementa kojim osim plasmana svojih sredstava izgrađuju i imidž društveno i ekološki odgovornih institucija.</w:t>
      </w:r>
      <w:r w:rsidR="00F54CC3" w:rsidRPr="009C52C4">
        <w:rPr>
          <w:rFonts w:ascii="Times New Roman" w:hAnsi="Times New Roman" w:cs="Times New Roman"/>
          <w:sz w:val="24"/>
          <w:szCs w:val="24"/>
        </w:rPr>
        <w:br w:type="page"/>
      </w:r>
    </w:p>
    <w:p w14:paraId="5DF34209" w14:textId="77777777" w:rsidR="00B122B4" w:rsidRPr="009C52C4" w:rsidRDefault="00F54CC3" w:rsidP="004F09F1">
      <w:pPr>
        <w:pStyle w:val="Heading1"/>
        <w:numPr>
          <w:ilvl w:val="0"/>
          <w:numId w:val="39"/>
        </w:numPr>
        <w:ind w:left="284" w:firstLine="0"/>
        <w:rPr>
          <w:rFonts w:ascii="Times New Roman" w:hAnsi="Times New Roman" w:cs="Times New Roman"/>
          <w:sz w:val="24"/>
          <w:szCs w:val="24"/>
        </w:rPr>
      </w:pPr>
      <w:bookmarkStart w:id="198" w:name="h.2nusc19" w:colFirst="0" w:colLast="0"/>
      <w:bookmarkStart w:id="199" w:name="_Toc3277932"/>
      <w:bookmarkEnd w:id="198"/>
      <w:r w:rsidRPr="009C52C4">
        <w:rPr>
          <w:rFonts w:ascii="Times New Roman" w:hAnsi="Times New Roman" w:cs="Times New Roman"/>
          <w:sz w:val="24"/>
          <w:szCs w:val="24"/>
        </w:rPr>
        <w:lastRenderedPageBreak/>
        <w:t>Procjena očekivanih</w:t>
      </w:r>
      <w:r w:rsidRPr="009C52C4">
        <w:rPr>
          <w:rFonts w:ascii="Times New Roman" w:hAnsi="Times New Roman" w:cs="Times New Roman"/>
          <w:b w:val="0"/>
          <w:sz w:val="24"/>
          <w:szCs w:val="24"/>
        </w:rPr>
        <w:t xml:space="preserve"> </w:t>
      </w:r>
      <w:r w:rsidRPr="009C52C4">
        <w:rPr>
          <w:rFonts w:ascii="Times New Roman" w:hAnsi="Times New Roman" w:cs="Times New Roman"/>
          <w:sz w:val="24"/>
          <w:szCs w:val="24"/>
        </w:rPr>
        <w:t>ušteda i širih koristi utemeljena na računskim i modelskim podacima</w:t>
      </w:r>
      <w:bookmarkEnd w:id="199"/>
    </w:p>
    <w:p w14:paraId="58392FF4" w14:textId="77777777" w:rsidR="00B122B4" w:rsidRPr="009C52C4" w:rsidRDefault="00F54CC3" w:rsidP="004F09F1">
      <w:pPr>
        <w:pStyle w:val="Heading2"/>
        <w:numPr>
          <w:ilvl w:val="1"/>
          <w:numId w:val="39"/>
        </w:numPr>
        <w:spacing w:line="276" w:lineRule="auto"/>
        <w:ind w:left="993" w:hanging="709"/>
        <w:rPr>
          <w:rFonts w:ascii="Times New Roman" w:hAnsi="Times New Roman" w:cs="Times New Roman"/>
          <w:sz w:val="24"/>
          <w:szCs w:val="24"/>
        </w:rPr>
      </w:pPr>
      <w:bookmarkStart w:id="200" w:name="h.1302m92" w:colFirst="0" w:colLast="0"/>
      <w:bookmarkStart w:id="201" w:name="_Toc3277933"/>
      <w:bookmarkEnd w:id="200"/>
      <w:r w:rsidRPr="009C52C4">
        <w:rPr>
          <w:rFonts w:ascii="Times New Roman" w:hAnsi="Times New Roman" w:cs="Times New Roman"/>
          <w:sz w:val="24"/>
          <w:szCs w:val="24"/>
        </w:rPr>
        <w:t>Ekonomsko modeliranje integralne obnove zgrada</w:t>
      </w:r>
      <w:bookmarkEnd w:id="201"/>
    </w:p>
    <w:p w14:paraId="24F197EE" w14:textId="77777777" w:rsidR="00B122B4" w:rsidRPr="009C52C4" w:rsidRDefault="00B122B4">
      <w:pPr>
        <w:rPr>
          <w:rFonts w:ascii="Times New Roman" w:hAnsi="Times New Roman" w:cs="Times New Roman"/>
          <w:sz w:val="24"/>
          <w:szCs w:val="24"/>
        </w:rPr>
      </w:pPr>
    </w:p>
    <w:p w14:paraId="635E5BB4" w14:textId="26C68ACE"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U razdoblju od 2014. do 2016. godine nisu se ostvarile procjene širih društvenih koristi od održive obnove zgrada predviđene Dugoročnom strategijom za poticanje ulaganja u obn</w:t>
      </w:r>
      <w:r w:rsidR="00C327EC" w:rsidRPr="009C52C4">
        <w:rPr>
          <w:rFonts w:ascii="Times New Roman" w:hAnsi="Times New Roman" w:cs="Times New Roman"/>
          <w:color w:val="auto"/>
          <w:sz w:val="24"/>
          <w:szCs w:val="24"/>
          <w:lang w:eastAsia="en-US"/>
        </w:rPr>
        <w:t>ovu nacionalnog fonda zgrada RH</w:t>
      </w:r>
      <w:r w:rsidRPr="009C52C4">
        <w:rPr>
          <w:rFonts w:ascii="Times New Roman" w:hAnsi="Times New Roman" w:cs="Times New Roman"/>
          <w:color w:val="auto"/>
          <w:sz w:val="24"/>
          <w:szCs w:val="24"/>
          <w:lang w:eastAsia="en-US"/>
        </w:rPr>
        <w:t xml:space="preserve">. U tom razdoblju ostvareni su manji iznosi ulaganja od očekivanih. Prema </w:t>
      </w:r>
      <w:r w:rsidR="006E3ED8" w:rsidRPr="009C52C4">
        <w:rPr>
          <w:rFonts w:ascii="Times New Roman" w:hAnsi="Times New Roman" w:cs="Times New Roman"/>
          <w:color w:val="auto"/>
          <w:sz w:val="24"/>
          <w:szCs w:val="24"/>
          <w:lang w:eastAsia="en-US"/>
        </w:rPr>
        <w:t>p</w:t>
      </w:r>
      <w:r w:rsidRPr="009C52C4">
        <w:rPr>
          <w:rFonts w:ascii="Times New Roman" w:hAnsi="Times New Roman" w:cs="Times New Roman"/>
          <w:color w:val="auto"/>
          <w:sz w:val="24"/>
          <w:szCs w:val="24"/>
          <w:lang w:eastAsia="en-US"/>
        </w:rPr>
        <w:t xml:space="preserve">rogramima obnove, ostvarena ulaganja 2014.-2016. iznosila su oko 1,3 milijarde naspram 6,6 milijardi HRK koliko je </w:t>
      </w:r>
      <w:r w:rsidR="004F68D2" w:rsidRPr="009C52C4">
        <w:rPr>
          <w:rFonts w:ascii="Times New Roman" w:hAnsi="Times New Roman" w:cs="Times New Roman"/>
          <w:color w:val="auto"/>
          <w:sz w:val="24"/>
          <w:szCs w:val="24"/>
          <w:lang w:eastAsia="en-US"/>
        </w:rPr>
        <w:t>Dugoročnom strategijom za poticanje ulaganja u obnovu nacionalnog fonda zgrada Republike Hrvatske</w:t>
      </w:r>
      <w:r w:rsidRPr="009C52C4">
        <w:rPr>
          <w:rFonts w:ascii="Times New Roman" w:hAnsi="Times New Roman" w:cs="Times New Roman"/>
          <w:color w:val="auto"/>
          <w:sz w:val="24"/>
          <w:szCs w:val="24"/>
          <w:lang w:eastAsia="en-US"/>
        </w:rPr>
        <w:t xml:space="preserve"> </w:t>
      </w:r>
      <w:r w:rsidR="006E3ED8" w:rsidRPr="009C52C4">
        <w:rPr>
          <w:rFonts w:ascii="Times New Roman" w:hAnsi="Times New Roman" w:cs="Times New Roman"/>
          <w:color w:val="auto"/>
          <w:sz w:val="24"/>
          <w:szCs w:val="24"/>
          <w:lang w:eastAsia="en-US"/>
        </w:rPr>
        <w:t xml:space="preserve">iz 2014. godine </w:t>
      </w:r>
      <w:r w:rsidRPr="009C52C4">
        <w:rPr>
          <w:rFonts w:ascii="Times New Roman" w:hAnsi="Times New Roman" w:cs="Times New Roman"/>
          <w:color w:val="auto"/>
          <w:sz w:val="24"/>
          <w:szCs w:val="24"/>
          <w:lang w:eastAsia="en-US"/>
        </w:rPr>
        <w:t>bilo zacrtano. No, jaz između planiranog i ostvarenog u većoj je mjeri uzrokovan primjenom nižeg standarda obnove (i manjim jediničnim investicijskim izdacima) nego manjim brojem obnovljenih zgrada – kvadrata, od inicijalno planiranog. Podbačaj ugrožava mogućnost realizacije strateškog cilja smanjenja emisije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za 80% u zgradarstvu, koliko je predviđeno Energetskim putokazom 2050</w:t>
      </w:r>
      <w:r w:rsidR="00F05E08" w:rsidRPr="009C52C4">
        <w:rPr>
          <w:rFonts w:ascii="Times New Roman" w:hAnsi="Times New Roman" w:cs="Times New Roman"/>
          <w:color w:val="auto"/>
          <w:sz w:val="24"/>
          <w:szCs w:val="24"/>
          <w:vertAlign w:val="superscript"/>
          <w:lang w:eastAsia="en-US"/>
        </w:rPr>
        <w:t>4</w:t>
      </w:r>
      <w:r w:rsidRPr="009C52C4">
        <w:rPr>
          <w:rFonts w:ascii="Times New Roman" w:hAnsi="Times New Roman" w:cs="Times New Roman"/>
          <w:color w:val="auto"/>
          <w:sz w:val="24"/>
          <w:szCs w:val="24"/>
          <w:lang w:eastAsia="en-US"/>
        </w:rPr>
        <w:t>.</w:t>
      </w:r>
    </w:p>
    <w:p w14:paraId="35F0E4DA" w14:textId="77777777" w:rsidR="004E6F69" w:rsidRPr="009C52C4" w:rsidRDefault="004E6F69" w:rsidP="004E6F69">
      <w:pPr>
        <w:rPr>
          <w:rFonts w:ascii="Times New Roman" w:hAnsi="Times New Roman" w:cs="Times New Roman"/>
          <w:color w:val="auto"/>
          <w:sz w:val="24"/>
          <w:szCs w:val="24"/>
          <w:lang w:eastAsia="en-US"/>
        </w:rPr>
      </w:pPr>
    </w:p>
    <w:p w14:paraId="75885E93" w14:textId="77777777" w:rsidR="007F4609" w:rsidRPr="009C52C4" w:rsidRDefault="007F460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Dio podbačaja može se objasniti nerealnom početnom pretpostavkom o obnovama prema nZEB standardu. Revizija se temelji na pretpostavci o obnovama prema zahtjevima </w:t>
      </w:r>
      <w:r w:rsidRPr="009C52C4">
        <w:rPr>
          <w:rFonts w:ascii="Times New Roman" w:hAnsi="Times New Roman" w:cs="Times New Roman"/>
          <w:i/>
          <w:color w:val="auto"/>
          <w:sz w:val="24"/>
          <w:szCs w:val="24"/>
          <w:lang w:eastAsia="en-US"/>
        </w:rPr>
        <w:t>Tehničkog propisa</w:t>
      </w:r>
      <w:r w:rsidRPr="009C52C4">
        <w:rPr>
          <w:rFonts w:ascii="Times New Roman" w:hAnsi="Times New Roman" w:cs="Times New Roman"/>
          <w:color w:val="auto"/>
          <w:sz w:val="24"/>
          <w:szCs w:val="24"/>
          <w:lang w:eastAsia="en-US"/>
        </w:rPr>
        <w:t xml:space="preserve"> za veliku rekonstrukciju, uz ukupne troškove (neto, bez uključenog PDV-a) od oko 1,637 HRK/m</w:t>
      </w:r>
      <w:r w:rsidRPr="009C52C4">
        <w:rPr>
          <w:rFonts w:ascii="Times New Roman" w:hAnsi="Times New Roman" w:cs="Times New Roman"/>
          <w:color w:val="auto"/>
          <w:sz w:val="24"/>
          <w:szCs w:val="24"/>
          <w:vertAlign w:val="superscript"/>
          <w:lang w:eastAsia="en-US"/>
        </w:rPr>
        <w:t>2</w:t>
      </w:r>
      <w:r w:rsidRPr="009C52C4">
        <w:rPr>
          <w:rFonts w:ascii="Times New Roman" w:hAnsi="Times New Roman" w:cs="Times New Roman"/>
          <w:color w:val="auto"/>
          <w:sz w:val="24"/>
          <w:szCs w:val="24"/>
          <w:lang w:eastAsia="en-US"/>
        </w:rPr>
        <w:t>.</w:t>
      </w:r>
    </w:p>
    <w:p w14:paraId="0BA13660" w14:textId="77777777" w:rsidR="007F4609" w:rsidRPr="009C52C4" w:rsidRDefault="007F4609" w:rsidP="004E6F69">
      <w:pPr>
        <w:rPr>
          <w:rFonts w:ascii="Times New Roman" w:hAnsi="Times New Roman" w:cs="Times New Roman"/>
          <w:color w:val="auto"/>
          <w:sz w:val="24"/>
          <w:szCs w:val="24"/>
          <w:lang w:eastAsia="en-US"/>
        </w:rPr>
      </w:pPr>
    </w:p>
    <w:p w14:paraId="42AFB5D9"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Jaz između planiranog i ostvarenog u prve tri godine provedbe programa nastao je zbog nepostojanja cjelovite politike odnosno mjera, kroz čije bi poticaje ulaganja u cjelovitu energetsku obnovu postala široko isplativa. Bez tog uvjeta koji djeluje na strani poticaja potražnje (mobilizacije investitora) i na strani ponude (građevinske industrije) neće biti moguće provesti veliku realokaciju resursa (prvenstveno radnika) u poslove obnove zgrada. Stoga treba naglasiti da nove procjene koje su dane u nastavku ne predstavljaju realan scenarij ukoliko se model i struktura poticaja ne promijeni na strani potražnje (investitori) tako i na strani ponude (građevinska industrija). </w:t>
      </w:r>
      <w:r w:rsidR="007F4609" w:rsidRPr="009C52C4">
        <w:rPr>
          <w:rFonts w:ascii="Times New Roman" w:hAnsi="Times New Roman" w:cs="Times New Roman"/>
          <w:color w:val="auto"/>
          <w:sz w:val="24"/>
          <w:szCs w:val="24"/>
          <w:lang w:eastAsia="en-US"/>
        </w:rPr>
        <w:t>P</w:t>
      </w:r>
      <w:r w:rsidRPr="009C52C4">
        <w:rPr>
          <w:rFonts w:ascii="Times New Roman" w:hAnsi="Times New Roman" w:cs="Times New Roman"/>
          <w:color w:val="auto"/>
          <w:sz w:val="24"/>
          <w:szCs w:val="24"/>
          <w:lang w:eastAsia="en-US"/>
        </w:rPr>
        <w:t xml:space="preserve">romjena koja je potrebna za postizanje ciljeva energetske obnove zgrada podrazumijeva znatno veći stupanj mobilizacije u smislu većega broja snažnijih poticaja i njihove koordinacije, što uključuje: (a) povećanje ekonomskih poticaja za ulaganja u cjelovitu energetsku obnovu prema </w:t>
      </w:r>
      <w:r w:rsidR="007F4609" w:rsidRPr="009C52C4">
        <w:rPr>
          <w:rFonts w:ascii="Times New Roman" w:hAnsi="Times New Roman" w:cs="Times New Roman"/>
          <w:color w:val="auto"/>
          <w:sz w:val="24"/>
          <w:szCs w:val="24"/>
          <w:lang w:eastAsia="en-US"/>
        </w:rPr>
        <w:t xml:space="preserve">zahtjevima </w:t>
      </w:r>
      <w:r w:rsidR="007F4609" w:rsidRPr="009C52C4">
        <w:rPr>
          <w:rFonts w:ascii="Times New Roman" w:hAnsi="Times New Roman" w:cs="Times New Roman"/>
          <w:i/>
          <w:color w:val="auto"/>
          <w:sz w:val="24"/>
          <w:szCs w:val="24"/>
          <w:lang w:eastAsia="en-US"/>
        </w:rPr>
        <w:t>Tehničkog propisa</w:t>
      </w:r>
      <w:r w:rsidR="007F4609"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xml:space="preserve">, (b) povećanje ekonomskih poticaja za ulaganja puno većega broja vlasnika zgrada i (c) povećanje ekonomskih poticaja poduzetnika za usvajanje novih znanja, realokaciju postojećih i upošljavanje novih radnika </w:t>
      </w:r>
      <w:r w:rsidR="007F4609" w:rsidRPr="009C52C4">
        <w:rPr>
          <w:rFonts w:ascii="Times New Roman" w:hAnsi="Times New Roman" w:cs="Times New Roman"/>
          <w:color w:val="auto"/>
          <w:sz w:val="24"/>
          <w:szCs w:val="24"/>
          <w:lang w:eastAsia="en-US"/>
        </w:rPr>
        <w:t>na</w:t>
      </w:r>
      <w:r w:rsidRPr="009C52C4">
        <w:rPr>
          <w:rFonts w:ascii="Times New Roman" w:hAnsi="Times New Roman" w:cs="Times New Roman"/>
          <w:color w:val="auto"/>
          <w:sz w:val="24"/>
          <w:szCs w:val="24"/>
          <w:lang w:eastAsia="en-US"/>
        </w:rPr>
        <w:t xml:space="preserve"> poslovima energetske obnove zgrada. </w:t>
      </w:r>
    </w:p>
    <w:p w14:paraId="69E02FC7" w14:textId="77777777" w:rsidR="004E6F69" w:rsidRPr="009C52C4" w:rsidRDefault="004E6F69" w:rsidP="004E6F69">
      <w:pPr>
        <w:rPr>
          <w:rFonts w:ascii="Times New Roman" w:hAnsi="Times New Roman" w:cs="Times New Roman"/>
          <w:color w:val="auto"/>
          <w:sz w:val="24"/>
          <w:szCs w:val="24"/>
          <w:lang w:eastAsia="en-US"/>
        </w:rPr>
      </w:pPr>
    </w:p>
    <w:p w14:paraId="5895DF5A" w14:textId="69CE6010"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U nastavku se prikazuje novi proračun širih društvenih koristi od održive obnove zgrada. Novi proračun se zasniva na pretpostavci da će u 2017. doći do velikog skoka investicijske potražnje i aktivnosti. Skok je povezan sa znatnim povećanjem broja zgrada (m</w:t>
      </w:r>
      <w:r w:rsidRPr="009C52C4">
        <w:rPr>
          <w:rFonts w:ascii="Times New Roman" w:hAnsi="Times New Roman" w:cs="Times New Roman"/>
          <w:color w:val="auto"/>
          <w:sz w:val="24"/>
          <w:szCs w:val="24"/>
          <w:vertAlign w:val="superscript"/>
          <w:lang w:eastAsia="en-US"/>
        </w:rPr>
        <w:t>2</w:t>
      </w:r>
      <w:r w:rsidRPr="009C52C4">
        <w:rPr>
          <w:rFonts w:ascii="Times New Roman" w:hAnsi="Times New Roman" w:cs="Times New Roman"/>
          <w:color w:val="auto"/>
          <w:sz w:val="24"/>
          <w:szCs w:val="24"/>
          <w:lang w:eastAsia="en-US"/>
        </w:rPr>
        <w:t xml:space="preserve">) koje se obnavljaju, ali i s primjenom obnove prema </w:t>
      </w:r>
      <w:r w:rsidR="007F4609" w:rsidRPr="009C52C4">
        <w:rPr>
          <w:rFonts w:ascii="Times New Roman" w:hAnsi="Times New Roman" w:cs="Times New Roman"/>
          <w:color w:val="auto"/>
          <w:sz w:val="24"/>
          <w:szCs w:val="24"/>
          <w:lang w:eastAsia="en-US"/>
        </w:rPr>
        <w:t xml:space="preserve">zahtjevima </w:t>
      </w:r>
      <w:r w:rsidR="007F4609" w:rsidRPr="009C52C4">
        <w:rPr>
          <w:rFonts w:ascii="Times New Roman" w:hAnsi="Times New Roman" w:cs="Times New Roman"/>
          <w:i/>
          <w:color w:val="auto"/>
          <w:sz w:val="24"/>
          <w:szCs w:val="24"/>
          <w:lang w:eastAsia="en-US"/>
        </w:rPr>
        <w:t>Tehničkog propisa</w:t>
      </w:r>
      <w:r w:rsidR="007F4609"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xml:space="preserve"> s procijenjenim neto (bez PDV) investicijskim izdatkom od oko </w:t>
      </w:r>
      <w:r w:rsidR="007F4609" w:rsidRPr="009C52C4">
        <w:rPr>
          <w:rFonts w:ascii="Times New Roman" w:hAnsi="Times New Roman" w:cs="Times New Roman"/>
          <w:color w:val="auto"/>
          <w:sz w:val="24"/>
          <w:szCs w:val="24"/>
          <w:lang w:eastAsia="en-US"/>
        </w:rPr>
        <w:t>1</w:t>
      </w:r>
      <w:r w:rsidRPr="009C52C4">
        <w:rPr>
          <w:rFonts w:ascii="Times New Roman" w:hAnsi="Times New Roman" w:cs="Times New Roman"/>
          <w:color w:val="auto"/>
          <w:sz w:val="24"/>
          <w:szCs w:val="24"/>
          <w:lang w:eastAsia="en-US"/>
        </w:rPr>
        <w:t>,</w:t>
      </w:r>
      <w:r w:rsidR="007F4609" w:rsidRPr="009C52C4">
        <w:rPr>
          <w:rFonts w:ascii="Times New Roman" w:hAnsi="Times New Roman" w:cs="Times New Roman"/>
          <w:color w:val="auto"/>
          <w:sz w:val="24"/>
          <w:szCs w:val="24"/>
          <w:lang w:eastAsia="en-US"/>
        </w:rPr>
        <w:t>637</w:t>
      </w:r>
      <w:r w:rsidRPr="009C52C4">
        <w:rPr>
          <w:rFonts w:ascii="Times New Roman" w:hAnsi="Times New Roman" w:cs="Times New Roman"/>
          <w:color w:val="auto"/>
          <w:sz w:val="24"/>
          <w:szCs w:val="24"/>
          <w:lang w:eastAsia="en-US"/>
        </w:rPr>
        <w:t xml:space="preserve"> HRK/m</w:t>
      </w:r>
      <w:r w:rsidRPr="009C52C4">
        <w:rPr>
          <w:rFonts w:ascii="Times New Roman" w:hAnsi="Times New Roman" w:cs="Times New Roman"/>
          <w:color w:val="auto"/>
          <w:sz w:val="24"/>
          <w:szCs w:val="24"/>
          <w:vertAlign w:val="superscript"/>
          <w:lang w:eastAsia="en-US"/>
        </w:rPr>
        <w:t>2</w:t>
      </w:r>
      <w:r w:rsidRPr="009C52C4">
        <w:rPr>
          <w:rFonts w:ascii="Times New Roman" w:hAnsi="Times New Roman" w:cs="Times New Roman"/>
          <w:color w:val="auto"/>
          <w:sz w:val="24"/>
          <w:szCs w:val="24"/>
          <w:lang w:eastAsia="en-US"/>
        </w:rPr>
        <w:t xml:space="preserve">. Uz te pretpostavke, projicirani postotak obnove zgrada mjereno površinom do 2050. iznosi </w:t>
      </w:r>
      <w:r w:rsidR="007F4609" w:rsidRPr="009C52C4">
        <w:rPr>
          <w:rFonts w:ascii="Times New Roman" w:hAnsi="Times New Roman" w:cs="Times New Roman"/>
          <w:color w:val="auto"/>
          <w:sz w:val="24"/>
          <w:szCs w:val="24"/>
          <w:lang w:eastAsia="en-US"/>
        </w:rPr>
        <w:t>91,7</w:t>
      </w:r>
      <w:r w:rsidRPr="009C52C4">
        <w:rPr>
          <w:rFonts w:ascii="Times New Roman" w:hAnsi="Times New Roman" w:cs="Times New Roman"/>
          <w:color w:val="auto"/>
          <w:sz w:val="24"/>
          <w:szCs w:val="24"/>
          <w:lang w:eastAsia="en-US"/>
        </w:rPr>
        <w:t xml:space="preserve">%. </w:t>
      </w:r>
      <w:r w:rsidR="007F4609" w:rsidRPr="009C52C4">
        <w:rPr>
          <w:rFonts w:ascii="Times New Roman" w:hAnsi="Times New Roman" w:cs="Times New Roman"/>
          <w:color w:val="auto"/>
          <w:sz w:val="24"/>
          <w:szCs w:val="24"/>
          <w:lang w:eastAsia="en-US"/>
        </w:rPr>
        <w:t>O</w:t>
      </w:r>
      <w:r w:rsidRPr="009C52C4">
        <w:rPr>
          <w:rFonts w:ascii="Times New Roman" w:hAnsi="Times New Roman" w:cs="Times New Roman"/>
          <w:color w:val="auto"/>
          <w:sz w:val="24"/>
          <w:szCs w:val="24"/>
          <w:lang w:eastAsia="en-US"/>
        </w:rPr>
        <w:t>č</w:t>
      </w:r>
      <w:r w:rsidR="007F4609" w:rsidRPr="009C52C4">
        <w:rPr>
          <w:rFonts w:ascii="Times New Roman" w:hAnsi="Times New Roman" w:cs="Times New Roman"/>
          <w:color w:val="auto"/>
          <w:sz w:val="24"/>
          <w:szCs w:val="24"/>
          <w:lang w:eastAsia="en-US"/>
        </w:rPr>
        <w:t xml:space="preserve">ekuje se da je </w:t>
      </w:r>
      <w:r w:rsidRPr="009C52C4">
        <w:rPr>
          <w:rFonts w:ascii="Times New Roman" w:hAnsi="Times New Roman" w:cs="Times New Roman"/>
          <w:color w:val="auto"/>
          <w:sz w:val="24"/>
          <w:szCs w:val="24"/>
          <w:lang w:eastAsia="en-US"/>
        </w:rPr>
        <w:t>taj cilj usklađen sa strateškim ciljem iz Energetskog putokaza u pogledu smanjenja emisije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za 80% do 2050.</w:t>
      </w:r>
      <w:r w:rsidR="006E3ED8" w:rsidRPr="009C52C4">
        <w:rPr>
          <w:rFonts w:ascii="Times New Roman" w:hAnsi="Times New Roman" w:cs="Times New Roman"/>
          <w:color w:val="auto"/>
          <w:sz w:val="24"/>
          <w:szCs w:val="24"/>
          <w:lang w:eastAsia="en-US"/>
        </w:rPr>
        <w:t xml:space="preserve"> godine.</w:t>
      </w:r>
    </w:p>
    <w:p w14:paraId="08A6556B" w14:textId="77777777" w:rsidR="004E6F69" w:rsidRPr="009C52C4" w:rsidRDefault="004E6F69" w:rsidP="004E6F69">
      <w:pPr>
        <w:rPr>
          <w:rFonts w:ascii="Times New Roman" w:hAnsi="Times New Roman" w:cs="Times New Roman"/>
          <w:color w:val="auto"/>
          <w:sz w:val="24"/>
          <w:szCs w:val="24"/>
          <w:lang w:eastAsia="en-US"/>
        </w:rPr>
      </w:pPr>
    </w:p>
    <w:p w14:paraId="7027958D" w14:textId="69656E22"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Vrlo je mala vjerojatnost da će cilj za 2017.</w:t>
      </w:r>
      <w:r w:rsidR="006E3ED8" w:rsidRPr="009C52C4">
        <w:rPr>
          <w:rFonts w:ascii="Times New Roman" w:hAnsi="Times New Roman" w:cs="Times New Roman"/>
          <w:color w:val="auto"/>
          <w:sz w:val="24"/>
          <w:szCs w:val="24"/>
          <w:lang w:eastAsia="en-US"/>
        </w:rPr>
        <w:t xml:space="preserve"> godinu</w:t>
      </w:r>
      <w:r w:rsidRPr="009C52C4">
        <w:rPr>
          <w:rFonts w:ascii="Times New Roman" w:hAnsi="Times New Roman" w:cs="Times New Roman"/>
          <w:color w:val="auto"/>
          <w:sz w:val="24"/>
          <w:szCs w:val="24"/>
          <w:lang w:eastAsia="en-US"/>
        </w:rPr>
        <w:t xml:space="preserve"> biti ostvaren te simulacije u prvim godinama scenarija koji je predstavljen u ovom dokumentu imaju narav podsjetnika na društvene koristi kakve bi se mogle polučiti kada bi ekonomski poticaji bili podešeni tako da se investicijska ponuda i potražnja susretnu na razini aktivnosti obnove zgrada koja je </w:t>
      </w:r>
      <w:r w:rsidRPr="009C52C4">
        <w:rPr>
          <w:rFonts w:ascii="Times New Roman" w:hAnsi="Times New Roman" w:cs="Times New Roman"/>
          <w:color w:val="auto"/>
          <w:sz w:val="24"/>
          <w:szCs w:val="24"/>
          <w:lang w:eastAsia="en-US"/>
        </w:rPr>
        <w:lastRenderedPageBreak/>
        <w:t xml:space="preserve">višestruko veća od aktualne. Uz tu pretpostavku, prikazane su društvene koristi u pogledu: (a) izravnih i multiplikativnih učinaka na rast BDP-a, zaposlenosti i poreznih prihoda u građevinarstvu i širem gospodarstvu, (b) učinaka na cijene nekretnina, (c) smanjenja energetskog siromaštva i (d) drugih koristi, kao što su učinci na zdravlje ljudi, energetsku sigurnost i pozitivni uzgredni učinci na druge važne gospodarske aktivnosti poput turizma. </w:t>
      </w:r>
    </w:p>
    <w:p w14:paraId="39A13E74" w14:textId="77777777" w:rsidR="004E6F69" w:rsidRPr="009C52C4" w:rsidRDefault="004E6F69" w:rsidP="004E6F69">
      <w:pPr>
        <w:rPr>
          <w:rFonts w:ascii="Times New Roman" w:hAnsi="Times New Roman" w:cs="Times New Roman"/>
          <w:color w:val="auto"/>
          <w:sz w:val="24"/>
          <w:szCs w:val="24"/>
          <w:lang w:eastAsia="en-US"/>
        </w:rPr>
      </w:pPr>
    </w:p>
    <w:p w14:paraId="79E5C845"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U nastavku se prvo prikazuje makroekonomski okvir prikazanih projekcija te se zatim prikazuju ciljevi obnove i plan ulaganja. Uz to se prikazuju izravni i multiplikativni učinci na BDP, zaposlenost i prihode državnog proračuna. Posebno poglavlje posvećeno je građevinarstvu kako bi se skrenula pozornost na veliku realokaciju resursa, osobito rada, koja se mora dogoditi u </w:t>
      </w:r>
      <w:r w:rsidR="007F4609" w:rsidRPr="009C52C4">
        <w:rPr>
          <w:rFonts w:ascii="Times New Roman" w:hAnsi="Times New Roman" w:cs="Times New Roman"/>
          <w:color w:val="auto"/>
          <w:sz w:val="24"/>
          <w:szCs w:val="24"/>
          <w:lang w:eastAsia="en-US"/>
        </w:rPr>
        <w:t>građevinarskoj</w:t>
      </w:r>
      <w:r w:rsidRPr="009C52C4">
        <w:rPr>
          <w:rFonts w:ascii="Times New Roman" w:hAnsi="Times New Roman" w:cs="Times New Roman"/>
          <w:color w:val="auto"/>
          <w:sz w:val="24"/>
          <w:szCs w:val="24"/>
          <w:lang w:eastAsia="en-US"/>
        </w:rPr>
        <w:t xml:space="preserve"> djelatnosti ako se teži realizaciji prikazanih ciljeva i eksternih učinaka. Na kraju se prikazuju druge uzgredne eksterne koristi i financijski poticajni mehanizmi koji mogu internalizirati dio eksternih koristi radi povećanja poticaja za investiranje.</w:t>
      </w:r>
    </w:p>
    <w:p w14:paraId="7F4100FD" w14:textId="77777777" w:rsidR="00B122B4" w:rsidRPr="009C52C4" w:rsidRDefault="00B122B4">
      <w:pPr>
        <w:rPr>
          <w:rFonts w:ascii="Times New Roman" w:hAnsi="Times New Roman" w:cs="Times New Roman"/>
          <w:sz w:val="24"/>
          <w:szCs w:val="24"/>
        </w:rPr>
      </w:pPr>
    </w:p>
    <w:p w14:paraId="7BCFE8E9" w14:textId="77777777" w:rsidR="00CB0DFB" w:rsidRPr="009C52C4" w:rsidRDefault="00CB0DFB">
      <w:pPr>
        <w:rPr>
          <w:rFonts w:ascii="Times New Roman" w:hAnsi="Times New Roman" w:cs="Times New Roman"/>
          <w:b/>
          <w:sz w:val="24"/>
          <w:szCs w:val="24"/>
        </w:rPr>
      </w:pPr>
      <w:bookmarkStart w:id="202" w:name="_Toc483223933"/>
      <w:r w:rsidRPr="009C52C4">
        <w:rPr>
          <w:rFonts w:ascii="Times New Roman" w:hAnsi="Times New Roman" w:cs="Times New Roman"/>
          <w:sz w:val="24"/>
          <w:szCs w:val="24"/>
        </w:rPr>
        <w:br w:type="page"/>
      </w:r>
    </w:p>
    <w:p w14:paraId="72272E59" w14:textId="77777777" w:rsidR="004E6F69" w:rsidRPr="009C52C4" w:rsidRDefault="004E6F69" w:rsidP="00CB0DFB">
      <w:pPr>
        <w:pStyle w:val="Heading2"/>
        <w:numPr>
          <w:ilvl w:val="1"/>
          <w:numId w:val="39"/>
        </w:numPr>
        <w:spacing w:before="0" w:line="276" w:lineRule="auto"/>
        <w:ind w:left="-142" w:firstLine="425"/>
        <w:rPr>
          <w:rFonts w:ascii="Times New Roman" w:hAnsi="Times New Roman" w:cs="Times New Roman"/>
          <w:sz w:val="24"/>
          <w:szCs w:val="24"/>
        </w:rPr>
      </w:pPr>
      <w:bookmarkStart w:id="203" w:name="_Toc3277934"/>
      <w:r w:rsidRPr="009C52C4">
        <w:rPr>
          <w:rFonts w:ascii="Times New Roman" w:hAnsi="Times New Roman" w:cs="Times New Roman"/>
          <w:sz w:val="24"/>
          <w:szCs w:val="24"/>
        </w:rPr>
        <w:lastRenderedPageBreak/>
        <w:t>Makroekonomski okvir</w:t>
      </w:r>
      <w:bookmarkEnd w:id="202"/>
      <w:bookmarkEnd w:id="203"/>
    </w:p>
    <w:p w14:paraId="642A0856" w14:textId="77777777" w:rsidR="004E6F69" w:rsidRPr="009C52C4" w:rsidRDefault="004E6F69">
      <w:pPr>
        <w:rPr>
          <w:rFonts w:ascii="Times New Roman" w:hAnsi="Times New Roman" w:cs="Times New Roman"/>
          <w:sz w:val="24"/>
          <w:szCs w:val="24"/>
        </w:rPr>
      </w:pPr>
    </w:p>
    <w:p w14:paraId="3B8EBCC2" w14:textId="47A4AC83"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Starenje stanovništva, emigracija i strukturni problemi ograničavaju potencijalnu dugoročnu stopu gospodarskoga rasta u Hrvatskoj. Međutim, hrvatsko gospodarstvo je u razdoblju 2014.-2017. pokazalo sposobnost za izlazak iz duge recesije (200</w:t>
      </w:r>
      <w:r w:rsidR="006E3ED8" w:rsidRPr="009C52C4">
        <w:rPr>
          <w:rFonts w:ascii="Times New Roman" w:hAnsi="Times New Roman" w:cs="Times New Roman"/>
          <w:color w:val="auto"/>
          <w:sz w:val="24"/>
          <w:szCs w:val="24"/>
          <w:lang w:eastAsia="en-US"/>
        </w:rPr>
        <w:t>8</w:t>
      </w:r>
      <w:r w:rsidRPr="009C52C4">
        <w:rPr>
          <w:rFonts w:ascii="Times New Roman" w:hAnsi="Times New Roman" w:cs="Times New Roman"/>
          <w:color w:val="auto"/>
          <w:sz w:val="24"/>
          <w:szCs w:val="24"/>
          <w:lang w:eastAsia="en-US"/>
        </w:rPr>
        <w:t xml:space="preserve">.-2014.) bez oslonca na priljev kapitala iz inozemstva. Smanjen je vanjski dug, smanjen je </w:t>
      </w:r>
      <w:r w:rsidR="007F4609" w:rsidRPr="009C52C4">
        <w:rPr>
          <w:rFonts w:ascii="Times New Roman" w:hAnsi="Times New Roman" w:cs="Times New Roman"/>
          <w:color w:val="auto"/>
          <w:sz w:val="24"/>
          <w:szCs w:val="24"/>
          <w:lang w:eastAsia="en-US"/>
        </w:rPr>
        <w:t xml:space="preserve">i </w:t>
      </w:r>
      <w:r w:rsidRPr="009C52C4">
        <w:rPr>
          <w:rFonts w:ascii="Times New Roman" w:hAnsi="Times New Roman" w:cs="Times New Roman"/>
          <w:color w:val="auto"/>
          <w:sz w:val="24"/>
          <w:szCs w:val="24"/>
          <w:lang w:eastAsia="en-US"/>
        </w:rPr>
        <w:t>javni dug (s 86,7% BDP-a 2015. na 84,2% 2016.), a stope rasta realnoga BDP-a od 1,6% 2015. i 2,9% 2016. pojavile su se uz suficit tekućeg računa bilance plaćanja. Izvori gospodarskoga rasta zdraviji su nego prije krize 200</w:t>
      </w:r>
      <w:r w:rsidR="006E3ED8" w:rsidRPr="009C52C4">
        <w:rPr>
          <w:rFonts w:ascii="Times New Roman" w:hAnsi="Times New Roman" w:cs="Times New Roman"/>
          <w:color w:val="auto"/>
          <w:sz w:val="24"/>
          <w:szCs w:val="24"/>
          <w:lang w:eastAsia="en-US"/>
        </w:rPr>
        <w:t>8</w:t>
      </w:r>
      <w:r w:rsidRPr="009C52C4">
        <w:rPr>
          <w:rFonts w:ascii="Times New Roman" w:hAnsi="Times New Roman" w:cs="Times New Roman"/>
          <w:color w:val="auto"/>
          <w:sz w:val="24"/>
          <w:szCs w:val="24"/>
          <w:lang w:eastAsia="en-US"/>
        </w:rPr>
        <w:t xml:space="preserve">.-2014., </w:t>
      </w:r>
      <w:r w:rsidR="007F4609" w:rsidRPr="009C52C4">
        <w:rPr>
          <w:rFonts w:ascii="Times New Roman" w:hAnsi="Times New Roman" w:cs="Times New Roman"/>
          <w:color w:val="auto"/>
          <w:sz w:val="24"/>
          <w:szCs w:val="24"/>
          <w:lang w:eastAsia="en-US"/>
        </w:rPr>
        <w:t xml:space="preserve">uz sve veći udio izvoza roba i usluga, </w:t>
      </w:r>
      <w:r w:rsidRPr="009C52C4">
        <w:rPr>
          <w:rFonts w:ascii="Times New Roman" w:hAnsi="Times New Roman" w:cs="Times New Roman"/>
          <w:color w:val="auto"/>
          <w:sz w:val="24"/>
          <w:szCs w:val="24"/>
          <w:lang w:eastAsia="en-US"/>
        </w:rPr>
        <w:t>što ukazuje na povećane šanse za zadržavanje ekonomskoga rasta na održivoj stazi. Vlada RH očekuje nastavak rasta po prosječnoj stopi od 2,5% godišnje do kraja ovoga desetljeća.</w:t>
      </w:r>
    </w:p>
    <w:p w14:paraId="6DEC3F6E" w14:textId="77777777" w:rsidR="004E6F69" w:rsidRPr="009C52C4" w:rsidRDefault="004E6F69" w:rsidP="004E6F69">
      <w:pPr>
        <w:rPr>
          <w:rFonts w:ascii="Times New Roman" w:hAnsi="Times New Roman" w:cs="Times New Roman"/>
          <w:color w:val="auto"/>
          <w:sz w:val="24"/>
          <w:szCs w:val="24"/>
          <w:lang w:eastAsia="en-US"/>
        </w:rPr>
      </w:pPr>
    </w:p>
    <w:p w14:paraId="1B4A60D0" w14:textId="20044BB6"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Nove činjenice o gospodarskom rastu u Hrvatskoj ugrađene su u do sada jedini vrlo dugoročan makroekonomski scenarij izrađen za potrebe dokumenta Europske komisije, </w:t>
      </w:r>
      <w:r w:rsidRPr="009C52C4">
        <w:rPr>
          <w:rFonts w:ascii="Times New Roman" w:hAnsi="Times New Roman" w:cs="Times New Roman"/>
          <w:i/>
          <w:color w:val="auto"/>
          <w:sz w:val="24"/>
          <w:szCs w:val="24"/>
          <w:lang w:eastAsia="en-US"/>
        </w:rPr>
        <w:t>Ageing Report 2015</w:t>
      </w:r>
      <w:r w:rsidRPr="009C52C4">
        <w:rPr>
          <w:rFonts w:ascii="Times New Roman" w:hAnsi="Times New Roman" w:cs="Times New Roman"/>
          <w:i/>
          <w:color w:val="auto"/>
          <w:sz w:val="24"/>
          <w:szCs w:val="24"/>
          <w:vertAlign w:val="superscript"/>
          <w:lang w:eastAsia="en-US"/>
        </w:rPr>
        <w:footnoteReference w:id="77"/>
      </w:r>
      <w:r w:rsidRPr="009C52C4">
        <w:rPr>
          <w:rFonts w:ascii="Times New Roman" w:hAnsi="Times New Roman" w:cs="Times New Roman"/>
          <w:color w:val="auto"/>
          <w:sz w:val="24"/>
          <w:szCs w:val="24"/>
          <w:lang w:eastAsia="en-US"/>
        </w:rPr>
        <w:t xml:space="preserve">. Iako počiva na scenariju umjerene emigracije, koja se nakon ulaska u EU ipak ostvaruje </w:t>
      </w:r>
      <w:r w:rsidR="007F4609" w:rsidRPr="009C52C4">
        <w:rPr>
          <w:rFonts w:ascii="Times New Roman" w:hAnsi="Times New Roman" w:cs="Times New Roman"/>
          <w:color w:val="auto"/>
          <w:sz w:val="24"/>
          <w:szCs w:val="24"/>
          <w:lang w:eastAsia="en-US"/>
        </w:rPr>
        <w:t>ubrzani</w:t>
      </w:r>
      <w:r w:rsidRPr="009C52C4">
        <w:rPr>
          <w:rFonts w:ascii="Times New Roman" w:hAnsi="Times New Roman" w:cs="Times New Roman"/>
          <w:color w:val="auto"/>
          <w:sz w:val="24"/>
          <w:szCs w:val="24"/>
          <w:lang w:eastAsia="en-US"/>
        </w:rPr>
        <w:t>m temp</w:t>
      </w:r>
      <w:r w:rsidR="007F4609" w:rsidRPr="009C52C4">
        <w:rPr>
          <w:rFonts w:ascii="Times New Roman" w:hAnsi="Times New Roman" w:cs="Times New Roman"/>
          <w:color w:val="auto"/>
          <w:sz w:val="24"/>
          <w:szCs w:val="24"/>
          <w:lang w:eastAsia="en-US"/>
        </w:rPr>
        <w:t>om</w:t>
      </w:r>
      <w:r w:rsidRPr="009C52C4">
        <w:rPr>
          <w:rFonts w:ascii="Times New Roman" w:hAnsi="Times New Roman" w:cs="Times New Roman"/>
          <w:color w:val="auto"/>
          <w:sz w:val="24"/>
          <w:szCs w:val="24"/>
          <w:lang w:eastAsia="en-US"/>
        </w:rPr>
        <w:t>, taj scenarij je i dalje najrelevantniji makroekonomski okvir za sagledavanje vrlo dugoga roka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_Ref483404489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xml:space="preserve">). Demografi će prikazane projekcije stanovništva vjerojatno smatrati preoptimističnima, no prikazane stope gospodarskoga rasta mogu se ostvariti i uz pesimističnije demografske projekcije od prikazanih. Obnova nacionalnog fonda zgrada čiji se dugoročni ciljevi prikazuju u nastavku može predstavljati jednu od ključnih politika za poticanje održivog gospodarskog rasta u uvjetima smanjenja broja stanovnika. Kroz politike energetske obnove može se potaknuti tehnološki napredak, smanjenje nezaposlenosti i aktiviranje neaktivnog dijela radno sposobnog stanovništva, što </w:t>
      </w:r>
      <w:r w:rsidR="007F4609" w:rsidRPr="009C52C4">
        <w:rPr>
          <w:rFonts w:ascii="Times New Roman" w:hAnsi="Times New Roman" w:cs="Times New Roman"/>
          <w:color w:val="auto"/>
          <w:sz w:val="24"/>
          <w:szCs w:val="24"/>
          <w:lang w:eastAsia="en-US"/>
        </w:rPr>
        <w:t>ima i</w:t>
      </w:r>
      <w:r w:rsidRPr="009C52C4">
        <w:rPr>
          <w:rFonts w:ascii="Times New Roman" w:hAnsi="Times New Roman" w:cs="Times New Roman"/>
          <w:color w:val="auto"/>
          <w:sz w:val="24"/>
          <w:szCs w:val="24"/>
          <w:lang w:eastAsia="en-US"/>
        </w:rPr>
        <w:t xml:space="preserve"> potencijal ublažavanja demografskih pritisaka.</w:t>
      </w:r>
    </w:p>
    <w:p w14:paraId="0F70DD2A" w14:textId="77777777" w:rsidR="004E6F69" w:rsidRPr="009C52C4" w:rsidRDefault="004E6F69" w:rsidP="004E6F69">
      <w:pPr>
        <w:rPr>
          <w:rFonts w:ascii="Times New Roman" w:hAnsi="Times New Roman" w:cs="Times New Roman"/>
          <w:color w:val="auto"/>
          <w:sz w:val="24"/>
          <w:szCs w:val="24"/>
          <w:lang w:eastAsia="en-US"/>
        </w:rPr>
      </w:pPr>
    </w:p>
    <w:p w14:paraId="77E14050" w14:textId="3F4D038B" w:rsidR="004E6F69" w:rsidRPr="009C52C4" w:rsidRDefault="00462D0B" w:rsidP="00462D0B">
      <w:pPr>
        <w:pStyle w:val="Caption"/>
        <w:rPr>
          <w:rFonts w:ascii="Times New Roman" w:hAnsi="Times New Roman" w:cs="Times New Roman"/>
          <w:b w:val="0"/>
          <w:bCs w:val="0"/>
          <w:sz w:val="24"/>
          <w:szCs w:val="24"/>
          <w:lang w:eastAsia="en-US"/>
        </w:rPr>
      </w:pPr>
      <w:bookmarkStart w:id="204" w:name="_Ref483404489"/>
      <w:bookmarkStart w:id="205" w:name="_Toc2681328"/>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204"/>
      <w:r w:rsidRPr="009C52C4">
        <w:rPr>
          <w:rFonts w:ascii="Times New Roman" w:hAnsi="Times New Roman" w:cs="Times New Roman"/>
          <w:b w:val="0"/>
          <w:bCs w:val="0"/>
          <w:sz w:val="24"/>
          <w:szCs w:val="24"/>
          <w:lang w:eastAsia="en-US"/>
        </w:rPr>
        <w:t>. Makroekonomski scenarij do 2050.</w:t>
      </w:r>
      <w:r w:rsidR="005D06A0" w:rsidRPr="009C52C4">
        <w:rPr>
          <w:rFonts w:ascii="Times New Roman" w:hAnsi="Times New Roman" w:cs="Times New Roman"/>
          <w:b w:val="0"/>
          <w:bCs w:val="0"/>
          <w:sz w:val="24"/>
          <w:szCs w:val="24"/>
          <w:lang w:eastAsia="en-US"/>
        </w:rPr>
        <w:t xml:space="preserve"> godine</w:t>
      </w:r>
      <w:bookmarkEnd w:id="205"/>
    </w:p>
    <w:p w14:paraId="176D35C6"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w:drawing>
          <wp:inline distT="0" distB="0" distL="0" distR="0" wp14:anchorId="5CC9426A" wp14:editId="3005B5D3">
            <wp:extent cx="5754778" cy="1017766"/>
            <wp:effectExtent l="19050" t="19050" r="1778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018143"/>
                    </a:xfrm>
                    <a:prstGeom prst="rect">
                      <a:avLst/>
                    </a:prstGeom>
                    <a:noFill/>
                    <a:ln>
                      <a:solidFill>
                        <a:schemeClr val="tx1"/>
                      </a:solidFill>
                    </a:ln>
                  </pic:spPr>
                </pic:pic>
              </a:graphicData>
            </a:graphic>
          </wp:inline>
        </w:drawing>
      </w:r>
    </w:p>
    <w:p w14:paraId="53B4B862" w14:textId="77777777" w:rsidR="004E6F69" w:rsidRPr="009C52C4" w:rsidRDefault="004E6F69" w:rsidP="004E6F69">
      <w:pPr>
        <w:contextualSpacing/>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Napomena: stopa za godinu predstavlja prosječnu stopu za prethodno petogodišnje razdoblje. </w:t>
      </w:r>
    </w:p>
    <w:p w14:paraId="57125E11" w14:textId="77777777" w:rsidR="004E6F69" w:rsidRPr="009C52C4" w:rsidRDefault="004E6F69" w:rsidP="004E6F69">
      <w:pPr>
        <w:contextualSpacing/>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Izvor: Prilagođeno na temelju Ag</w:t>
      </w:r>
      <w:r w:rsidR="00B62240" w:rsidRPr="009C52C4">
        <w:rPr>
          <w:rFonts w:ascii="Times New Roman" w:hAnsi="Times New Roman" w:cs="Times New Roman"/>
          <w:color w:val="auto"/>
          <w:sz w:val="24"/>
          <w:szCs w:val="24"/>
          <w:lang w:eastAsia="en-US"/>
        </w:rPr>
        <w:t>e</w:t>
      </w:r>
      <w:r w:rsidRPr="009C52C4">
        <w:rPr>
          <w:rFonts w:ascii="Times New Roman" w:hAnsi="Times New Roman" w:cs="Times New Roman"/>
          <w:color w:val="auto"/>
          <w:sz w:val="24"/>
          <w:szCs w:val="24"/>
          <w:lang w:eastAsia="en-US"/>
        </w:rPr>
        <w:t>ing Report 2015.</w:t>
      </w:r>
    </w:p>
    <w:p w14:paraId="76AFA38A" w14:textId="77777777" w:rsidR="004E6F69" w:rsidRPr="009C52C4" w:rsidRDefault="004E6F69" w:rsidP="004E6F69">
      <w:pPr>
        <w:rPr>
          <w:rFonts w:ascii="Times New Roman" w:hAnsi="Times New Roman" w:cs="Times New Roman"/>
          <w:color w:val="auto"/>
          <w:sz w:val="24"/>
          <w:szCs w:val="24"/>
          <w:lang w:eastAsia="en-US"/>
        </w:rPr>
      </w:pPr>
    </w:p>
    <w:p w14:paraId="4B21DE84" w14:textId="77777777" w:rsidR="00CB0DFB" w:rsidRPr="009C52C4" w:rsidRDefault="00CB0DFB">
      <w:pPr>
        <w:rPr>
          <w:rFonts w:ascii="Times New Roman" w:hAnsi="Times New Roman" w:cs="Times New Roman"/>
          <w:b/>
          <w:sz w:val="24"/>
          <w:szCs w:val="24"/>
        </w:rPr>
      </w:pPr>
      <w:bookmarkStart w:id="206" w:name="_Toc483223934"/>
      <w:r w:rsidRPr="009C52C4">
        <w:rPr>
          <w:rFonts w:ascii="Times New Roman" w:hAnsi="Times New Roman" w:cs="Times New Roman"/>
          <w:sz w:val="24"/>
          <w:szCs w:val="24"/>
        </w:rPr>
        <w:br w:type="page"/>
      </w:r>
    </w:p>
    <w:p w14:paraId="6D6251AE" w14:textId="77777777" w:rsidR="004E6F69" w:rsidRPr="009C52C4" w:rsidRDefault="004E6F69" w:rsidP="004F09F1">
      <w:pPr>
        <w:pStyle w:val="Heading2"/>
        <w:numPr>
          <w:ilvl w:val="1"/>
          <w:numId w:val="39"/>
        </w:numPr>
        <w:spacing w:line="276" w:lineRule="auto"/>
        <w:ind w:left="0" w:firstLine="284"/>
        <w:rPr>
          <w:rFonts w:ascii="Times New Roman" w:hAnsi="Times New Roman" w:cs="Times New Roman"/>
          <w:sz w:val="24"/>
          <w:szCs w:val="24"/>
        </w:rPr>
      </w:pPr>
      <w:bookmarkStart w:id="207" w:name="_Toc3277935"/>
      <w:r w:rsidRPr="009C52C4">
        <w:rPr>
          <w:rFonts w:ascii="Times New Roman" w:hAnsi="Times New Roman" w:cs="Times New Roman"/>
          <w:sz w:val="24"/>
          <w:szCs w:val="24"/>
        </w:rPr>
        <w:lastRenderedPageBreak/>
        <w:t>Strateški ciljevi obnove zgrada, potrebna ulaganja i učinci na BDP, ušteda energije, zaposlenost i državni proračun</w:t>
      </w:r>
      <w:bookmarkEnd w:id="206"/>
      <w:r w:rsidRPr="009C52C4">
        <w:rPr>
          <w:rFonts w:ascii="Times New Roman" w:hAnsi="Times New Roman" w:cs="Times New Roman"/>
          <w:sz w:val="24"/>
          <w:szCs w:val="24"/>
        </w:rPr>
        <w:t xml:space="preserve"> za razdoblje do 2050. godine</w:t>
      </w:r>
      <w:bookmarkEnd w:id="207"/>
    </w:p>
    <w:p w14:paraId="6FE47758" w14:textId="77777777" w:rsidR="004E6F69" w:rsidRPr="009C52C4" w:rsidRDefault="004E6F69">
      <w:pPr>
        <w:rPr>
          <w:rFonts w:ascii="Times New Roman" w:hAnsi="Times New Roman" w:cs="Times New Roman"/>
          <w:sz w:val="24"/>
          <w:szCs w:val="24"/>
        </w:rPr>
      </w:pPr>
    </w:p>
    <w:p w14:paraId="2AC363FB" w14:textId="137AEA18"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Procjenjuje se da je za smanjenje emisije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za 80% u zgradarstvu do 2050. neophodno obnoviti </w:t>
      </w:r>
      <w:r w:rsidR="00847629" w:rsidRPr="009C52C4">
        <w:rPr>
          <w:rFonts w:ascii="Times New Roman" w:hAnsi="Times New Roman" w:cs="Times New Roman"/>
          <w:color w:val="auto"/>
          <w:sz w:val="24"/>
          <w:szCs w:val="24"/>
          <w:lang w:eastAsia="en-US"/>
        </w:rPr>
        <w:t>91</w:t>
      </w:r>
      <w:r w:rsidRPr="009C52C4">
        <w:rPr>
          <w:rFonts w:ascii="Times New Roman" w:hAnsi="Times New Roman" w:cs="Times New Roman"/>
          <w:color w:val="auto"/>
          <w:sz w:val="24"/>
          <w:szCs w:val="24"/>
          <w:lang w:eastAsia="en-US"/>
        </w:rPr>
        <w:t>,</w:t>
      </w:r>
      <w:r w:rsidR="00847629" w:rsidRPr="009C52C4">
        <w:rPr>
          <w:rFonts w:ascii="Times New Roman" w:hAnsi="Times New Roman" w:cs="Times New Roman"/>
          <w:color w:val="auto"/>
          <w:sz w:val="24"/>
          <w:szCs w:val="24"/>
          <w:lang w:eastAsia="en-US"/>
        </w:rPr>
        <w:t>7</w:t>
      </w:r>
      <w:r w:rsidRPr="009C52C4">
        <w:rPr>
          <w:rFonts w:ascii="Times New Roman" w:hAnsi="Times New Roman" w:cs="Times New Roman"/>
          <w:color w:val="auto"/>
          <w:sz w:val="24"/>
          <w:szCs w:val="24"/>
          <w:lang w:eastAsia="en-US"/>
        </w:rPr>
        <w:t xml:space="preserve">% nacionalnog fonda zgrada </w:t>
      </w:r>
      <w:r w:rsidR="00847629" w:rsidRPr="009C52C4">
        <w:rPr>
          <w:rFonts w:ascii="Times New Roman" w:hAnsi="Times New Roman" w:cs="Times New Roman"/>
          <w:color w:val="auto"/>
          <w:sz w:val="24"/>
          <w:szCs w:val="24"/>
          <w:lang w:eastAsia="en-US"/>
        </w:rPr>
        <w:t xml:space="preserve">prema zahtjevima </w:t>
      </w:r>
      <w:r w:rsidR="00847629" w:rsidRPr="009C52C4">
        <w:rPr>
          <w:rFonts w:ascii="Times New Roman" w:hAnsi="Times New Roman" w:cs="Times New Roman"/>
          <w:i/>
          <w:color w:val="auto"/>
          <w:sz w:val="24"/>
          <w:szCs w:val="24"/>
          <w:lang w:eastAsia="en-US"/>
        </w:rPr>
        <w:t>Tehničkog propisa</w:t>
      </w:r>
      <w:r w:rsidR="00847629"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xml:space="preserve">. Pretpostavljeni neto (bez PDV-a) specifični investicijski izdatak iznosi oko </w:t>
      </w:r>
      <w:r w:rsidR="00847629" w:rsidRPr="009C52C4">
        <w:rPr>
          <w:rFonts w:ascii="Times New Roman" w:hAnsi="Times New Roman" w:cs="Times New Roman"/>
          <w:color w:val="auto"/>
          <w:sz w:val="24"/>
          <w:szCs w:val="24"/>
          <w:lang w:eastAsia="en-US"/>
        </w:rPr>
        <w:t>1</w:t>
      </w:r>
      <w:r w:rsidR="006E3ED8" w:rsidRPr="009C52C4">
        <w:rPr>
          <w:rFonts w:ascii="Times New Roman" w:hAnsi="Times New Roman" w:cs="Times New Roman"/>
          <w:color w:val="auto"/>
          <w:sz w:val="24"/>
          <w:szCs w:val="24"/>
          <w:lang w:eastAsia="en-US"/>
        </w:rPr>
        <w:t>,</w:t>
      </w:r>
      <w:r w:rsidR="00847629" w:rsidRPr="009C52C4">
        <w:rPr>
          <w:rFonts w:ascii="Times New Roman" w:hAnsi="Times New Roman" w:cs="Times New Roman"/>
          <w:color w:val="auto"/>
          <w:sz w:val="24"/>
          <w:szCs w:val="24"/>
          <w:lang w:eastAsia="en-US"/>
        </w:rPr>
        <w:t>637</w:t>
      </w:r>
      <w:r w:rsidRPr="009C52C4">
        <w:rPr>
          <w:rFonts w:ascii="Times New Roman" w:hAnsi="Times New Roman" w:cs="Times New Roman"/>
          <w:color w:val="auto"/>
          <w:sz w:val="24"/>
          <w:szCs w:val="24"/>
          <w:lang w:eastAsia="en-US"/>
        </w:rPr>
        <w:t xml:space="preserve"> HRK/m</w:t>
      </w:r>
      <w:r w:rsidRPr="009C52C4">
        <w:rPr>
          <w:rFonts w:ascii="Times New Roman" w:hAnsi="Times New Roman" w:cs="Times New Roman"/>
          <w:color w:val="auto"/>
          <w:sz w:val="24"/>
          <w:szCs w:val="24"/>
          <w:vertAlign w:val="superscript"/>
          <w:lang w:eastAsia="en-US"/>
        </w:rPr>
        <w:t>2</w:t>
      </w:r>
      <w:r w:rsidRPr="009C52C4">
        <w:rPr>
          <w:rFonts w:ascii="Times New Roman" w:hAnsi="Times New Roman" w:cs="Times New Roman"/>
          <w:color w:val="auto"/>
          <w:sz w:val="24"/>
          <w:szCs w:val="24"/>
          <w:lang w:eastAsia="en-US"/>
        </w:rPr>
        <w:t>. Iako je šansa za široku primjenu ovog</w:t>
      </w:r>
      <w:r w:rsidR="006E3ED8" w:rsidRPr="009C52C4">
        <w:rPr>
          <w:rFonts w:ascii="Times New Roman" w:hAnsi="Times New Roman" w:cs="Times New Roman"/>
          <w:color w:val="auto"/>
          <w:sz w:val="24"/>
          <w:szCs w:val="24"/>
          <w:lang w:eastAsia="en-US"/>
        </w:rPr>
        <w:t>a</w:t>
      </w:r>
      <w:r w:rsidRPr="009C52C4">
        <w:rPr>
          <w:rFonts w:ascii="Times New Roman" w:hAnsi="Times New Roman" w:cs="Times New Roman"/>
          <w:color w:val="auto"/>
          <w:sz w:val="24"/>
          <w:szCs w:val="24"/>
          <w:lang w:eastAsia="en-US"/>
        </w:rPr>
        <w:t xml:space="preserve"> standarda obnove na bitno povećanom obujmu zgrada odnosno kvadrata već od 2017. veoma mala, strateški ciljevi su definirani na razini obnove </w:t>
      </w:r>
      <w:r w:rsidR="00847629" w:rsidRPr="009C52C4">
        <w:rPr>
          <w:rFonts w:ascii="Times New Roman" w:hAnsi="Times New Roman" w:cs="Times New Roman"/>
          <w:color w:val="auto"/>
          <w:sz w:val="24"/>
          <w:szCs w:val="24"/>
          <w:lang w:eastAsia="en-US"/>
        </w:rPr>
        <w:t>3,5%</w:t>
      </w:r>
      <w:r w:rsidRPr="009C52C4">
        <w:rPr>
          <w:rFonts w:ascii="Times New Roman" w:hAnsi="Times New Roman" w:cs="Times New Roman"/>
          <w:color w:val="auto"/>
          <w:sz w:val="24"/>
          <w:szCs w:val="24"/>
          <w:lang w:eastAsia="en-US"/>
        </w:rPr>
        <w:t xml:space="preserve"> </w:t>
      </w:r>
      <w:r w:rsidR="00847629" w:rsidRPr="009C52C4">
        <w:rPr>
          <w:rFonts w:ascii="Times New Roman" w:hAnsi="Times New Roman" w:cs="Times New Roman"/>
          <w:color w:val="auto"/>
          <w:sz w:val="24"/>
          <w:szCs w:val="24"/>
          <w:lang w:eastAsia="en-US"/>
        </w:rPr>
        <w:t xml:space="preserve">nacionalnog fonda zgrada u razdoblju od 2017. do 2029. godine, 3% u razdoblju od 2030. do 2039. godine </w:t>
      </w:r>
      <w:r w:rsidRPr="009C52C4">
        <w:rPr>
          <w:rFonts w:ascii="Times New Roman" w:hAnsi="Times New Roman" w:cs="Times New Roman"/>
          <w:color w:val="auto"/>
          <w:sz w:val="24"/>
          <w:szCs w:val="24"/>
          <w:lang w:eastAsia="en-US"/>
        </w:rPr>
        <w:t>i 1,5% u petom desetljeću XXI stoljeća.</w:t>
      </w:r>
    </w:p>
    <w:p w14:paraId="24DF5526" w14:textId="77777777" w:rsidR="004E6F69" w:rsidRPr="009C52C4" w:rsidRDefault="004E6F69" w:rsidP="004E6F69">
      <w:pPr>
        <w:rPr>
          <w:rFonts w:ascii="Times New Roman" w:hAnsi="Times New Roman" w:cs="Times New Roman"/>
          <w:color w:val="auto"/>
          <w:sz w:val="24"/>
          <w:szCs w:val="24"/>
          <w:lang w:eastAsia="en-US"/>
        </w:rPr>
      </w:pPr>
    </w:p>
    <w:p w14:paraId="26D258CA" w14:textId="5FD953B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Investicijski izdaci se sastoje od tri elementa. Početno ulaganje predstavlja umnožak broja kvadrata i investicijskog izdatka </w:t>
      </w:r>
      <w:r w:rsidR="00847629" w:rsidRPr="009C52C4">
        <w:rPr>
          <w:rFonts w:ascii="Times New Roman" w:hAnsi="Times New Roman" w:cs="Times New Roman"/>
          <w:color w:val="auto"/>
          <w:sz w:val="24"/>
          <w:szCs w:val="24"/>
          <w:lang w:eastAsia="en-US"/>
        </w:rPr>
        <w:t xml:space="preserve">za obnovu </w:t>
      </w:r>
      <w:r w:rsidRPr="009C52C4">
        <w:rPr>
          <w:rFonts w:ascii="Times New Roman" w:hAnsi="Times New Roman" w:cs="Times New Roman"/>
          <w:color w:val="auto"/>
          <w:sz w:val="24"/>
          <w:szCs w:val="24"/>
          <w:lang w:eastAsia="en-US"/>
        </w:rPr>
        <w:t xml:space="preserve">prema </w:t>
      </w:r>
      <w:r w:rsidR="00847629" w:rsidRPr="009C52C4">
        <w:rPr>
          <w:rFonts w:ascii="Times New Roman" w:hAnsi="Times New Roman" w:cs="Times New Roman"/>
          <w:color w:val="auto"/>
          <w:sz w:val="24"/>
          <w:szCs w:val="24"/>
          <w:lang w:eastAsia="en-US"/>
        </w:rPr>
        <w:t xml:space="preserve">zahtjevima </w:t>
      </w:r>
      <w:r w:rsidR="00847629" w:rsidRPr="009C52C4">
        <w:rPr>
          <w:rFonts w:ascii="Times New Roman" w:hAnsi="Times New Roman" w:cs="Times New Roman"/>
          <w:i/>
          <w:color w:val="auto"/>
          <w:sz w:val="24"/>
          <w:szCs w:val="24"/>
          <w:lang w:eastAsia="en-US"/>
        </w:rPr>
        <w:t>Tehničkog propisa</w:t>
      </w:r>
      <w:r w:rsidR="00847629"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xml:space="preserve">. Tekuće investicijsko održavanje procijenjeno je na 5,3% kumulativnog iznosa ulaganja. Zamjenske investicije toplinskih i rasvjetnih instalacija u procijenjenom iznosu od oko </w:t>
      </w:r>
      <w:r w:rsidR="00847629" w:rsidRPr="009C52C4">
        <w:rPr>
          <w:rFonts w:ascii="Times New Roman" w:hAnsi="Times New Roman" w:cs="Times New Roman"/>
          <w:color w:val="auto"/>
          <w:sz w:val="24"/>
          <w:szCs w:val="24"/>
          <w:lang w:eastAsia="en-US"/>
        </w:rPr>
        <w:t>759</w:t>
      </w:r>
      <w:r w:rsidRPr="009C52C4">
        <w:rPr>
          <w:rFonts w:ascii="Times New Roman" w:hAnsi="Times New Roman" w:cs="Times New Roman"/>
          <w:color w:val="auto"/>
          <w:sz w:val="24"/>
          <w:szCs w:val="24"/>
          <w:lang w:eastAsia="en-US"/>
        </w:rPr>
        <w:t xml:space="preserve"> HRK/m</w:t>
      </w:r>
      <w:r w:rsidRPr="009C52C4">
        <w:rPr>
          <w:rFonts w:ascii="Times New Roman" w:hAnsi="Times New Roman" w:cs="Times New Roman"/>
          <w:color w:val="auto"/>
          <w:sz w:val="24"/>
          <w:szCs w:val="24"/>
          <w:vertAlign w:val="superscript"/>
          <w:lang w:eastAsia="en-US"/>
        </w:rPr>
        <w:t>2</w:t>
      </w:r>
      <w:r w:rsidRPr="009C52C4">
        <w:rPr>
          <w:rFonts w:ascii="Times New Roman" w:hAnsi="Times New Roman" w:cs="Times New Roman"/>
          <w:color w:val="auto"/>
          <w:sz w:val="24"/>
          <w:szCs w:val="24"/>
          <w:lang w:eastAsia="en-US"/>
        </w:rPr>
        <w:t xml:space="preserve"> poduzimaju se po isteku petnaest godina nakon prvotne ugradnje. Sve je iskazano u stalnim cijenama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_Ref483404540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Slika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w:t>
      </w:r>
    </w:p>
    <w:p w14:paraId="6EA509E2" w14:textId="77777777" w:rsidR="004E6F69" w:rsidRPr="009C52C4" w:rsidRDefault="00E279C4" w:rsidP="004E6F69">
      <w:pP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w:drawing>
          <wp:inline distT="0" distB="0" distL="0" distR="0" wp14:anchorId="661D26E8" wp14:editId="076A8886">
            <wp:extent cx="6066155" cy="3755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6155" cy="3755390"/>
                    </a:xfrm>
                    <a:prstGeom prst="rect">
                      <a:avLst/>
                    </a:prstGeom>
                    <a:noFill/>
                  </pic:spPr>
                </pic:pic>
              </a:graphicData>
            </a:graphic>
          </wp:inline>
        </w:drawing>
      </w:r>
    </w:p>
    <w:p w14:paraId="4C790E66" w14:textId="1388873A" w:rsidR="004E6F69" w:rsidRPr="009C52C4" w:rsidRDefault="00462D0B" w:rsidP="00462D0B">
      <w:pPr>
        <w:pStyle w:val="Caption"/>
        <w:jc w:val="center"/>
        <w:rPr>
          <w:rFonts w:ascii="Times New Roman" w:hAnsi="Times New Roman" w:cs="Times New Roman"/>
          <w:b w:val="0"/>
          <w:bCs w:val="0"/>
          <w:sz w:val="24"/>
          <w:szCs w:val="24"/>
          <w:lang w:eastAsia="en-US"/>
        </w:rPr>
      </w:pPr>
      <w:bookmarkStart w:id="208" w:name="_Ref483404540"/>
      <w:bookmarkStart w:id="209" w:name="_Toc2681281"/>
      <w:r w:rsidRPr="009C52C4">
        <w:rPr>
          <w:rFonts w:ascii="Times New Roman" w:hAnsi="Times New Roman" w:cs="Times New Roman"/>
          <w:sz w:val="24"/>
          <w:szCs w:val="24"/>
        </w:rPr>
        <w:t xml:space="preserve">Slika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4F09F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Slika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1</w:t>
      </w:r>
      <w:r w:rsidR="00B6149D" w:rsidRPr="009C52C4">
        <w:rPr>
          <w:rFonts w:ascii="Times New Roman" w:hAnsi="Times New Roman" w:cs="Times New Roman"/>
          <w:noProof/>
          <w:sz w:val="24"/>
          <w:szCs w:val="24"/>
        </w:rPr>
        <w:fldChar w:fldCharType="end"/>
      </w:r>
      <w:bookmarkEnd w:id="208"/>
      <w:r w:rsidRPr="009C52C4">
        <w:rPr>
          <w:rFonts w:ascii="Times New Roman" w:hAnsi="Times New Roman" w:cs="Times New Roman"/>
          <w:b w:val="0"/>
          <w:bCs w:val="0"/>
          <w:sz w:val="24"/>
          <w:szCs w:val="24"/>
          <w:lang w:eastAsia="en-US"/>
        </w:rPr>
        <w:t xml:space="preserve"> Struktura ulaganja u održivu obnovu zgrada </w:t>
      </w:r>
      <w:r w:rsidR="005D06A0" w:rsidRPr="009C52C4">
        <w:rPr>
          <w:rFonts w:ascii="Times New Roman" w:hAnsi="Times New Roman" w:cs="Times New Roman"/>
          <w:b w:val="0"/>
          <w:bCs w:val="0"/>
          <w:sz w:val="24"/>
          <w:szCs w:val="24"/>
          <w:lang w:eastAsia="en-US"/>
        </w:rPr>
        <w:t xml:space="preserve">u razdoblju od </w:t>
      </w:r>
      <w:r w:rsidRPr="009C52C4">
        <w:rPr>
          <w:rFonts w:ascii="Times New Roman" w:hAnsi="Times New Roman" w:cs="Times New Roman"/>
          <w:b w:val="0"/>
          <w:bCs w:val="0"/>
          <w:sz w:val="24"/>
          <w:szCs w:val="24"/>
          <w:lang w:eastAsia="en-US"/>
        </w:rPr>
        <w:t>2014.</w:t>
      </w:r>
      <w:r w:rsidR="005D06A0" w:rsidRPr="009C52C4">
        <w:rPr>
          <w:rFonts w:ascii="Times New Roman" w:hAnsi="Times New Roman" w:cs="Times New Roman"/>
          <w:b w:val="0"/>
          <w:bCs w:val="0"/>
          <w:sz w:val="24"/>
          <w:szCs w:val="24"/>
          <w:lang w:eastAsia="en-US"/>
        </w:rPr>
        <w:t xml:space="preserve"> do</w:t>
      </w:r>
      <w:r w:rsidRPr="009C52C4">
        <w:rPr>
          <w:rFonts w:ascii="Times New Roman" w:hAnsi="Times New Roman" w:cs="Times New Roman"/>
          <w:b w:val="0"/>
          <w:bCs w:val="0"/>
          <w:sz w:val="24"/>
          <w:szCs w:val="24"/>
          <w:lang w:eastAsia="en-US"/>
        </w:rPr>
        <w:t xml:space="preserve"> 2050.</w:t>
      </w:r>
      <w:r w:rsidR="005D06A0" w:rsidRPr="009C52C4">
        <w:rPr>
          <w:rFonts w:ascii="Times New Roman" w:hAnsi="Times New Roman" w:cs="Times New Roman"/>
          <w:b w:val="0"/>
          <w:bCs w:val="0"/>
          <w:sz w:val="24"/>
          <w:szCs w:val="24"/>
          <w:lang w:eastAsia="en-US"/>
        </w:rPr>
        <w:t xml:space="preserve"> godine</w:t>
      </w:r>
      <w:bookmarkEnd w:id="209"/>
    </w:p>
    <w:p w14:paraId="5B2A3D17" w14:textId="77777777" w:rsidR="004E6F69" w:rsidRPr="009C52C4" w:rsidRDefault="004E6F69" w:rsidP="004E6F69">
      <w:pPr>
        <w:rPr>
          <w:rFonts w:ascii="Times New Roman" w:hAnsi="Times New Roman" w:cs="Times New Roman"/>
          <w:color w:val="auto"/>
          <w:sz w:val="24"/>
          <w:szCs w:val="24"/>
          <w:lang w:eastAsia="en-US"/>
        </w:rPr>
      </w:pPr>
    </w:p>
    <w:p w14:paraId="7E76739E"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Ulaganja prikazana na slici imaju snažne učinke na BDP, zaposlenost i prihode državnog proračuna. Izravni učinci se javljaju u građevinarstvu. Neizravni ili multiplikativni učinci šire</w:t>
      </w:r>
      <w:r w:rsidR="00E279C4" w:rsidRPr="009C52C4">
        <w:rPr>
          <w:rFonts w:ascii="Times New Roman" w:hAnsi="Times New Roman" w:cs="Times New Roman"/>
          <w:color w:val="auto"/>
          <w:sz w:val="24"/>
          <w:szCs w:val="24"/>
          <w:lang w:eastAsia="en-US"/>
        </w:rPr>
        <w:t xml:space="preserve"> se</w:t>
      </w:r>
      <w:r w:rsidRPr="009C52C4">
        <w:rPr>
          <w:rFonts w:ascii="Times New Roman" w:hAnsi="Times New Roman" w:cs="Times New Roman"/>
          <w:color w:val="auto"/>
          <w:sz w:val="24"/>
          <w:szCs w:val="24"/>
          <w:lang w:eastAsia="en-US"/>
        </w:rPr>
        <w:t xml:space="preserve"> preko mreže ekonomskih inputa na cjelokupno gospodarstvo.</w:t>
      </w:r>
    </w:p>
    <w:p w14:paraId="213E738E" w14:textId="77777777" w:rsidR="004E6F69" w:rsidRPr="009C52C4" w:rsidRDefault="004E6F69" w:rsidP="004E6F69">
      <w:pPr>
        <w:rPr>
          <w:rFonts w:ascii="Times New Roman" w:hAnsi="Times New Roman" w:cs="Times New Roman"/>
          <w:color w:val="auto"/>
          <w:sz w:val="24"/>
          <w:szCs w:val="24"/>
          <w:lang w:eastAsia="en-US"/>
        </w:rPr>
      </w:pPr>
    </w:p>
    <w:p w14:paraId="73E3CB80" w14:textId="6D735FA6"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Rezultati u sljedećoj tablici (</w:t>
      </w:r>
      <w:r w:rsidR="005D06A0" w:rsidRPr="009C52C4">
        <w:rPr>
          <w:rFonts w:ascii="Times New Roman" w:hAnsi="Times New Roman" w:cs="Times New Roman"/>
          <w:color w:val="auto"/>
          <w:sz w:val="24"/>
          <w:szCs w:val="24"/>
          <w:lang w:eastAsia="en-US"/>
        </w:rPr>
        <w:fldChar w:fldCharType="begin"/>
      </w:r>
      <w:r w:rsidR="005D06A0" w:rsidRPr="009C52C4">
        <w:rPr>
          <w:rFonts w:ascii="Times New Roman" w:hAnsi="Times New Roman" w:cs="Times New Roman"/>
          <w:color w:val="auto"/>
          <w:sz w:val="24"/>
          <w:szCs w:val="24"/>
          <w:lang w:eastAsia="en-US"/>
        </w:rPr>
        <w:instrText xml:space="preserve"> REF _Ref483470821 \h </w:instrText>
      </w:r>
      <w:r w:rsidR="00873572" w:rsidRPr="009C52C4">
        <w:rPr>
          <w:rFonts w:ascii="Times New Roman" w:hAnsi="Times New Roman" w:cs="Times New Roman"/>
          <w:color w:val="auto"/>
          <w:sz w:val="24"/>
          <w:szCs w:val="24"/>
          <w:lang w:eastAsia="en-US"/>
        </w:rPr>
        <w:instrText xml:space="preserve"> \* MERGEFORMAT </w:instrText>
      </w:r>
      <w:r w:rsidR="005D06A0" w:rsidRPr="009C52C4">
        <w:rPr>
          <w:rFonts w:ascii="Times New Roman" w:hAnsi="Times New Roman" w:cs="Times New Roman"/>
          <w:color w:val="auto"/>
          <w:sz w:val="24"/>
          <w:szCs w:val="24"/>
          <w:lang w:eastAsia="en-US"/>
        </w:rPr>
      </w:r>
      <w:r w:rsidR="005D06A0"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2</w:t>
      </w:r>
      <w:r w:rsidR="005D06A0"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pokazuju da predviđeni tempo obnove ima značajne učinke na investicije koji su osjetni i na makroekonomskoj razini. Dugoročni godišnji prosjek udjela ove vrst</w:t>
      </w:r>
      <w:r w:rsidR="00E279C4" w:rsidRPr="009C52C4">
        <w:rPr>
          <w:rFonts w:ascii="Times New Roman" w:hAnsi="Times New Roman" w:cs="Times New Roman"/>
          <w:color w:val="auto"/>
          <w:sz w:val="24"/>
          <w:szCs w:val="24"/>
          <w:lang w:eastAsia="en-US"/>
        </w:rPr>
        <w:t>e investicija u BDP-u iznosi 4,1</w:t>
      </w:r>
      <w:r w:rsidRPr="009C52C4">
        <w:rPr>
          <w:rFonts w:ascii="Times New Roman" w:hAnsi="Times New Roman" w:cs="Times New Roman"/>
          <w:color w:val="auto"/>
          <w:sz w:val="24"/>
          <w:szCs w:val="24"/>
          <w:lang w:eastAsia="en-US"/>
        </w:rPr>
        <w:t>%. Udjel je u prvom razdoblju razmjerno skroman (premda ne i zanemariv: 1,</w:t>
      </w:r>
      <w:r w:rsidR="00E279C4" w:rsidRPr="009C52C4">
        <w:rPr>
          <w:rFonts w:ascii="Times New Roman" w:hAnsi="Times New Roman" w:cs="Times New Roman"/>
          <w:color w:val="auto"/>
          <w:sz w:val="24"/>
          <w:szCs w:val="24"/>
          <w:lang w:eastAsia="en-US"/>
        </w:rPr>
        <w:t>8</w:t>
      </w:r>
      <w:r w:rsidRPr="009C52C4">
        <w:rPr>
          <w:rFonts w:ascii="Times New Roman" w:hAnsi="Times New Roman" w:cs="Times New Roman"/>
          <w:color w:val="auto"/>
          <w:sz w:val="24"/>
          <w:szCs w:val="24"/>
          <w:lang w:eastAsia="en-US"/>
        </w:rPr>
        <w:t xml:space="preserve">%), što se objašnjava uvodno spomenutim inicijalnim podbačajem ulaganja. No, već u razdoblju 2020.-2024. dostiže se </w:t>
      </w:r>
      <w:r w:rsidR="00E279C4" w:rsidRPr="009C52C4">
        <w:rPr>
          <w:rFonts w:ascii="Times New Roman" w:hAnsi="Times New Roman" w:cs="Times New Roman"/>
          <w:color w:val="auto"/>
          <w:sz w:val="24"/>
          <w:szCs w:val="24"/>
          <w:lang w:eastAsia="en-US"/>
        </w:rPr>
        <w:t>značajan udio investicija u BDP-u od 3,8</w:t>
      </w:r>
      <w:r w:rsidRPr="009C52C4">
        <w:rPr>
          <w:rFonts w:ascii="Times New Roman" w:hAnsi="Times New Roman" w:cs="Times New Roman"/>
          <w:color w:val="auto"/>
          <w:sz w:val="24"/>
          <w:szCs w:val="24"/>
          <w:lang w:eastAsia="en-US"/>
        </w:rPr>
        <w:t xml:space="preserve">%, što postaje važna odrednica ukupne investicijske aktivnosti u zemlji </w:t>
      </w:r>
      <w:r w:rsidRPr="009C52C4">
        <w:rPr>
          <w:rFonts w:ascii="Times New Roman" w:hAnsi="Times New Roman" w:cs="Times New Roman"/>
          <w:color w:val="auto"/>
          <w:sz w:val="24"/>
          <w:szCs w:val="24"/>
          <w:lang w:eastAsia="en-US"/>
        </w:rPr>
        <w:lastRenderedPageBreak/>
        <w:t xml:space="preserve">(trenutno se omjer investicija kreće oko 20%). Nakon toga udjel se kreće između </w:t>
      </w:r>
      <w:r w:rsidR="00E279C4" w:rsidRPr="009C52C4">
        <w:rPr>
          <w:rFonts w:ascii="Times New Roman" w:hAnsi="Times New Roman" w:cs="Times New Roman"/>
          <w:color w:val="auto"/>
          <w:sz w:val="24"/>
          <w:szCs w:val="24"/>
          <w:lang w:eastAsia="en-US"/>
        </w:rPr>
        <w:t>4</w:t>
      </w:r>
      <w:r w:rsidRPr="009C52C4">
        <w:rPr>
          <w:rFonts w:ascii="Times New Roman" w:hAnsi="Times New Roman" w:cs="Times New Roman"/>
          <w:color w:val="auto"/>
          <w:sz w:val="24"/>
          <w:szCs w:val="24"/>
          <w:lang w:eastAsia="en-US"/>
        </w:rPr>
        <w:t>,2% i 5,</w:t>
      </w:r>
      <w:r w:rsidR="00E279C4" w:rsidRPr="009C52C4">
        <w:rPr>
          <w:rFonts w:ascii="Times New Roman" w:hAnsi="Times New Roman" w:cs="Times New Roman"/>
          <w:color w:val="auto"/>
          <w:sz w:val="24"/>
          <w:szCs w:val="24"/>
          <w:lang w:eastAsia="en-US"/>
        </w:rPr>
        <w:t>0</w:t>
      </w:r>
      <w:r w:rsidRPr="009C52C4">
        <w:rPr>
          <w:rFonts w:ascii="Times New Roman" w:hAnsi="Times New Roman" w:cs="Times New Roman"/>
          <w:color w:val="auto"/>
          <w:sz w:val="24"/>
          <w:szCs w:val="24"/>
          <w:lang w:eastAsia="en-US"/>
        </w:rPr>
        <w:t>% u prosjeku godišnje. Treba primijetiti da tekuće investicijsko održavanje i zamjena opreme s vremenom postaju važnije odrednice ukupnih ulaganja od početnih investicija, kao što je prikazano na slici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_Ref483404540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Slika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1</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w:t>
      </w:r>
    </w:p>
    <w:p w14:paraId="0502E131" w14:textId="77777777" w:rsidR="00462D0B" w:rsidRPr="009C52C4" w:rsidRDefault="00462D0B" w:rsidP="004E6F69">
      <w:pPr>
        <w:rPr>
          <w:rFonts w:ascii="Times New Roman" w:hAnsi="Times New Roman" w:cs="Times New Roman"/>
          <w:color w:val="auto"/>
          <w:sz w:val="24"/>
          <w:szCs w:val="24"/>
          <w:lang w:eastAsia="en-US"/>
        </w:rPr>
      </w:pPr>
    </w:p>
    <w:p w14:paraId="5A85D9A9"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Realizacija prikazanih investicija ima snažan učinak na izravno zapošljavanje u građevinarstvu. Učinak je najjači na početku razdoblja intenzivnih ulaganja. Tada dolazi do brze mobilizacije poduzetnika i radnika. Kasniji učinci su manji, jer otprije povećani broj radnika obavlja nove poslove, a razmjerno je jednostavno izvesti preusmjeravanje poduzetnika i radnika s početnih ulaganja na poslove održavanja sukladno promjenama strukture ulaganja. Također, s vremenom dolazi do rasta dohodaka i tehnološkog napretka, pa se smanjuje broj novih radnih mjesta koja se otvaraju po novčanoj jedinici novih ulaganja.</w:t>
      </w:r>
      <w:r w:rsidR="00E279C4" w:rsidRPr="009C52C4">
        <w:rPr>
          <w:rFonts w:ascii="Times New Roman" w:hAnsi="Times New Roman" w:cs="Times New Roman"/>
          <w:color w:val="auto"/>
          <w:sz w:val="24"/>
          <w:szCs w:val="24"/>
          <w:lang w:eastAsia="en-US"/>
        </w:rPr>
        <w:t xml:space="preserve"> U zadnjem desetljeću programa obnove broj angažiranih radnika se blago smanjuje, jer učinak rasta produktivnosti premašuje učinak rasta ulaganja.</w:t>
      </w:r>
    </w:p>
    <w:p w14:paraId="5BFBFF76" w14:textId="77777777" w:rsidR="004E6F69" w:rsidRPr="009C52C4" w:rsidRDefault="004E6F69" w:rsidP="004E6F69">
      <w:pPr>
        <w:rPr>
          <w:rFonts w:ascii="Times New Roman" w:hAnsi="Times New Roman" w:cs="Times New Roman"/>
          <w:color w:val="auto"/>
          <w:sz w:val="24"/>
          <w:szCs w:val="24"/>
          <w:lang w:eastAsia="en-US"/>
        </w:rPr>
      </w:pPr>
    </w:p>
    <w:p w14:paraId="6D842E40" w14:textId="79E19F13" w:rsidR="005D06A0" w:rsidRPr="009C52C4" w:rsidRDefault="005D06A0" w:rsidP="005D06A0">
      <w:pPr>
        <w:pStyle w:val="Caption"/>
        <w:rPr>
          <w:rFonts w:ascii="Times New Roman" w:hAnsi="Times New Roman" w:cs="Times New Roman"/>
          <w:b w:val="0"/>
          <w:bCs w:val="0"/>
          <w:sz w:val="24"/>
          <w:szCs w:val="24"/>
          <w:lang w:eastAsia="en-US"/>
        </w:rPr>
      </w:pPr>
      <w:bookmarkStart w:id="210" w:name="_Ref483470821"/>
      <w:bookmarkStart w:id="211" w:name="_Toc2681329"/>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210"/>
      <w:r w:rsidRPr="009C52C4">
        <w:rPr>
          <w:rFonts w:ascii="Times New Roman" w:hAnsi="Times New Roman" w:cs="Times New Roman"/>
          <w:b w:val="0"/>
          <w:bCs w:val="0"/>
          <w:sz w:val="24"/>
          <w:szCs w:val="24"/>
          <w:lang w:eastAsia="en-US"/>
        </w:rPr>
        <w:t>. Utjecaj predviđenog tempa obnove na investicijske izdatke i zapošljavanje u građevinarstvu do 2050. godine</w:t>
      </w:r>
      <w:bookmarkEnd w:id="211"/>
    </w:p>
    <w:tbl>
      <w:tblPr>
        <w:tblStyle w:val="TableGrid"/>
        <w:tblW w:w="9032" w:type="dxa"/>
        <w:tblLayout w:type="fixed"/>
        <w:tblLook w:val="04A0" w:firstRow="1" w:lastRow="0" w:firstColumn="1" w:lastColumn="0" w:noHBand="0" w:noVBand="1"/>
      </w:tblPr>
      <w:tblGrid>
        <w:gridCol w:w="1858"/>
        <w:gridCol w:w="1133"/>
        <w:gridCol w:w="1132"/>
        <w:gridCol w:w="1133"/>
        <w:gridCol w:w="1259"/>
        <w:gridCol w:w="1258"/>
        <w:gridCol w:w="1259"/>
      </w:tblGrid>
      <w:tr w:rsidR="00FC2D68" w:rsidRPr="009C52C4" w14:paraId="1F30C4AB" w14:textId="77777777" w:rsidTr="00A26C32">
        <w:trPr>
          <w:trHeight w:val="542"/>
        </w:trPr>
        <w:tc>
          <w:tcPr>
            <w:tcW w:w="1858" w:type="dxa"/>
            <w:shd w:val="clear" w:color="auto" w:fill="C2D69B" w:themeFill="accent3" w:themeFillTint="99"/>
            <w:vAlign w:val="center"/>
          </w:tcPr>
          <w:p w14:paraId="02EF4C08" w14:textId="77777777" w:rsidR="00E279C4" w:rsidRPr="009C52C4" w:rsidRDefault="00574A75" w:rsidP="00574A75">
            <w:pPr>
              <w:rPr>
                <w:rFonts w:ascii="Times New Roman" w:hAnsi="Times New Roman"/>
                <w:b/>
                <w:color w:val="000000"/>
                <w:sz w:val="24"/>
                <w:szCs w:val="24"/>
              </w:rPr>
            </w:pPr>
            <w:r w:rsidRPr="009C52C4">
              <w:rPr>
                <w:rFonts w:ascii="Times New Roman" w:hAnsi="Times New Roman"/>
                <w:b/>
                <w:color w:val="000000"/>
                <w:sz w:val="24"/>
                <w:szCs w:val="24"/>
              </w:rPr>
              <w:t>Promatrano razdoblje</w:t>
            </w:r>
          </w:p>
        </w:tc>
        <w:tc>
          <w:tcPr>
            <w:tcW w:w="1133" w:type="dxa"/>
            <w:shd w:val="clear" w:color="auto" w:fill="C2D69B" w:themeFill="accent3" w:themeFillTint="99"/>
            <w:vAlign w:val="center"/>
          </w:tcPr>
          <w:p w14:paraId="31448F45" w14:textId="7E2967B3" w:rsidR="00E279C4" w:rsidRPr="009C52C4" w:rsidRDefault="00E279C4">
            <w:pPr>
              <w:jc w:val="center"/>
              <w:rPr>
                <w:rFonts w:ascii="Times New Roman" w:hAnsi="Times New Roman"/>
                <w:b/>
                <w:bCs/>
                <w:color w:val="000000"/>
                <w:sz w:val="24"/>
                <w:szCs w:val="24"/>
              </w:rPr>
            </w:pPr>
            <w:r w:rsidRPr="009C52C4">
              <w:rPr>
                <w:rFonts w:ascii="Times New Roman" w:hAnsi="Times New Roman"/>
                <w:b/>
                <w:bCs/>
                <w:color w:val="000000"/>
                <w:sz w:val="24"/>
                <w:szCs w:val="24"/>
              </w:rPr>
              <w:t>2014.-2019</w:t>
            </w:r>
            <w:r w:rsidR="006E3ED8" w:rsidRPr="009C52C4">
              <w:rPr>
                <w:rFonts w:ascii="Times New Roman" w:hAnsi="Times New Roman"/>
                <w:b/>
                <w:bCs/>
                <w:color w:val="000000"/>
                <w:sz w:val="24"/>
                <w:szCs w:val="24"/>
              </w:rPr>
              <w:t>.</w:t>
            </w:r>
          </w:p>
        </w:tc>
        <w:tc>
          <w:tcPr>
            <w:tcW w:w="1132" w:type="dxa"/>
            <w:shd w:val="clear" w:color="auto" w:fill="C2D69B" w:themeFill="accent3" w:themeFillTint="99"/>
            <w:vAlign w:val="center"/>
          </w:tcPr>
          <w:p w14:paraId="2E392508" w14:textId="77777777" w:rsidR="00E279C4" w:rsidRPr="009C52C4" w:rsidRDefault="00E279C4">
            <w:pPr>
              <w:jc w:val="center"/>
              <w:rPr>
                <w:rFonts w:ascii="Times New Roman" w:hAnsi="Times New Roman"/>
                <w:b/>
                <w:bCs/>
                <w:color w:val="000000"/>
                <w:sz w:val="24"/>
                <w:szCs w:val="24"/>
              </w:rPr>
            </w:pPr>
            <w:r w:rsidRPr="009C52C4">
              <w:rPr>
                <w:rFonts w:ascii="Times New Roman" w:hAnsi="Times New Roman"/>
                <w:b/>
                <w:bCs/>
                <w:color w:val="000000"/>
                <w:sz w:val="24"/>
                <w:szCs w:val="24"/>
              </w:rPr>
              <w:t>2020.-2024.</w:t>
            </w:r>
          </w:p>
        </w:tc>
        <w:tc>
          <w:tcPr>
            <w:tcW w:w="1133" w:type="dxa"/>
            <w:shd w:val="clear" w:color="auto" w:fill="C2D69B" w:themeFill="accent3" w:themeFillTint="99"/>
            <w:vAlign w:val="center"/>
          </w:tcPr>
          <w:p w14:paraId="614E8204" w14:textId="77777777" w:rsidR="00E279C4" w:rsidRPr="009C52C4" w:rsidRDefault="00E279C4">
            <w:pPr>
              <w:jc w:val="center"/>
              <w:rPr>
                <w:rFonts w:ascii="Times New Roman" w:hAnsi="Times New Roman"/>
                <w:b/>
                <w:bCs/>
                <w:color w:val="000000"/>
                <w:sz w:val="24"/>
                <w:szCs w:val="24"/>
              </w:rPr>
            </w:pPr>
            <w:r w:rsidRPr="009C52C4">
              <w:rPr>
                <w:rFonts w:ascii="Times New Roman" w:hAnsi="Times New Roman"/>
                <w:b/>
                <w:bCs/>
                <w:color w:val="000000"/>
                <w:sz w:val="24"/>
                <w:szCs w:val="24"/>
              </w:rPr>
              <w:t>2025.-2029.</w:t>
            </w:r>
          </w:p>
        </w:tc>
        <w:tc>
          <w:tcPr>
            <w:tcW w:w="1259" w:type="dxa"/>
            <w:shd w:val="clear" w:color="auto" w:fill="C2D69B" w:themeFill="accent3" w:themeFillTint="99"/>
            <w:vAlign w:val="center"/>
          </w:tcPr>
          <w:p w14:paraId="1BDEB2B1" w14:textId="77777777" w:rsidR="00E279C4" w:rsidRPr="009C52C4" w:rsidRDefault="00E279C4">
            <w:pPr>
              <w:jc w:val="center"/>
              <w:rPr>
                <w:rFonts w:ascii="Times New Roman" w:hAnsi="Times New Roman"/>
                <w:b/>
                <w:bCs/>
                <w:color w:val="000000"/>
                <w:sz w:val="24"/>
                <w:szCs w:val="24"/>
              </w:rPr>
            </w:pPr>
            <w:r w:rsidRPr="009C52C4">
              <w:rPr>
                <w:rFonts w:ascii="Times New Roman" w:hAnsi="Times New Roman"/>
                <w:b/>
                <w:bCs/>
                <w:color w:val="000000"/>
                <w:sz w:val="24"/>
                <w:szCs w:val="24"/>
              </w:rPr>
              <w:t>2030.-2039.</w:t>
            </w:r>
          </w:p>
        </w:tc>
        <w:tc>
          <w:tcPr>
            <w:tcW w:w="1258" w:type="dxa"/>
            <w:shd w:val="clear" w:color="auto" w:fill="C2D69B" w:themeFill="accent3" w:themeFillTint="99"/>
            <w:vAlign w:val="center"/>
          </w:tcPr>
          <w:p w14:paraId="4979DE9B" w14:textId="77777777" w:rsidR="00E279C4" w:rsidRPr="009C52C4" w:rsidRDefault="00E279C4">
            <w:pPr>
              <w:jc w:val="center"/>
              <w:rPr>
                <w:rFonts w:ascii="Times New Roman" w:hAnsi="Times New Roman"/>
                <w:b/>
                <w:bCs/>
                <w:color w:val="000000"/>
                <w:sz w:val="24"/>
                <w:szCs w:val="24"/>
              </w:rPr>
            </w:pPr>
            <w:r w:rsidRPr="009C52C4">
              <w:rPr>
                <w:rFonts w:ascii="Times New Roman" w:hAnsi="Times New Roman"/>
                <w:b/>
                <w:bCs/>
                <w:color w:val="000000"/>
                <w:sz w:val="24"/>
                <w:szCs w:val="24"/>
              </w:rPr>
              <w:t>2040.-2049.</w:t>
            </w:r>
          </w:p>
        </w:tc>
        <w:tc>
          <w:tcPr>
            <w:tcW w:w="1259" w:type="dxa"/>
            <w:shd w:val="clear" w:color="auto" w:fill="C2D69B" w:themeFill="accent3" w:themeFillTint="99"/>
            <w:vAlign w:val="center"/>
          </w:tcPr>
          <w:p w14:paraId="635DC3E3"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UKUPNO 2014.-2049.</w:t>
            </w:r>
          </w:p>
        </w:tc>
      </w:tr>
      <w:tr w:rsidR="00FC2D68" w:rsidRPr="009C52C4" w14:paraId="21289F09" w14:textId="77777777" w:rsidTr="00A26C32">
        <w:trPr>
          <w:trHeight w:val="557"/>
        </w:trPr>
        <w:tc>
          <w:tcPr>
            <w:tcW w:w="1858" w:type="dxa"/>
            <w:tcBorders>
              <w:bottom w:val="single" w:sz="4" w:space="0" w:color="auto"/>
            </w:tcBorders>
            <w:vAlign w:val="bottom"/>
          </w:tcPr>
          <w:p w14:paraId="2CF5887F"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 obnovljenog fonda (kumulativ)</w:t>
            </w:r>
          </w:p>
        </w:tc>
        <w:tc>
          <w:tcPr>
            <w:tcW w:w="1133" w:type="dxa"/>
            <w:vAlign w:val="center"/>
          </w:tcPr>
          <w:p w14:paraId="628248B3"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11,7%</w:t>
            </w:r>
          </w:p>
        </w:tc>
        <w:tc>
          <w:tcPr>
            <w:tcW w:w="1132" w:type="dxa"/>
            <w:vAlign w:val="center"/>
          </w:tcPr>
          <w:p w14:paraId="3B2BEFB1"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29,2%</w:t>
            </w:r>
          </w:p>
        </w:tc>
        <w:tc>
          <w:tcPr>
            <w:tcW w:w="1133" w:type="dxa"/>
            <w:vAlign w:val="center"/>
          </w:tcPr>
          <w:p w14:paraId="1F972C06"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46,7%</w:t>
            </w:r>
          </w:p>
        </w:tc>
        <w:tc>
          <w:tcPr>
            <w:tcW w:w="1259" w:type="dxa"/>
            <w:vAlign w:val="center"/>
          </w:tcPr>
          <w:p w14:paraId="0580AA0A"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76,7%</w:t>
            </w:r>
          </w:p>
        </w:tc>
        <w:tc>
          <w:tcPr>
            <w:tcW w:w="1258" w:type="dxa"/>
            <w:vAlign w:val="center"/>
          </w:tcPr>
          <w:p w14:paraId="3407FC87"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91,7%</w:t>
            </w:r>
          </w:p>
        </w:tc>
        <w:tc>
          <w:tcPr>
            <w:tcW w:w="1259" w:type="dxa"/>
            <w:vAlign w:val="center"/>
          </w:tcPr>
          <w:p w14:paraId="316F980B"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91,7%</w:t>
            </w:r>
          </w:p>
        </w:tc>
      </w:tr>
      <w:tr w:rsidR="00FC2D68" w:rsidRPr="009C52C4" w14:paraId="65523CD1" w14:textId="77777777" w:rsidTr="00A26C32">
        <w:trPr>
          <w:trHeight w:val="829"/>
        </w:trPr>
        <w:tc>
          <w:tcPr>
            <w:tcW w:w="1858" w:type="dxa"/>
            <w:tcBorders>
              <w:bottom w:val="nil"/>
            </w:tcBorders>
            <w:vAlign w:val="bottom"/>
          </w:tcPr>
          <w:p w14:paraId="2E69E939"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Iznos ulaganja - kumulativ razdoblja</w:t>
            </w:r>
            <w:r w:rsidR="00574A75" w:rsidRPr="009C52C4">
              <w:rPr>
                <w:rFonts w:ascii="Times New Roman" w:hAnsi="Times New Roman"/>
                <w:color w:val="000000"/>
                <w:sz w:val="24"/>
                <w:szCs w:val="24"/>
              </w:rPr>
              <w:t xml:space="preserve"> [HRK]</w:t>
            </w:r>
          </w:p>
        </w:tc>
        <w:tc>
          <w:tcPr>
            <w:tcW w:w="1133" w:type="dxa"/>
            <w:vAlign w:val="center"/>
          </w:tcPr>
          <w:p w14:paraId="3024F817"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38.263.581.767</w:t>
            </w:r>
          </w:p>
        </w:tc>
        <w:tc>
          <w:tcPr>
            <w:tcW w:w="1132" w:type="dxa"/>
            <w:vAlign w:val="center"/>
          </w:tcPr>
          <w:p w14:paraId="154E4FAB"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73.041.407.496</w:t>
            </w:r>
          </w:p>
        </w:tc>
        <w:tc>
          <w:tcPr>
            <w:tcW w:w="1133" w:type="dxa"/>
            <w:vAlign w:val="center"/>
          </w:tcPr>
          <w:p w14:paraId="78530745"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87.656.566.555</w:t>
            </w:r>
          </w:p>
        </w:tc>
        <w:tc>
          <w:tcPr>
            <w:tcW w:w="1259" w:type="dxa"/>
            <w:vAlign w:val="center"/>
          </w:tcPr>
          <w:p w14:paraId="244ACC18"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237.685.815.683</w:t>
            </w:r>
          </w:p>
        </w:tc>
        <w:tc>
          <w:tcPr>
            <w:tcW w:w="1258" w:type="dxa"/>
            <w:vAlign w:val="center"/>
          </w:tcPr>
          <w:p w14:paraId="64846917"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268.686.372.446</w:t>
            </w:r>
          </w:p>
        </w:tc>
        <w:tc>
          <w:tcPr>
            <w:tcW w:w="1259" w:type="dxa"/>
            <w:vAlign w:val="center"/>
          </w:tcPr>
          <w:p w14:paraId="46C09649"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705.333.743.947</w:t>
            </w:r>
          </w:p>
        </w:tc>
      </w:tr>
      <w:tr w:rsidR="00FC2D68" w:rsidRPr="009C52C4" w14:paraId="37F1A96B" w14:textId="77777777" w:rsidTr="00A26C32">
        <w:trPr>
          <w:trHeight w:val="1100"/>
        </w:trPr>
        <w:tc>
          <w:tcPr>
            <w:tcW w:w="1858" w:type="dxa"/>
            <w:tcBorders>
              <w:top w:val="nil"/>
              <w:bottom w:val="nil"/>
            </w:tcBorders>
            <w:vAlign w:val="bottom"/>
          </w:tcPr>
          <w:p w14:paraId="1EF41703"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 od toga: početno ulaganje - kumulativ razdoblja</w:t>
            </w:r>
            <w:r w:rsidR="00574A75" w:rsidRPr="009C52C4">
              <w:rPr>
                <w:rFonts w:ascii="Times New Roman" w:hAnsi="Times New Roman"/>
                <w:color w:val="000000"/>
                <w:sz w:val="24"/>
                <w:szCs w:val="24"/>
              </w:rPr>
              <w:t xml:space="preserve"> [HRK]</w:t>
            </w:r>
          </w:p>
        </w:tc>
        <w:tc>
          <w:tcPr>
            <w:tcW w:w="1133" w:type="dxa"/>
            <w:vAlign w:val="center"/>
          </w:tcPr>
          <w:p w14:paraId="152395F3"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34.417.994.130</w:t>
            </w:r>
          </w:p>
        </w:tc>
        <w:tc>
          <w:tcPr>
            <w:tcW w:w="1132" w:type="dxa"/>
            <w:vAlign w:val="center"/>
          </w:tcPr>
          <w:p w14:paraId="113C462D"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55.151.543.617</w:t>
            </w:r>
          </w:p>
        </w:tc>
        <w:tc>
          <w:tcPr>
            <w:tcW w:w="1133" w:type="dxa"/>
            <w:vAlign w:val="center"/>
          </w:tcPr>
          <w:p w14:paraId="505CD6FB"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55.151.543.617</w:t>
            </w:r>
          </w:p>
        </w:tc>
        <w:tc>
          <w:tcPr>
            <w:tcW w:w="1259" w:type="dxa"/>
            <w:vAlign w:val="center"/>
          </w:tcPr>
          <w:p w14:paraId="14B04296"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94.545.503.343</w:t>
            </w:r>
          </w:p>
        </w:tc>
        <w:tc>
          <w:tcPr>
            <w:tcW w:w="1258" w:type="dxa"/>
            <w:vAlign w:val="center"/>
          </w:tcPr>
          <w:p w14:paraId="48F74171"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47.272.751.672</w:t>
            </w:r>
          </w:p>
        </w:tc>
        <w:tc>
          <w:tcPr>
            <w:tcW w:w="1259" w:type="dxa"/>
            <w:vAlign w:val="center"/>
          </w:tcPr>
          <w:p w14:paraId="50967ACB" w14:textId="5A32B1C4"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286.539.336.37</w:t>
            </w:r>
            <w:r w:rsidR="006E3ED8" w:rsidRPr="009C52C4">
              <w:rPr>
                <w:rFonts w:ascii="Times New Roman" w:hAnsi="Times New Roman"/>
                <w:color w:val="000000"/>
                <w:sz w:val="24"/>
                <w:szCs w:val="24"/>
              </w:rPr>
              <w:t>9</w:t>
            </w:r>
          </w:p>
        </w:tc>
      </w:tr>
      <w:tr w:rsidR="00FC2D68" w:rsidRPr="009C52C4" w14:paraId="78655C07" w14:textId="77777777" w:rsidTr="00A26C32">
        <w:trPr>
          <w:trHeight w:val="1100"/>
        </w:trPr>
        <w:tc>
          <w:tcPr>
            <w:tcW w:w="1858" w:type="dxa"/>
            <w:tcBorders>
              <w:top w:val="nil"/>
              <w:bottom w:val="nil"/>
            </w:tcBorders>
            <w:vAlign w:val="bottom"/>
          </w:tcPr>
          <w:p w14:paraId="4CFD4862"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 od toga: održavanje - kumulativ razdoblja</w:t>
            </w:r>
            <w:r w:rsidR="00574A75" w:rsidRPr="009C52C4">
              <w:rPr>
                <w:rFonts w:ascii="Times New Roman" w:hAnsi="Times New Roman"/>
                <w:color w:val="000000"/>
                <w:sz w:val="24"/>
                <w:szCs w:val="24"/>
              </w:rPr>
              <w:t xml:space="preserve"> [HRK]</w:t>
            </w:r>
          </w:p>
        </w:tc>
        <w:tc>
          <w:tcPr>
            <w:tcW w:w="1133" w:type="dxa"/>
            <w:vAlign w:val="center"/>
          </w:tcPr>
          <w:p w14:paraId="2BCEC1A0"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3.845.587.637</w:t>
            </w:r>
          </w:p>
        </w:tc>
        <w:tc>
          <w:tcPr>
            <w:tcW w:w="1132" w:type="dxa"/>
            <w:vAlign w:val="center"/>
          </w:tcPr>
          <w:p w14:paraId="35E6F1CA"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17.889.863.879</w:t>
            </w:r>
          </w:p>
        </w:tc>
        <w:tc>
          <w:tcPr>
            <w:tcW w:w="1133" w:type="dxa"/>
            <w:vAlign w:val="center"/>
          </w:tcPr>
          <w:p w14:paraId="77D6A3FA"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32.505.022.938</w:t>
            </w:r>
          </w:p>
        </w:tc>
        <w:tc>
          <w:tcPr>
            <w:tcW w:w="1259" w:type="dxa"/>
            <w:vAlign w:val="center"/>
          </w:tcPr>
          <w:p w14:paraId="005DA69C"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110.698.711.382</w:t>
            </w:r>
          </w:p>
        </w:tc>
        <w:tc>
          <w:tcPr>
            <w:tcW w:w="1258" w:type="dxa"/>
            <w:vAlign w:val="center"/>
          </w:tcPr>
          <w:p w14:paraId="23CD5AA8"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172.461.487.363</w:t>
            </w:r>
          </w:p>
        </w:tc>
        <w:tc>
          <w:tcPr>
            <w:tcW w:w="1259" w:type="dxa"/>
            <w:vAlign w:val="center"/>
          </w:tcPr>
          <w:p w14:paraId="181BAA6A"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337.400.673.199</w:t>
            </w:r>
          </w:p>
        </w:tc>
      </w:tr>
      <w:tr w:rsidR="00FC2D68" w:rsidRPr="009C52C4" w14:paraId="5ABC613D" w14:textId="77777777" w:rsidTr="00A26C32">
        <w:trPr>
          <w:trHeight w:val="829"/>
        </w:trPr>
        <w:tc>
          <w:tcPr>
            <w:tcW w:w="1858" w:type="dxa"/>
            <w:tcBorders>
              <w:top w:val="nil"/>
            </w:tcBorders>
            <w:vAlign w:val="bottom"/>
          </w:tcPr>
          <w:p w14:paraId="6388693C"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 od toga: zamjene - kumulativ razdoblja</w:t>
            </w:r>
            <w:r w:rsidR="00574A75" w:rsidRPr="009C52C4">
              <w:rPr>
                <w:rFonts w:ascii="Times New Roman" w:hAnsi="Times New Roman"/>
                <w:color w:val="000000"/>
                <w:sz w:val="24"/>
                <w:szCs w:val="24"/>
              </w:rPr>
              <w:t xml:space="preserve"> [HRK]</w:t>
            </w:r>
          </w:p>
        </w:tc>
        <w:tc>
          <w:tcPr>
            <w:tcW w:w="1133" w:type="dxa"/>
            <w:vAlign w:val="center"/>
          </w:tcPr>
          <w:p w14:paraId="033A03D5"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132" w:type="dxa"/>
            <w:vAlign w:val="center"/>
          </w:tcPr>
          <w:p w14:paraId="63B1BE78"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133" w:type="dxa"/>
            <w:vAlign w:val="center"/>
          </w:tcPr>
          <w:p w14:paraId="34E4F55C"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259" w:type="dxa"/>
            <w:vAlign w:val="center"/>
          </w:tcPr>
          <w:p w14:paraId="4EA5AD40"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32.441.600.958</w:t>
            </w:r>
          </w:p>
        </w:tc>
        <w:tc>
          <w:tcPr>
            <w:tcW w:w="1258" w:type="dxa"/>
            <w:vAlign w:val="center"/>
          </w:tcPr>
          <w:p w14:paraId="44F4607E"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48.952.133.412</w:t>
            </w:r>
          </w:p>
        </w:tc>
        <w:tc>
          <w:tcPr>
            <w:tcW w:w="1259" w:type="dxa"/>
            <w:vAlign w:val="center"/>
          </w:tcPr>
          <w:p w14:paraId="6E269F5B"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81.393.734.370</w:t>
            </w:r>
          </w:p>
        </w:tc>
      </w:tr>
      <w:tr w:rsidR="00FC2D68" w:rsidRPr="009C52C4" w14:paraId="2D10E200" w14:textId="77777777" w:rsidTr="00A26C32">
        <w:trPr>
          <w:trHeight w:val="829"/>
        </w:trPr>
        <w:tc>
          <w:tcPr>
            <w:tcW w:w="1858" w:type="dxa"/>
            <w:vAlign w:val="bottom"/>
          </w:tcPr>
          <w:p w14:paraId="07EB52AE"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Iznos ulaganja - godišnji prosjek u razdoblju</w:t>
            </w:r>
            <w:r w:rsidR="00574A75" w:rsidRPr="009C52C4">
              <w:rPr>
                <w:rFonts w:ascii="Times New Roman" w:hAnsi="Times New Roman"/>
                <w:color w:val="000000"/>
                <w:sz w:val="24"/>
                <w:szCs w:val="24"/>
              </w:rPr>
              <w:t xml:space="preserve"> [HRK]</w:t>
            </w:r>
          </w:p>
        </w:tc>
        <w:tc>
          <w:tcPr>
            <w:tcW w:w="1133" w:type="dxa"/>
            <w:vAlign w:val="center"/>
          </w:tcPr>
          <w:p w14:paraId="69CF97CD"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6.377.263.628</w:t>
            </w:r>
          </w:p>
        </w:tc>
        <w:tc>
          <w:tcPr>
            <w:tcW w:w="1132" w:type="dxa"/>
            <w:vAlign w:val="center"/>
          </w:tcPr>
          <w:p w14:paraId="5BFF9552"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14.608.281.499</w:t>
            </w:r>
          </w:p>
        </w:tc>
        <w:tc>
          <w:tcPr>
            <w:tcW w:w="1133" w:type="dxa"/>
            <w:vAlign w:val="center"/>
          </w:tcPr>
          <w:p w14:paraId="771062AC"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17.531.313.311</w:t>
            </w:r>
          </w:p>
        </w:tc>
        <w:tc>
          <w:tcPr>
            <w:tcW w:w="1259" w:type="dxa"/>
            <w:vAlign w:val="center"/>
          </w:tcPr>
          <w:p w14:paraId="4AA6524D"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23.768.581.568</w:t>
            </w:r>
          </w:p>
        </w:tc>
        <w:tc>
          <w:tcPr>
            <w:tcW w:w="1258" w:type="dxa"/>
            <w:vAlign w:val="center"/>
          </w:tcPr>
          <w:p w14:paraId="69B02A83"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26.868.637.245</w:t>
            </w:r>
          </w:p>
        </w:tc>
        <w:tc>
          <w:tcPr>
            <w:tcW w:w="1259" w:type="dxa"/>
            <w:vAlign w:val="center"/>
          </w:tcPr>
          <w:p w14:paraId="265BDBED"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19.592.603.999</w:t>
            </w:r>
          </w:p>
        </w:tc>
      </w:tr>
      <w:tr w:rsidR="00FC2D68" w:rsidRPr="009C52C4" w14:paraId="60757BDC" w14:textId="77777777" w:rsidTr="00A26C32">
        <w:trPr>
          <w:trHeight w:val="829"/>
        </w:trPr>
        <w:tc>
          <w:tcPr>
            <w:tcW w:w="1858" w:type="dxa"/>
            <w:tcBorders>
              <w:bottom w:val="single" w:sz="4" w:space="0" w:color="auto"/>
            </w:tcBorders>
            <w:vAlign w:val="bottom"/>
          </w:tcPr>
          <w:p w14:paraId="7BBAD7BD" w14:textId="77777777" w:rsidR="00E279C4" w:rsidRPr="009C52C4" w:rsidRDefault="00E279C4">
            <w:pPr>
              <w:rPr>
                <w:rFonts w:ascii="Times New Roman" w:hAnsi="Times New Roman"/>
                <w:color w:val="000000"/>
                <w:sz w:val="24"/>
                <w:szCs w:val="24"/>
              </w:rPr>
            </w:pPr>
            <w:r w:rsidRPr="009C52C4">
              <w:rPr>
                <w:rFonts w:ascii="Times New Roman" w:hAnsi="Times New Roman"/>
                <w:color w:val="000000"/>
                <w:sz w:val="24"/>
                <w:szCs w:val="24"/>
              </w:rPr>
              <w:t>Iznos ulaganja - ukupno € u prosjeku godišnje*</w:t>
            </w:r>
          </w:p>
        </w:tc>
        <w:tc>
          <w:tcPr>
            <w:tcW w:w="1133" w:type="dxa"/>
            <w:tcBorders>
              <w:bottom w:val="single" w:sz="4" w:space="0" w:color="auto"/>
            </w:tcBorders>
            <w:vAlign w:val="center"/>
          </w:tcPr>
          <w:p w14:paraId="49F36146"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839.113.635</w:t>
            </w:r>
          </w:p>
        </w:tc>
        <w:tc>
          <w:tcPr>
            <w:tcW w:w="1132" w:type="dxa"/>
            <w:tcBorders>
              <w:bottom w:val="single" w:sz="4" w:space="0" w:color="auto"/>
            </w:tcBorders>
            <w:vAlign w:val="center"/>
          </w:tcPr>
          <w:p w14:paraId="18E79EC3"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1.922.142.303</w:t>
            </w:r>
          </w:p>
        </w:tc>
        <w:tc>
          <w:tcPr>
            <w:tcW w:w="1133" w:type="dxa"/>
            <w:tcBorders>
              <w:bottom w:val="single" w:sz="4" w:space="0" w:color="auto"/>
            </w:tcBorders>
            <w:vAlign w:val="center"/>
          </w:tcPr>
          <w:p w14:paraId="08C25AA3"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2.306.751.751</w:t>
            </w:r>
          </w:p>
        </w:tc>
        <w:tc>
          <w:tcPr>
            <w:tcW w:w="1259" w:type="dxa"/>
            <w:tcBorders>
              <w:bottom w:val="single" w:sz="4" w:space="0" w:color="auto"/>
            </w:tcBorders>
            <w:vAlign w:val="center"/>
          </w:tcPr>
          <w:p w14:paraId="231BD0BF"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3.127.444.943</w:t>
            </w:r>
          </w:p>
        </w:tc>
        <w:tc>
          <w:tcPr>
            <w:tcW w:w="1258" w:type="dxa"/>
            <w:tcBorders>
              <w:bottom w:val="single" w:sz="4" w:space="0" w:color="auto"/>
            </w:tcBorders>
            <w:vAlign w:val="center"/>
          </w:tcPr>
          <w:p w14:paraId="7D23E555"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3.535.347.006</w:t>
            </w:r>
          </w:p>
        </w:tc>
        <w:tc>
          <w:tcPr>
            <w:tcW w:w="1259" w:type="dxa"/>
            <w:tcBorders>
              <w:bottom w:val="single" w:sz="4" w:space="0" w:color="auto"/>
            </w:tcBorders>
            <w:vAlign w:val="center"/>
          </w:tcPr>
          <w:p w14:paraId="6521E5B0" w14:textId="77777777" w:rsidR="00E279C4" w:rsidRPr="009C52C4" w:rsidRDefault="00E279C4" w:rsidP="00FC2D68">
            <w:pPr>
              <w:jc w:val="center"/>
              <w:rPr>
                <w:rFonts w:ascii="Times New Roman" w:hAnsi="Times New Roman"/>
                <w:color w:val="000000"/>
                <w:sz w:val="24"/>
                <w:szCs w:val="24"/>
              </w:rPr>
            </w:pPr>
            <w:r w:rsidRPr="009C52C4">
              <w:rPr>
                <w:rFonts w:ascii="Times New Roman" w:hAnsi="Times New Roman"/>
                <w:color w:val="000000"/>
                <w:sz w:val="24"/>
                <w:szCs w:val="24"/>
              </w:rPr>
              <w:t>2.577.974.210</w:t>
            </w:r>
          </w:p>
        </w:tc>
      </w:tr>
      <w:tr w:rsidR="00FC2D68" w:rsidRPr="009C52C4" w14:paraId="14E95D5B" w14:textId="77777777" w:rsidTr="00A26C32">
        <w:trPr>
          <w:trHeight w:val="829"/>
        </w:trPr>
        <w:tc>
          <w:tcPr>
            <w:tcW w:w="1858" w:type="dxa"/>
            <w:shd w:val="clear" w:color="auto" w:fill="D6E3BC" w:themeFill="accent3" w:themeFillTint="66"/>
            <w:vAlign w:val="bottom"/>
          </w:tcPr>
          <w:p w14:paraId="161D887B" w14:textId="77777777" w:rsidR="00E279C4" w:rsidRPr="009C52C4" w:rsidRDefault="00E279C4">
            <w:pPr>
              <w:rPr>
                <w:rFonts w:ascii="Times New Roman" w:hAnsi="Times New Roman"/>
                <w:b/>
                <w:bCs/>
                <w:color w:val="000000"/>
                <w:sz w:val="24"/>
                <w:szCs w:val="24"/>
              </w:rPr>
            </w:pPr>
            <w:r w:rsidRPr="009C52C4">
              <w:rPr>
                <w:rFonts w:ascii="Times New Roman" w:hAnsi="Times New Roman"/>
                <w:b/>
                <w:bCs/>
                <w:color w:val="000000"/>
                <w:sz w:val="24"/>
                <w:szCs w:val="24"/>
              </w:rPr>
              <w:t>Prosječni godišnji iznos ulaganja u % BDP-a</w:t>
            </w:r>
          </w:p>
        </w:tc>
        <w:tc>
          <w:tcPr>
            <w:tcW w:w="1133" w:type="dxa"/>
            <w:shd w:val="clear" w:color="auto" w:fill="D6E3BC" w:themeFill="accent3" w:themeFillTint="66"/>
            <w:vAlign w:val="center"/>
          </w:tcPr>
          <w:p w14:paraId="06099D32"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1,8%</w:t>
            </w:r>
          </w:p>
        </w:tc>
        <w:tc>
          <w:tcPr>
            <w:tcW w:w="1132" w:type="dxa"/>
            <w:shd w:val="clear" w:color="auto" w:fill="D6E3BC" w:themeFill="accent3" w:themeFillTint="66"/>
            <w:vAlign w:val="center"/>
          </w:tcPr>
          <w:p w14:paraId="39E037B8"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3,8%</w:t>
            </w:r>
          </w:p>
        </w:tc>
        <w:tc>
          <w:tcPr>
            <w:tcW w:w="1133" w:type="dxa"/>
            <w:shd w:val="clear" w:color="auto" w:fill="D6E3BC" w:themeFill="accent3" w:themeFillTint="66"/>
            <w:vAlign w:val="center"/>
          </w:tcPr>
          <w:p w14:paraId="69C65C4B"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4,2%</w:t>
            </w:r>
          </w:p>
        </w:tc>
        <w:tc>
          <w:tcPr>
            <w:tcW w:w="1259" w:type="dxa"/>
            <w:shd w:val="clear" w:color="auto" w:fill="D6E3BC" w:themeFill="accent3" w:themeFillTint="66"/>
            <w:vAlign w:val="center"/>
          </w:tcPr>
          <w:p w14:paraId="79CF89E6"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4,9%</w:t>
            </w:r>
          </w:p>
        </w:tc>
        <w:tc>
          <w:tcPr>
            <w:tcW w:w="1258" w:type="dxa"/>
            <w:shd w:val="clear" w:color="auto" w:fill="D6E3BC" w:themeFill="accent3" w:themeFillTint="66"/>
            <w:vAlign w:val="center"/>
          </w:tcPr>
          <w:p w14:paraId="29EA48E6"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4,7%</w:t>
            </w:r>
          </w:p>
        </w:tc>
        <w:tc>
          <w:tcPr>
            <w:tcW w:w="1259" w:type="dxa"/>
            <w:shd w:val="clear" w:color="auto" w:fill="D6E3BC" w:themeFill="accent3" w:themeFillTint="66"/>
            <w:vAlign w:val="center"/>
          </w:tcPr>
          <w:p w14:paraId="1BFB5B46" w14:textId="77777777" w:rsidR="00E279C4" w:rsidRPr="009C52C4" w:rsidRDefault="00E279C4" w:rsidP="00FC2D68">
            <w:pPr>
              <w:jc w:val="center"/>
              <w:rPr>
                <w:rFonts w:ascii="Times New Roman" w:hAnsi="Times New Roman"/>
                <w:b/>
                <w:bCs/>
                <w:color w:val="000000"/>
                <w:sz w:val="24"/>
                <w:szCs w:val="24"/>
              </w:rPr>
            </w:pPr>
            <w:r w:rsidRPr="009C52C4">
              <w:rPr>
                <w:rFonts w:ascii="Times New Roman" w:hAnsi="Times New Roman"/>
                <w:b/>
                <w:bCs/>
                <w:color w:val="000000"/>
                <w:sz w:val="24"/>
                <w:szCs w:val="24"/>
              </w:rPr>
              <w:t>4,1%</w:t>
            </w:r>
          </w:p>
        </w:tc>
      </w:tr>
      <w:tr w:rsidR="00FC2D68" w:rsidRPr="009C52C4" w14:paraId="1F8D5EC0" w14:textId="77777777" w:rsidTr="00A26C32">
        <w:trPr>
          <w:trHeight w:val="271"/>
        </w:trPr>
        <w:tc>
          <w:tcPr>
            <w:tcW w:w="1858" w:type="dxa"/>
            <w:shd w:val="clear" w:color="auto" w:fill="D6E3BC" w:themeFill="accent3" w:themeFillTint="66"/>
            <w:vAlign w:val="bottom"/>
          </w:tcPr>
          <w:p w14:paraId="57AF2620" w14:textId="77777777" w:rsidR="00FC2D68" w:rsidRPr="009C52C4" w:rsidRDefault="00FC2D68">
            <w:pPr>
              <w:rPr>
                <w:rFonts w:ascii="Times New Roman" w:hAnsi="Times New Roman"/>
                <w:color w:val="000000"/>
                <w:sz w:val="24"/>
                <w:szCs w:val="24"/>
              </w:rPr>
            </w:pPr>
            <w:r w:rsidRPr="009C52C4">
              <w:rPr>
                <w:rFonts w:ascii="Times New Roman" w:hAnsi="Times New Roman"/>
                <w:color w:val="000000"/>
                <w:sz w:val="24"/>
                <w:szCs w:val="24"/>
              </w:rPr>
              <w:lastRenderedPageBreak/>
              <w:t>Nova radna mjesta</w:t>
            </w:r>
          </w:p>
        </w:tc>
        <w:tc>
          <w:tcPr>
            <w:tcW w:w="1133" w:type="dxa"/>
            <w:shd w:val="clear" w:color="auto" w:fill="D6E3BC" w:themeFill="accent3" w:themeFillTint="66"/>
            <w:vAlign w:val="center"/>
          </w:tcPr>
          <w:p w14:paraId="7556910F"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20.638</w:t>
            </w:r>
          </w:p>
        </w:tc>
        <w:tc>
          <w:tcPr>
            <w:tcW w:w="1132" w:type="dxa"/>
            <w:shd w:val="clear" w:color="auto" w:fill="D6E3BC" w:themeFill="accent3" w:themeFillTint="66"/>
            <w:vAlign w:val="center"/>
          </w:tcPr>
          <w:p w14:paraId="1507DAD2"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2.837</w:t>
            </w:r>
          </w:p>
        </w:tc>
        <w:tc>
          <w:tcPr>
            <w:tcW w:w="1133" w:type="dxa"/>
            <w:shd w:val="clear" w:color="auto" w:fill="D6E3BC" w:themeFill="accent3" w:themeFillTint="66"/>
            <w:vAlign w:val="center"/>
          </w:tcPr>
          <w:p w14:paraId="69627331"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2.611</w:t>
            </w:r>
          </w:p>
        </w:tc>
        <w:tc>
          <w:tcPr>
            <w:tcW w:w="1259" w:type="dxa"/>
            <w:shd w:val="clear" w:color="auto" w:fill="D6E3BC" w:themeFill="accent3" w:themeFillTint="66"/>
            <w:vAlign w:val="center"/>
          </w:tcPr>
          <w:p w14:paraId="00EA14E4"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8.171</w:t>
            </w:r>
          </w:p>
        </w:tc>
        <w:tc>
          <w:tcPr>
            <w:tcW w:w="1258" w:type="dxa"/>
            <w:shd w:val="clear" w:color="auto" w:fill="D6E3BC" w:themeFill="accent3" w:themeFillTint="66"/>
            <w:vAlign w:val="center"/>
          </w:tcPr>
          <w:p w14:paraId="2F302C7F"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-115</w:t>
            </w:r>
          </w:p>
        </w:tc>
        <w:tc>
          <w:tcPr>
            <w:tcW w:w="1259" w:type="dxa"/>
            <w:shd w:val="clear" w:color="auto" w:fill="D6E3BC" w:themeFill="accent3" w:themeFillTint="66"/>
            <w:vAlign w:val="center"/>
          </w:tcPr>
          <w:p w14:paraId="6627CA6B"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34.141</w:t>
            </w:r>
          </w:p>
        </w:tc>
      </w:tr>
      <w:tr w:rsidR="00FC2D68" w:rsidRPr="009C52C4" w14:paraId="4E570A2F" w14:textId="77777777" w:rsidTr="00A26C32">
        <w:trPr>
          <w:trHeight w:val="814"/>
        </w:trPr>
        <w:tc>
          <w:tcPr>
            <w:tcW w:w="1858" w:type="dxa"/>
            <w:shd w:val="clear" w:color="auto" w:fill="D6E3BC" w:themeFill="accent3" w:themeFillTint="66"/>
            <w:vAlign w:val="bottom"/>
          </w:tcPr>
          <w:p w14:paraId="0D78AEE4" w14:textId="77777777" w:rsidR="00FC2D68" w:rsidRPr="009C52C4" w:rsidRDefault="00FC2D68">
            <w:pPr>
              <w:rPr>
                <w:rFonts w:ascii="Times New Roman" w:hAnsi="Times New Roman"/>
                <w:color w:val="000000"/>
                <w:sz w:val="24"/>
                <w:szCs w:val="24"/>
              </w:rPr>
            </w:pPr>
            <w:r w:rsidRPr="009C52C4">
              <w:rPr>
                <w:rFonts w:ascii="Times New Roman" w:hAnsi="Times New Roman"/>
                <w:color w:val="000000"/>
                <w:sz w:val="24"/>
                <w:szCs w:val="24"/>
              </w:rPr>
              <w:t>Nova radna mjesta po mln € investicije</w:t>
            </w:r>
          </w:p>
        </w:tc>
        <w:tc>
          <w:tcPr>
            <w:tcW w:w="1133" w:type="dxa"/>
            <w:shd w:val="clear" w:color="auto" w:fill="D6E3BC" w:themeFill="accent3" w:themeFillTint="66"/>
            <w:vAlign w:val="center"/>
          </w:tcPr>
          <w:p w14:paraId="69DA0AB6"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11,0</w:t>
            </w:r>
          </w:p>
        </w:tc>
        <w:tc>
          <w:tcPr>
            <w:tcW w:w="1132" w:type="dxa"/>
            <w:shd w:val="clear" w:color="auto" w:fill="D6E3BC" w:themeFill="accent3" w:themeFillTint="66"/>
            <w:vAlign w:val="center"/>
          </w:tcPr>
          <w:p w14:paraId="6CD9D68F"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7,4</w:t>
            </w:r>
          </w:p>
        </w:tc>
        <w:tc>
          <w:tcPr>
            <w:tcW w:w="1133" w:type="dxa"/>
            <w:shd w:val="clear" w:color="auto" w:fill="D6E3BC" w:themeFill="accent3" w:themeFillTint="66"/>
            <w:vAlign w:val="center"/>
          </w:tcPr>
          <w:p w14:paraId="7C09221C"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6,8</w:t>
            </w:r>
          </w:p>
        </w:tc>
        <w:tc>
          <w:tcPr>
            <w:tcW w:w="1259" w:type="dxa"/>
            <w:shd w:val="clear" w:color="auto" w:fill="D6E3BC" w:themeFill="accent3" w:themeFillTint="66"/>
            <w:vAlign w:val="center"/>
          </w:tcPr>
          <w:p w14:paraId="056E7740"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6,0</w:t>
            </w:r>
          </w:p>
        </w:tc>
        <w:tc>
          <w:tcPr>
            <w:tcW w:w="1258" w:type="dxa"/>
            <w:shd w:val="clear" w:color="auto" w:fill="D6E3BC" w:themeFill="accent3" w:themeFillTint="66"/>
            <w:vAlign w:val="center"/>
          </w:tcPr>
          <w:p w14:paraId="79E17517"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5,5</w:t>
            </w:r>
          </w:p>
        </w:tc>
        <w:tc>
          <w:tcPr>
            <w:tcW w:w="1259" w:type="dxa"/>
            <w:shd w:val="clear" w:color="auto" w:fill="D6E3BC" w:themeFill="accent3" w:themeFillTint="66"/>
            <w:vAlign w:val="center"/>
          </w:tcPr>
          <w:p w14:paraId="5955DEF4" w14:textId="77777777" w:rsidR="00FC2D68" w:rsidRPr="009C52C4" w:rsidRDefault="00FC2D68" w:rsidP="00FC2D68">
            <w:pPr>
              <w:jc w:val="center"/>
              <w:rPr>
                <w:rFonts w:ascii="Times New Roman" w:hAnsi="Times New Roman"/>
                <w:color w:val="000000"/>
                <w:sz w:val="24"/>
                <w:szCs w:val="24"/>
              </w:rPr>
            </w:pPr>
            <w:r w:rsidRPr="009C52C4">
              <w:rPr>
                <w:rFonts w:ascii="Times New Roman" w:hAnsi="Times New Roman"/>
                <w:color w:val="000000"/>
                <w:sz w:val="24"/>
                <w:szCs w:val="24"/>
              </w:rPr>
              <w:t>6,9</w:t>
            </w:r>
          </w:p>
        </w:tc>
      </w:tr>
    </w:tbl>
    <w:p w14:paraId="7C2E9B37" w14:textId="77777777" w:rsidR="005D06A0" w:rsidRPr="009C52C4" w:rsidRDefault="005D06A0"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*Prosječan dugoročni tečaj HRK za EUR = 7,6</w:t>
      </w:r>
    </w:p>
    <w:p w14:paraId="23058DA2" w14:textId="77777777" w:rsidR="005D06A0"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mc:AlternateContent>
          <mc:Choice Requires="wps">
            <w:drawing>
              <wp:anchor distT="0" distB="0" distL="114300" distR="114300" simplePos="0" relativeHeight="251674624" behindDoc="0" locked="0" layoutInCell="1" allowOverlap="1" wp14:anchorId="1D0421EC" wp14:editId="429618C6">
                <wp:simplePos x="0" y="0"/>
                <wp:positionH relativeFrom="column">
                  <wp:posOffset>107315</wp:posOffset>
                </wp:positionH>
                <wp:positionV relativeFrom="paragraph">
                  <wp:posOffset>34925</wp:posOffset>
                </wp:positionV>
                <wp:extent cx="5600700" cy="5827395"/>
                <wp:effectExtent l="0" t="0" r="19050" b="20955"/>
                <wp:wrapSquare wrapText="bothSides"/>
                <wp:docPr id="53" name="Text Box 53"/>
                <wp:cNvGraphicFramePr/>
                <a:graphic xmlns:a="http://schemas.openxmlformats.org/drawingml/2006/main">
                  <a:graphicData uri="http://schemas.microsoft.com/office/word/2010/wordprocessingShape">
                    <wps:wsp>
                      <wps:cNvSpPr txBox="1"/>
                      <wps:spPr>
                        <a:xfrm>
                          <a:off x="0" y="0"/>
                          <a:ext cx="5600700" cy="5827395"/>
                        </a:xfrm>
                        <a:prstGeom prst="rect">
                          <a:avLst/>
                        </a:prstGeom>
                        <a:noFill/>
                        <a:ln>
                          <a:solidFill>
                            <a:srgbClr val="5B9BD5"/>
                          </a:solidFill>
                        </a:ln>
                        <a:effectLst/>
                      </wps:spPr>
                      <wps:txbx>
                        <w:txbxContent>
                          <w:p w14:paraId="632ABD7A" w14:textId="77777777" w:rsidR="009C52C4" w:rsidRPr="00920B31" w:rsidRDefault="009C52C4" w:rsidP="004E6F69">
                            <w:pPr>
                              <w:rPr>
                                <w:sz w:val="20"/>
                              </w:rPr>
                            </w:pPr>
                            <w:r w:rsidRPr="00920B31">
                              <w:rPr>
                                <w:sz w:val="20"/>
                              </w:rPr>
                              <w:t>OKVIR</w:t>
                            </w:r>
                            <w:r>
                              <w:rPr>
                                <w:sz w:val="20"/>
                              </w:rPr>
                              <w:t xml:space="preserve"> 1</w:t>
                            </w:r>
                            <w:r w:rsidRPr="00920B31">
                              <w:rPr>
                                <w:sz w:val="20"/>
                              </w:rPr>
                              <w:t>: PRETPOSTAVKE PROJEKCIJA</w:t>
                            </w:r>
                          </w:p>
                          <w:p w14:paraId="79B3D08D" w14:textId="77777777" w:rsidR="009C52C4" w:rsidRDefault="009C52C4" w:rsidP="004E6F69">
                            <w:pPr>
                              <w:rPr>
                                <w:sz w:val="20"/>
                              </w:rPr>
                            </w:pPr>
                            <w:r w:rsidRPr="00D7631F">
                              <w:rPr>
                                <w:sz w:val="20"/>
                              </w:rPr>
                              <w:t>Pored prikazanih ulaznih parametara,</w:t>
                            </w:r>
                            <w:r>
                              <w:rPr>
                                <w:sz w:val="20"/>
                              </w:rPr>
                              <w:t xml:space="preserve"> projekcije se zasnivaju na pretpostavkama o vezi između novih investicija i zaposlenosti u zgradarstvu i o utjecaju rasta dohodaka i tehnološkog napretka na usporavanje zapošljavanja uslijed novih ulaganja u dugom roku. Veza između ulaganja i zaposlenosti u zgradarstvu ekonometrijski je procijenjena prigodom izrade Strategije pomoću modela</w:t>
                            </w:r>
                            <w:r w:rsidRPr="00D7631F">
                              <w:rPr>
                                <w:sz w:val="20"/>
                              </w:rPr>
                              <w:t xml:space="preserve"> korekcije pogreške (engl. Error correction model – ECM). Zavisna i nezavisna varijabla transformirane su u ln oblik, tako da se regresijski koeficijenti mogu interpretirati kao elas</w:t>
                            </w:r>
                            <w:r>
                              <w:rPr>
                                <w:sz w:val="20"/>
                              </w:rPr>
                              <w:t>tičnosti. Tromjesečne</w:t>
                            </w:r>
                            <w:r w:rsidRPr="00D7631F">
                              <w:rPr>
                                <w:sz w:val="20"/>
                              </w:rPr>
                              <w:t xml:space="preserve"> vrijednost</w:t>
                            </w:r>
                            <w:r>
                              <w:rPr>
                                <w:sz w:val="20"/>
                              </w:rPr>
                              <w:t>i</w:t>
                            </w:r>
                            <w:r w:rsidRPr="00D7631F">
                              <w:rPr>
                                <w:sz w:val="20"/>
                              </w:rPr>
                              <w:t xml:space="preserve"> novih narudžbi u zg</w:t>
                            </w:r>
                            <w:r>
                              <w:rPr>
                                <w:sz w:val="20"/>
                              </w:rPr>
                              <w:t>radarstvu</w:t>
                            </w:r>
                            <w:r w:rsidRPr="00D7631F">
                              <w:rPr>
                                <w:sz w:val="20"/>
                              </w:rPr>
                              <w:t xml:space="preserve"> i stanje zaposlenih u zgradarstvu sred</w:t>
                            </w:r>
                            <w:r>
                              <w:rPr>
                                <w:sz w:val="20"/>
                              </w:rPr>
                              <w:t>inom kvartala prvo su povezane pomoću</w:t>
                            </w:r>
                            <w:r w:rsidRPr="00D7631F">
                              <w:rPr>
                                <w:sz w:val="20"/>
                              </w:rPr>
                              <w:t xml:space="preserve"> model</w:t>
                            </w:r>
                            <w:r>
                              <w:rPr>
                                <w:sz w:val="20"/>
                              </w:rPr>
                              <w:t>a</w:t>
                            </w:r>
                            <w:r w:rsidRPr="00D7631F">
                              <w:rPr>
                                <w:sz w:val="20"/>
                              </w:rPr>
                              <w:t xml:space="preserve"> djelomične prilagodbe (</w:t>
                            </w:r>
                            <w:r>
                              <w:rPr>
                                <w:sz w:val="20"/>
                              </w:rPr>
                              <w:t xml:space="preserve">engl. </w:t>
                            </w:r>
                            <w:r w:rsidRPr="00D7631F">
                              <w:rPr>
                                <w:sz w:val="20"/>
                              </w:rPr>
                              <w:t>PAM), gdje kratkoročni koeficijent iznosi 0,11, a dugoročni 0,61. Problem je što varijable nisu stacionarne I(0), nego su integrirane prvoga reda I(1), zbog čega bi svako uzimanje dugoročnih efekata u obzir bilo podložno velikim rizicima ocjene. Dugoročni parametri na sebe „kupe“ niz utjecaja koji su izvan modela (npr. povratni učinak rasta cijena nekretnina i rasta sektora i gospodarstva). Tu je rezervu prema dugoročnim specifikacijama potvrdila ocjena ECM modela (engl. Error correction model). Ona je dala ocjenu dugoroč</w:t>
                            </w:r>
                            <w:r>
                              <w:rPr>
                                <w:sz w:val="20"/>
                              </w:rPr>
                              <w:t xml:space="preserve">nog koeficijenta od 0,4 koji je korišten u procjenama. S obzirom da model u logaritamskom obliku nije linearan, slijedi da svako dodatno ulaganje stvara sve manji broj radnih mjesta, što je logično u svjetlu tehnološkog napretka i rasta dohodaka. Procjene za </w:t>
                            </w:r>
                            <w:hyperlink r:id="rId20" w:history="1">
                              <w:r w:rsidRPr="00614F0B">
                                <w:rPr>
                                  <w:rStyle w:val="Hyperlink"/>
                                </w:rPr>
                                <w:t>Irsku</w:t>
                              </w:r>
                            </w:hyperlink>
                            <w:r>
                              <w:rPr>
                                <w:sz w:val="20"/>
                              </w:rPr>
                              <w:t xml:space="preserve"> govore o otvaranju tek nešto više od 5 radnih mjesta u prosjeku na svakih milijun eura ulaganja, što je logično u svjetlu tamošnje cijene rada. U isti se obrazac uklapaju puno veće procjene za </w:t>
                            </w:r>
                            <w:hyperlink r:id="rId21" w:history="1">
                              <w:r w:rsidRPr="00614F0B">
                                <w:rPr>
                                  <w:rStyle w:val="Hyperlink"/>
                                </w:rPr>
                                <w:t>Mađarsku</w:t>
                              </w:r>
                            </w:hyperlink>
                            <w:r>
                              <w:rPr>
                                <w:sz w:val="20"/>
                              </w:rPr>
                              <w:t>, gdje je cijena rada mnogo niža. Stoga je u simulacijama za Hrvatsku pretpostavljeno da broj novootvorenih radnih mjesta pada usporedo sa iznosom ulaganja u dugom roku.</w:t>
                            </w:r>
                          </w:p>
                          <w:p w14:paraId="0254AC42" w14:textId="77777777" w:rsidR="009C52C4" w:rsidRDefault="009C52C4" w:rsidP="004E6F69">
                            <w:pPr>
                              <w:rPr>
                                <w:sz w:val="20"/>
                              </w:rPr>
                            </w:pPr>
                          </w:p>
                          <w:p w14:paraId="05611D59" w14:textId="77777777" w:rsidR="009C52C4" w:rsidRPr="00D7631F" w:rsidRDefault="009C52C4" w:rsidP="004E6F69">
                            <w:pPr>
                              <w:rPr>
                                <w:sz w:val="20"/>
                              </w:rPr>
                            </w:pPr>
                            <w:r>
                              <w:rPr>
                                <w:noProof/>
                              </w:rPr>
                              <w:drawing>
                                <wp:inline distT="0" distB="0" distL="0" distR="0" wp14:anchorId="1F5C18E2" wp14:editId="2B3356EB">
                                  <wp:extent cx="4018068" cy="2390140"/>
                                  <wp:effectExtent l="0" t="0" r="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AF89BE" w14:textId="77777777" w:rsidR="009C52C4" w:rsidRPr="00D7631F" w:rsidRDefault="009C52C4" w:rsidP="004E6F6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0421EC" id="_x0000_t202" coordsize="21600,21600" o:spt="202" path="m,l,21600r21600,l21600,xe">
                <v:stroke joinstyle="miter"/>
                <v:path gradientshapeok="t" o:connecttype="rect"/>
              </v:shapetype>
              <v:shape id="Text Box 53" o:spid="_x0000_s1026" type="#_x0000_t202" style="position:absolute;left:0;text-align:left;margin-left:8.45pt;margin-top:2.75pt;width:441pt;height:458.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" filled="f" strokecolor="#5b9bd5">
                <v:textbox>
                  <w:txbxContent>
                    <w:p w14:paraId="632ABD7A" w14:textId="77777777" w:rsidR="009C52C4" w:rsidRPr="00920B31" w:rsidRDefault="009C52C4" w:rsidP="004E6F69">
                      <w:pPr>
                        <w:rPr>
                          <w:sz w:val="20"/>
                        </w:rPr>
                      </w:pPr>
                      <w:r w:rsidRPr="00920B31">
                        <w:rPr>
                          <w:sz w:val="20"/>
                        </w:rPr>
                        <w:t>OKVIR</w:t>
                      </w:r>
                      <w:r>
                        <w:rPr>
                          <w:sz w:val="20"/>
                        </w:rPr>
                        <w:t xml:space="preserve"> 1</w:t>
                      </w:r>
                      <w:r w:rsidRPr="00920B31">
                        <w:rPr>
                          <w:sz w:val="20"/>
                        </w:rPr>
                        <w:t>: PRETPOSTAVKE PROJEKCIJA</w:t>
                      </w:r>
                    </w:p>
                    <w:p w14:paraId="79B3D08D" w14:textId="77777777" w:rsidR="009C52C4" w:rsidRDefault="009C52C4" w:rsidP="004E6F69">
                      <w:pPr>
                        <w:rPr>
                          <w:sz w:val="20"/>
                        </w:rPr>
                      </w:pPr>
                      <w:r w:rsidRPr="00D7631F">
                        <w:rPr>
                          <w:sz w:val="20"/>
                        </w:rPr>
                        <w:t>Pored prikazanih ulaznih parametara,</w:t>
                      </w:r>
                      <w:r>
                        <w:rPr>
                          <w:sz w:val="20"/>
                        </w:rPr>
                        <w:t xml:space="preserve"> projekcije se zasnivaju na pretpostavkama o vezi između novih investicija i zaposlenosti u zgradarstvu i o utjecaju rasta dohodaka i tehnološkog napretka na usporavanje zapošljavanja uslijed novih ulaganja u dugom roku. Veza između ulaganja i zaposlenosti u zgradarstvu ekonometrijski je procijenjena prigodom izrade Strategije pomoću modela</w:t>
                      </w:r>
                      <w:r w:rsidRPr="00D7631F">
                        <w:rPr>
                          <w:sz w:val="20"/>
                        </w:rPr>
                        <w:t xml:space="preserve"> korekcije pogreške (engl. Error correction model – ECM). Zavisna i nezavisna varijabla transformirane su u ln oblik, tako da se regresijski koeficijenti mogu interpretirati kao elas</w:t>
                      </w:r>
                      <w:r>
                        <w:rPr>
                          <w:sz w:val="20"/>
                        </w:rPr>
                        <w:t>tičnosti. Tromjesečne</w:t>
                      </w:r>
                      <w:r w:rsidRPr="00D7631F">
                        <w:rPr>
                          <w:sz w:val="20"/>
                        </w:rPr>
                        <w:t xml:space="preserve"> vrijednost</w:t>
                      </w:r>
                      <w:r>
                        <w:rPr>
                          <w:sz w:val="20"/>
                        </w:rPr>
                        <w:t>i</w:t>
                      </w:r>
                      <w:r w:rsidRPr="00D7631F">
                        <w:rPr>
                          <w:sz w:val="20"/>
                        </w:rPr>
                        <w:t xml:space="preserve"> novih narudžbi u zg</w:t>
                      </w:r>
                      <w:r>
                        <w:rPr>
                          <w:sz w:val="20"/>
                        </w:rPr>
                        <w:t>radarstvu</w:t>
                      </w:r>
                      <w:r w:rsidRPr="00D7631F">
                        <w:rPr>
                          <w:sz w:val="20"/>
                        </w:rPr>
                        <w:t xml:space="preserve"> i stanje zaposlenih u zgradarstvu sred</w:t>
                      </w:r>
                      <w:r>
                        <w:rPr>
                          <w:sz w:val="20"/>
                        </w:rPr>
                        <w:t>inom kvartala prvo su povezane pomoću</w:t>
                      </w:r>
                      <w:r w:rsidRPr="00D7631F">
                        <w:rPr>
                          <w:sz w:val="20"/>
                        </w:rPr>
                        <w:t xml:space="preserve"> model</w:t>
                      </w:r>
                      <w:r>
                        <w:rPr>
                          <w:sz w:val="20"/>
                        </w:rPr>
                        <w:t>a</w:t>
                      </w:r>
                      <w:r w:rsidRPr="00D7631F">
                        <w:rPr>
                          <w:sz w:val="20"/>
                        </w:rPr>
                        <w:t xml:space="preserve"> djelomične prilagodbe (</w:t>
                      </w:r>
                      <w:r>
                        <w:rPr>
                          <w:sz w:val="20"/>
                        </w:rPr>
                        <w:t xml:space="preserve">engl. </w:t>
                      </w:r>
                      <w:r w:rsidRPr="00D7631F">
                        <w:rPr>
                          <w:sz w:val="20"/>
                        </w:rPr>
                        <w:t>PAM), gdje kratkoročni koeficijent iznosi 0,11, a dugoročni 0,61. Problem je što varijable nisu stacionarne I(0), nego su integrirane prvoga reda I(1), zbog čega bi svako uzimanje dugoročnih efekata u obzir bilo podložno velikim rizicima ocjene. Dugoročni parametri na sebe „kupe“ niz utjecaja koji su izvan modela (npr. povratni učinak rasta cijena nekretnina i rasta sektora i gospodarstva). Tu je rezervu prema dugoročnim specifikacijama potvrdila ocjena ECM modela (engl. Error correction model). Ona je dala ocjenu dugoroč</w:t>
                      </w:r>
                      <w:r>
                        <w:rPr>
                          <w:sz w:val="20"/>
                        </w:rPr>
                        <w:t xml:space="preserve">nog koeficijenta od 0,4 koji je korišten u procjenama. S obzirom da model u logaritamskom obliku nije linearan, slijedi da svako dodatno ulaganje stvara sve manji broj radnih mjesta, što je logično u svjetlu tehnološkog napretka i rasta dohodaka. Procjene za </w:t>
                      </w:r>
                      <w:hyperlink r:id="rId23" w:history="1">
                        <w:r w:rsidRPr="00614F0B">
                          <w:rPr>
                            <w:rStyle w:val="Hyperlink"/>
                          </w:rPr>
                          <w:t>Irsku</w:t>
                        </w:r>
                      </w:hyperlink>
                      <w:r>
                        <w:rPr>
                          <w:sz w:val="20"/>
                        </w:rPr>
                        <w:t xml:space="preserve"> govore o otvaranju tek nešto više od 5 radnih mjesta u prosjeku na svakih milijun eura ulaganja, što je logično u svjetlu tamošnje cijene rada. U isti se obrazac uklapaju puno veće procjene za </w:t>
                      </w:r>
                      <w:hyperlink r:id="rId24" w:history="1">
                        <w:r w:rsidRPr="00614F0B">
                          <w:rPr>
                            <w:rStyle w:val="Hyperlink"/>
                          </w:rPr>
                          <w:t>Mađarsku</w:t>
                        </w:r>
                      </w:hyperlink>
                      <w:r>
                        <w:rPr>
                          <w:sz w:val="20"/>
                        </w:rPr>
                        <w:t>, gdje je cijena rada mnogo niža. Stoga je u simulacijama za Hrvatsku pretpostavljeno da broj novootvorenih radnih mjesta pada usporedo sa iznosom ulaganja u dugom roku.</w:t>
                      </w:r>
                    </w:p>
                    <w:p w14:paraId="0254AC42" w14:textId="77777777" w:rsidR="009C52C4" w:rsidRDefault="009C52C4" w:rsidP="004E6F69">
                      <w:pPr>
                        <w:rPr>
                          <w:sz w:val="20"/>
                        </w:rPr>
                      </w:pPr>
                    </w:p>
                    <w:p w14:paraId="05611D59" w14:textId="77777777" w:rsidR="009C52C4" w:rsidRPr="00D7631F" w:rsidRDefault="009C52C4" w:rsidP="004E6F69">
                      <w:pPr>
                        <w:rPr>
                          <w:sz w:val="20"/>
                        </w:rPr>
                      </w:pPr>
                      <w:r>
                        <w:rPr>
                          <w:noProof/>
                        </w:rPr>
                        <w:drawing>
                          <wp:inline distT="0" distB="0" distL="0" distR="0" wp14:anchorId="1F5C18E2" wp14:editId="2B3356EB">
                            <wp:extent cx="4018068" cy="2390140"/>
                            <wp:effectExtent l="0" t="0" r="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AF89BE" w14:textId="77777777" w:rsidR="009C52C4" w:rsidRPr="00D7631F" w:rsidRDefault="009C52C4" w:rsidP="004E6F69">
                      <w:pPr>
                        <w:rPr>
                          <w:sz w:val="20"/>
                        </w:rPr>
                      </w:pPr>
                    </w:p>
                  </w:txbxContent>
                </v:textbox>
                <w10:wrap type="square"/>
              </v:shape>
            </w:pict>
          </mc:Fallback>
        </mc:AlternateContent>
      </w:r>
    </w:p>
    <w:p w14:paraId="2717550C" w14:textId="58D37FF8"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Projekcije i učinci prikazani u tablici moraju se proširiti procjenama multiplikativnih efekata na cijelo gospodarstvo - na BDP, ukupnu zaposlenost i prihode državnog proračuna. U okviru 2 objašnjeni su razlozi zašto je veoma teško procijeniti investicijski multiplikator o kojem zavise proračuni. Mnogo je pouzdanije prikazati rezultate za različite pretpostavljene multiplikatore. Kako su multiplikatori u malim i otvorenim zemljama poput Hrvatske općenito niski, rezultati su prikazani za mali multiplikator (1,2 odnosno 20% dodatnog učinka investicija), srednji (1,5 odnosno 50% dodatnog učinka) i veliki (2 odnosno dvostruki učinak investicija na BDP). Radi jednostavnosti je pretpostavljen linearan multiplikacijski učinak na zaposlenost (</w:t>
      </w:r>
      <w:r w:rsidR="005D06A0" w:rsidRPr="009C52C4">
        <w:rPr>
          <w:rFonts w:ascii="Times New Roman" w:hAnsi="Times New Roman" w:cs="Times New Roman"/>
          <w:color w:val="auto"/>
          <w:sz w:val="24"/>
          <w:szCs w:val="24"/>
          <w:lang w:eastAsia="en-US"/>
        </w:rPr>
        <w:fldChar w:fldCharType="begin"/>
      </w:r>
      <w:r w:rsidR="005D06A0" w:rsidRPr="009C52C4">
        <w:rPr>
          <w:rFonts w:ascii="Times New Roman" w:hAnsi="Times New Roman" w:cs="Times New Roman"/>
          <w:color w:val="auto"/>
          <w:sz w:val="24"/>
          <w:szCs w:val="24"/>
          <w:lang w:eastAsia="en-US"/>
        </w:rPr>
        <w:instrText xml:space="preserve"> REF _Ref483471032 \h </w:instrText>
      </w:r>
      <w:r w:rsidR="00873572" w:rsidRPr="009C52C4">
        <w:rPr>
          <w:rFonts w:ascii="Times New Roman" w:hAnsi="Times New Roman" w:cs="Times New Roman"/>
          <w:color w:val="auto"/>
          <w:sz w:val="24"/>
          <w:szCs w:val="24"/>
          <w:lang w:eastAsia="en-US"/>
        </w:rPr>
        <w:instrText xml:space="preserve"> \* MERGEFORMAT </w:instrText>
      </w:r>
      <w:r w:rsidR="005D06A0" w:rsidRPr="009C52C4">
        <w:rPr>
          <w:rFonts w:ascii="Times New Roman" w:hAnsi="Times New Roman" w:cs="Times New Roman"/>
          <w:color w:val="auto"/>
          <w:sz w:val="24"/>
          <w:szCs w:val="24"/>
          <w:lang w:eastAsia="en-US"/>
        </w:rPr>
      </w:r>
      <w:r w:rsidR="005D06A0"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3</w:t>
      </w:r>
      <w:r w:rsidR="005D06A0"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xml:space="preserve">). Elastičnost zaposlenosti na BDP u pravilu je nešto manja od 1, no brojke pokazuju da program obnove zgrada ima velik potencijal smanjenja nezaposlenosti i uz </w:t>
      </w:r>
      <w:r w:rsidRPr="009C52C4">
        <w:rPr>
          <w:rFonts w:ascii="Times New Roman" w:hAnsi="Times New Roman" w:cs="Times New Roman"/>
          <w:color w:val="auto"/>
          <w:sz w:val="24"/>
          <w:szCs w:val="24"/>
          <w:lang w:eastAsia="en-US"/>
        </w:rPr>
        <w:lastRenderedPageBreak/>
        <w:t xml:space="preserve">konzervativnije pretpostavke. To je osobito važno ako se ima u vidu da djelatnost može mobilizirati i slabije obrazovane radnike. </w:t>
      </w:r>
    </w:p>
    <w:p w14:paraId="452674FE" w14:textId="77777777" w:rsidR="00AC5AC8" w:rsidRPr="009C52C4" w:rsidRDefault="00AC5AC8">
      <w:pPr>
        <w:rPr>
          <w:rFonts w:ascii="Times New Roman" w:hAnsi="Times New Roman" w:cs="Times New Roman"/>
          <w:b/>
          <w:bCs/>
          <w:color w:val="auto"/>
          <w:sz w:val="24"/>
          <w:szCs w:val="24"/>
          <w:lang w:eastAsia="en-US"/>
        </w:rPr>
      </w:pPr>
      <w:bookmarkStart w:id="212" w:name="_Ref483210448"/>
      <w:r w:rsidRPr="009C52C4">
        <w:rPr>
          <w:rFonts w:ascii="Times New Roman" w:hAnsi="Times New Roman" w:cs="Times New Roman"/>
          <w:b/>
          <w:bCs/>
          <w:color w:val="auto"/>
          <w:sz w:val="24"/>
          <w:szCs w:val="24"/>
          <w:lang w:eastAsia="en-US"/>
        </w:rPr>
        <w:br w:type="page"/>
      </w:r>
    </w:p>
    <w:p w14:paraId="6F63009F" w14:textId="539B4D01" w:rsidR="004E6F69" w:rsidRPr="009C52C4" w:rsidRDefault="005D06A0" w:rsidP="005D06A0">
      <w:pPr>
        <w:pStyle w:val="Caption"/>
        <w:rPr>
          <w:rFonts w:ascii="Times New Roman" w:hAnsi="Times New Roman" w:cs="Times New Roman"/>
          <w:b w:val="0"/>
          <w:bCs w:val="0"/>
          <w:color w:val="4472C4"/>
          <w:sz w:val="24"/>
          <w:szCs w:val="24"/>
          <w:lang w:eastAsia="en-US"/>
        </w:rPr>
      </w:pPr>
      <w:bookmarkStart w:id="213" w:name="_Ref483471032"/>
      <w:bookmarkStart w:id="214" w:name="_Toc2681330"/>
      <w:bookmarkEnd w:id="212"/>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bookmarkEnd w:id="213"/>
      <w:r w:rsidRPr="009C52C4">
        <w:rPr>
          <w:rFonts w:ascii="Times New Roman" w:hAnsi="Times New Roman" w:cs="Times New Roman"/>
          <w:b w:val="0"/>
          <w:bCs w:val="0"/>
          <w:sz w:val="24"/>
          <w:szCs w:val="24"/>
          <w:lang w:eastAsia="en-US"/>
        </w:rPr>
        <w:t xml:space="preserve"> Multiplikativni učinci na zapošljavanje</w:t>
      </w:r>
      <w:r w:rsidR="00A7635A" w:rsidRPr="009C52C4">
        <w:rPr>
          <w:rFonts w:ascii="Times New Roman" w:hAnsi="Times New Roman" w:cs="Times New Roman"/>
          <w:b w:val="0"/>
          <w:bCs w:val="0"/>
          <w:sz w:val="24"/>
          <w:szCs w:val="24"/>
          <w:lang w:eastAsia="en-US"/>
        </w:rPr>
        <w:t xml:space="preserve"> do 2050. godine</w:t>
      </w:r>
      <w:bookmarkEnd w:id="214"/>
    </w:p>
    <w:tbl>
      <w:tblPr>
        <w:tblStyle w:val="TableGrid"/>
        <w:tblW w:w="9093" w:type="dxa"/>
        <w:tblLayout w:type="fixed"/>
        <w:tblLook w:val="04A0" w:firstRow="1" w:lastRow="0" w:firstColumn="1" w:lastColumn="0" w:noHBand="0" w:noVBand="1"/>
      </w:tblPr>
      <w:tblGrid>
        <w:gridCol w:w="1490"/>
        <w:gridCol w:w="1139"/>
        <w:gridCol w:w="1266"/>
        <w:gridCol w:w="1139"/>
        <w:gridCol w:w="1265"/>
        <w:gridCol w:w="1139"/>
        <w:gridCol w:w="1655"/>
      </w:tblGrid>
      <w:tr w:rsidR="002B6F95" w:rsidRPr="009C52C4" w14:paraId="5C6DB819" w14:textId="77777777" w:rsidTr="00A26C32">
        <w:trPr>
          <w:trHeight w:val="540"/>
        </w:trPr>
        <w:tc>
          <w:tcPr>
            <w:tcW w:w="1490" w:type="dxa"/>
            <w:tcBorders>
              <w:bottom w:val="single" w:sz="4" w:space="0" w:color="auto"/>
            </w:tcBorders>
            <w:shd w:val="clear" w:color="auto" w:fill="C2D69B" w:themeFill="accent3" w:themeFillTint="99"/>
            <w:vAlign w:val="center"/>
          </w:tcPr>
          <w:p w14:paraId="441BD77C" w14:textId="77777777" w:rsidR="00E71A85" w:rsidRPr="009C52C4" w:rsidRDefault="00574A75" w:rsidP="00574A75">
            <w:pPr>
              <w:rPr>
                <w:rFonts w:ascii="Times New Roman" w:hAnsi="Times New Roman"/>
                <w:b/>
                <w:color w:val="000000"/>
                <w:sz w:val="24"/>
                <w:szCs w:val="24"/>
              </w:rPr>
            </w:pPr>
            <w:r w:rsidRPr="009C52C4">
              <w:rPr>
                <w:rFonts w:ascii="Times New Roman" w:hAnsi="Times New Roman"/>
                <w:b/>
                <w:color w:val="000000"/>
                <w:sz w:val="24"/>
                <w:szCs w:val="24"/>
              </w:rPr>
              <w:t>Promatrano razdoblje</w:t>
            </w:r>
          </w:p>
        </w:tc>
        <w:tc>
          <w:tcPr>
            <w:tcW w:w="1139" w:type="dxa"/>
            <w:tcBorders>
              <w:bottom w:val="single" w:sz="4" w:space="0" w:color="auto"/>
            </w:tcBorders>
            <w:shd w:val="clear" w:color="auto" w:fill="C2D69B" w:themeFill="accent3" w:themeFillTint="99"/>
            <w:vAlign w:val="center"/>
          </w:tcPr>
          <w:p w14:paraId="7B269678"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2014.-2019</w:t>
            </w:r>
            <w:r w:rsidR="002B6F95" w:rsidRPr="009C52C4">
              <w:rPr>
                <w:rFonts w:ascii="Times New Roman" w:hAnsi="Times New Roman"/>
                <w:b/>
                <w:bCs/>
                <w:color w:val="000000"/>
                <w:sz w:val="24"/>
                <w:szCs w:val="24"/>
              </w:rPr>
              <w:t>.</w:t>
            </w:r>
          </w:p>
        </w:tc>
        <w:tc>
          <w:tcPr>
            <w:tcW w:w="1266" w:type="dxa"/>
            <w:tcBorders>
              <w:bottom w:val="single" w:sz="4" w:space="0" w:color="auto"/>
            </w:tcBorders>
            <w:shd w:val="clear" w:color="auto" w:fill="C2D69B" w:themeFill="accent3" w:themeFillTint="99"/>
            <w:vAlign w:val="center"/>
          </w:tcPr>
          <w:p w14:paraId="1267856A"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2020.-2024.</w:t>
            </w:r>
          </w:p>
        </w:tc>
        <w:tc>
          <w:tcPr>
            <w:tcW w:w="1139" w:type="dxa"/>
            <w:tcBorders>
              <w:bottom w:val="single" w:sz="4" w:space="0" w:color="auto"/>
            </w:tcBorders>
            <w:shd w:val="clear" w:color="auto" w:fill="C2D69B" w:themeFill="accent3" w:themeFillTint="99"/>
            <w:vAlign w:val="center"/>
          </w:tcPr>
          <w:p w14:paraId="2875E4E3"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2025.-2029.</w:t>
            </w:r>
          </w:p>
        </w:tc>
        <w:tc>
          <w:tcPr>
            <w:tcW w:w="1265" w:type="dxa"/>
            <w:tcBorders>
              <w:bottom w:val="single" w:sz="4" w:space="0" w:color="auto"/>
            </w:tcBorders>
            <w:shd w:val="clear" w:color="auto" w:fill="C2D69B" w:themeFill="accent3" w:themeFillTint="99"/>
            <w:vAlign w:val="center"/>
          </w:tcPr>
          <w:p w14:paraId="4DDAA6D7"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2030.-2039.</w:t>
            </w:r>
          </w:p>
        </w:tc>
        <w:tc>
          <w:tcPr>
            <w:tcW w:w="1139" w:type="dxa"/>
            <w:tcBorders>
              <w:bottom w:val="single" w:sz="4" w:space="0" w:color="auto"/>
            </w:tcBorders>
            <w:shd w:val="clear" w:color="auto" w:fill="C2D69B" w:themeFill="accent3" w:themeFillTint="99"/>
            <w:vAlign w:val="center"/>
          </w:tcPr>
          <w:p w14:paraId="583F5FCB"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2040.-2049.</w:t>
            </w:r>
          </w:p>
        </w:tc>
        <w:tc>
          <w:tcPr>
            <w:tcW w:w="1651" w:type="dxa"/>
            <w:tcBorders>
              <w:bottom w:val="single" w:sz="4" w:space="0" w:color="auto"/>
            </w:tcBorders>
            <w:shd w:val="clear" w:color="auto" w:fill="C2D69B" w:themeFill="accent3" w:themeFillTint="99"/>
            <w:vAlign w:val="center"/>
          </w:tcPr>
          <w:p w14:paraId="124AD8D9" w14:textId="77777777" w:rsidR="00E71A85" w:rsidRPr="009C52C4" w:rsidRDefault="00E71A85"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UKUPNO 2014.-2049.</w:t>
            </w:r>
          </w:p>
        </w:tc>
      </w:tr>
      <w:tr w:rsidR="002B6F95" w:rsidRPr="009C52C4" w14:paraId="45AA5288" w14:textId="77777777" w:rsidTr="00A26C32">
        <w:trPr>
          <w:trHeight w:val="285"/>
        </w:trPr>
        <w:tc>
          <w:tcPr>
            <w:tcW w:w="9093" w:type="dxa"/>
            <w:gridSpan w:val="7"/>
            <w:tcBorders>
              <w:bottom w:val="single" w:sz="4" w:space="0" w:color="auto"/>
            </w:tcBorders>
            <w:shd w:val="clear" w:color="auto" w:fill="D6E3BC" w:themeFill="accent3" w:themeFillTint="66"/>
            <w:vAlign w:val="bottom"/>
          </w:tcPr>
          <w:p w14:paraId="783C8AEB"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Ukupno povećanje zaposlenosti s obzirom na multiplikator</w:t>
            </w:r>
          </w:p>
        </w:tc>
      </w:tr>
      <w:tr w:rsidR="002B6F95" w:rsidRPr="009C52C4" w14:paraId="38539C0D" w14:textId="77777777" w:rsidTr="00A26C32">
        <w:trPr>
          <w:trHeight w:val="269"/>
        </w:trPr>
        <w:tc>
          <w:tcPr>
            <w:tcW w:w="1490" w:type="dxa"/>
            <w:tcBorders>
              <w:top w:val="single" w:sz="4" w:space="0" w:color="auto"/>
              <w:bottom w:val="single" w:sz="4" w:space="0" w:color="auto"/>
            </w:tcBorders>
            <w:vAlign w:val="center"/>
          </w:tcPr>
          <w:p w14:paraId="322CFA4F"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1,2</w:t>
            </w:r>
          </w:p>
        </w:tc>
        <w:tc>
          <w:tcPr>
            <w:tcW w:w="1139" w:type="dxa"/>
            <w:tcBorders>
              <w:top w:val="single" w:sz="4" w:space="0" w:color="auto"/>
            </w:tcBorders>
            <w:vAlign w:val="center"/>
          </w:tcPr>
          <w:p w14:paraId="028B6672"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25.998</w:t>
            </w:r>
          </w:p>
        </w:tc>
        <w:tc>
          <w:tcPr>
            <w:tcW w:w="1266" w:type="dxa"/>
            <w:tcBorders>
              <w:top w:val="single" w:sz="4" w:space="0" w:color="auto"/>
            </w:tcBorders>
            <w:vAlign w:val="center"/>
          </w:tcPr>
          <w:p w14:paraId="38E5CA4D"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5.759</w:t>
            </w:r>
          </w:p>
        </w:tc>
        <w:tc>
          <w:tcPr>
            <w:tcW w:w="1139" w:type="dxa"/>
            <w:tcBorders>
              <w:top w:val="single" w:sz="4" w:space="0" w:color="auto"/>
            </w:tcBorders>
            <w:vAlign w:val="center"/>
          </w:tcPr>
          <w:p w14:paraId="628ED03A"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5.724</w:t>
            </w:r>
          </w:p>
        </w:tc>
        <w:tc>
          <w:tcPr>
            <w:tcW w:w="1265" w:type="dxa"/>
            <w:tcBorders>
              <w:top w:val="single" w:sz="4" w:space="0" w:color="auto"/>
            </w:tcBorders>
            <w:vAlign w:val="center"/>
          </w:tcPr>
          <w:p w14:paraId="1BD73343"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19.907</w:t>
            </w:r>
          </w:p>
        </w:tc>
        <w:tc>
          <w:tcPr>
            <w:tcW w:w="1139" w:type="dxa"/>
            <w:tcBorders>
              <w:top w:val="single" w:sz="4" w:space="0" w:color="auto"/>
            </w:tcBorders>
            <w:vAlign w:val="center"/>
          </w:tcPr>
          <w:p w14:paraId="29D6644A"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-646</w:t>
            </w:r>
          </w:p>
        </w:tc>
        <w:tc>
          <w:tcPr>
            <w:tcW w:w="1651" w:type="dxa"/>
            <w:tcBorders>
              <w:top w:val="single" w:sz="4" w:space="0" w:color="auto"/>
            </w:tcBorders>
            <w:vAlign w:val="center"/>
          </w:tcPr>
          <w:p w14:paraId="20D22148"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56.741</w:t>
            </w:r>
          </w:p>
        </w:tc>
      </w:tr>
      <w:tr w:rsidR="002B6F95" w:rsidRPr="009C52C4" w14:paraId="4B35086A" w14:textId="77777777" w:rsidTr="00A26C32">
        <w:trPr>
          <w:trHeight w:val="269"/>
        </w:trPr>
        <w:tc>
          <w:tcPr>
            <w:tcW w:w="1490" w:type="dxa"/>
            <w:tcBorders>
              <w:top w:val="single" w:sz="4" w:space="0" w:color="auto"/>
              <w:bottom w:val="single" w:sz="4" w:space="0" w:color="auto"/>
            </w:tcBorders>
            <w:vAlign w:val="center"/>
          </w:tcPr>
          <w:p w14:paraId="7A9670D7"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1,5</w:t>
            </w:r>
          </w:p>
        </w:tc>
        <w:tc>
          <w:tcPr>
            <w:tcW w:w="1139" w:type="dxa"/>
            <w:vAlign w:val="center"/>
          </w:tcPr>
          <w:p w14:paraId="7873EB4D"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32.469</w:t>
            </w:r>
          </w:p>
        </w:tc>
        <w:tc>
          <w:tcPr>
            <w:tcW w:w="1266" w:type="dxa"/>
            <w:vAlign w:val="center"/>
          </w:tcPr>
          <w:p w14:paraId="1216EB47"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7.147</w:t>
            </w:r>
          </w:p>
        </w:tc>
        <w:tc>
          <w:tcPr>
            <w:tcW w:w="1139" w:type="dxa"/>
            <w:vAlign w:val="center"/>
          </w:tcPr>
          <w:p w14:paraId="144CB17A"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7.094</w:t>
            </w:r>
          </w:p>
        </w:tc>
        <w:tc>
          <w:tcPr>
            <w:tcW w:w="1265" w:type="dxa"/>
            <w:vAlign w:val="center"/>
          </w:tcPr>
          <w:p w14:paraId="5D414F03"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24.615</w:t>
            </w:r>
          </w:p>
        </w:tc>
        <w:tc>
          <w:tcPr>
            <w:tcW w:w="1139" w:type="dxa"/>
            <w:vAlign w:val="center"/>
          </w:tcPr>
          <w:p w14:paraId="2D81210C"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-786</w:t>
            </w:r>
          </w:p>
        </w:tc>
        <w:tc>
          <w:tcPr>
            <w:tcW w:w="1651" w:type="dxa"/>
            <w:vAlign w:val="center"/>
          </w:tcPr>
          <w:p w14:paraId="4DDDA5F8"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70.538</w:t>
            </w:r>
          </w:p>
        </w:tc>
      </w:tr>
      <w:tr w:rsidR="002B6F95" w:rsidRPr="009C52C4" w14:paraId="3F72DA2B" w14:textId="77777777" w:rsidTr="00A26C32">
        <w:trPr>
          <w:trHeight w:val="269"/>
        </w:trPr>
        <w:tc>
          <w:tcPr>
            <w:tcW w:w="1490" w:type="dxa"/>
            <w:tcBorders>
              <w:top w:val="single" w:sz="4" w:space="0" w:color="auto"/>
              <w:bottom w:val="single" w:sz="4" w:space="0" w:color="auto"/>
            </w:tcBorders>
            <w:vAlign w:val="center"/>
          </w:tcPr>
          <w:p w14:paraId="4C90A4DF"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2</w:t>
            </w:r>
          </w:p>
        </w:tc>
        <w:tc>
          <w:tcPr>
            <w:tcW w:w="1139" w:type="dxa"/>
            <w:tcBorders>
              <w:bottom w:val="single" w:sz="4" w:space="0" w:color="auto"/>
            </w:tcBorders>
            <w:vAlign w:val="center"/>
          </w:tcPr>
          <w:p w14:paraId="6411DB19"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43.229</w:t>
            </w:r>
          </w:p>
        </w:tc>
        <w:tc>
          <w:tcPr>
            <w:tcW w:w="1266" w:type="dxa"/>
            <w:tcBorders>
              <w:bottom w:val="single" w:sz="4" w:space="0" w:color="auto"/>
            </w:tcBorders>
            <w:vAlign w:val="center"/>
          </w:tcPr>
          <w:p w14:paraId="1C0F30FD"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9.418</w:t>
            </w:r>
          </w:p>
        </w:tc>
        <w:tc>
          <w:tcPr>
            <w:tcW w:w="1139" w:type="dxa"/>
            <w:tcBorders>
              <w:bottom w:val="single" w:sz="4" w:space="0" w:color="auto"/>
            </w:tcBorders>
            <w:vAlign w:val="center"/>
          </w:tcPr>
          <w:p w14:paraId="0DD72AC3"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9.327</w:t>
            </w:r>
          </w:p>
        </w:tc>
        <w:tc>
          <w:tcPr>
            <w:tcW w:w="1265" w:type="dxa"/>
            <w:tcBorders>
              <w:bottom w:val="single" w:sz="4" w:space="0" w:color="auto"/>
            </w:tcBorders>
            <w:vAlign w:val="center"/>
          </w:tcPr>
          <w:p w14:paraId="12902DF2"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32.247</w:t>
            </w:r>
          </w:p>
        </w:tc>
        <w:tc>
          <w:tcPr>
            <w:tcW w:w="1139" w:type="dxa"/>
            <w:tcBorders>
              <w:bottom w:val="single" w:sz="4" w:space="0" w:color="auto"/>
            </w:tcBorders>
            <w:vAlign w:val="center"/>
          </w:tcPr>
          <w:p w14:paraId="403F4BBF"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-1.003</w:t>
            </w:r>
          </w:p>
        </w:tc>
        <w:tc>
          <w:tcPr>
            <w:tcW w:w="1651" w:type="dxa"/>
            <w:tcBorders>
              <w:bottom w:val="single" w:sz="4" w:space="0" w:color="auto"/>
            </w:tcBorders>
            <w:vAlign w:val="center"/>
          </w:tcPr>
          <w:p w14:paraId="5749A604"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93.218</w:t>
            </w:r>
          </w:p>
        </w:tc>
      </w:tr>
      <w:tr w:rsidR="002B6F95" w:rsidRPr="009C52C4" w14:paraId="10E90377" w14:textId="77777777" w:rsidTr="00A26C32">
        <w:trPr>
          <w:trHeight w:val="269"/>
        </w:trPr>
        <w:tc>
          <w:tcPr>
            <w:tcW w:w="9093" w:type="dxa"/>
            <w:gridSpan w:val="7"/>
            <w:tcBorders>
              <w:top w:val="single" w:sz="4" w:space="0" w:color="auto"/>
              <w:bottom w:val="single" w:sz="4" w:space="0" w:color="auto"/>
            </w:tcBorders>
            <w:shd w:val="clear" w:color="auto" w:fill="D6E3BC" w:themeFill="accent3" w:themeFillTint="66"/>
            <w:vAlign w:val="center"/>
          </w:tcPr>
          <w:p w14:paraId="342880FC"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Od toga: multiplikativni učinak</w:t>
            </w:r>
          </w:p>
        </w:tc>
      </w:tr>
      <w:tr w:rsidR="002B6F95" w:rsidRPr="009C52C4" w14:paraId="08511183" w14:textId="77777777" w:rsidTr="00A26C32">
        <w:trPr>
          <w:trHeight w:val="269"/>
        </w:trPr>
        <w:tc>
          <w:tcPr>
            <w:tcW w:w="1490" w:type="dxa"/>
            <w:tcBorders>
              <w:top w:val="single" w:sz="4" w:space="0" w:color="auto"/>
              <w:bottom w:val="single" w:sz="4" w:space="0" w:color="auto"/>
            </w:tcBorders>
            <w:vAlign w:val="center"/>
          </w:tcPr>
          <w:p w14:paraId="56369D62"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1,2</w:t>
            </w:r>
          </w:p>
        </w:tc>
        <w:tc>
          <w:tcPr>
            <w:tcW w:w="1139" w:type="dxa"/>
            <w:tcBorders>
              <w:top w:val="single" w:sz="4" w:space="0" w:color="auto"/>
            </w:tcBorders>
            <w:vAlign w:val="center"/>
          </w:tcPr>
          <w:p w14:paraId="08409870"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5.360</w:t>
            </w:r>
          </w:p>
        </w:tc>
        <w:tc>
          <w:tcPr>
            <w:tcW w:w="1266" w:type="dxa"/>
            <w:tcBorders>
              <w:top w:val="single" w:sz="4" w:space="0" w:color="auto"/>
            </w:tcBorders>
            <w:vAlign w:val="center"/>
          </w:tcPr>
          <w:p w14:paraId="3124C061"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2.922</w:t>
            </w:r>
          </w:p>
        </w:tc>
        <w:tc>
          <w:tcPr>
            <w:tcW w:w="1139" w:type="dxa"/>
            <w:tcBorders>
              <w:top w:val="single" w:sz="4" w:space="0" w:color="auto"/>
            </w:tcBorders>
            <w:vAlign w:val="center"/>
          </w:tcPr>
          <w:p w14:paraId="69F50BD9"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3.113</w:t>
            </w:r>
          </w:p>
        </w:tc>
        <w:tc>
          <w:tcPr>
            <w:tcW w:w="1265" w:type="dxa"/>
            <w:tcBorders>
              <w:top w:val="single" w:sz="4" w:space="0" w:color="auto"/>
            </w:tcBorders>
            <w:vAlign w:val="center"/>
          </w:tcPr>
          <w:p w14:paraId="78D47006"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11.736</w:t>
            </w:r>
          </w:p>
        </w:tc>
        <w:tc>
          <w:tcPr>
            <w:tcW w:w="1139" w:type="dxa"/>
            <w:tcBorders>
              <w:top w:val="single" w:sz="4" w:space="0" w:color="auto"/>
            </w:tcBorders>
            <w:vAlign w:val="center"/>
          </w:tcPr>
          <w:p w14:paraId="08DAA17A"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-531</w:t>
            </w:r>
          </w:p>
        </w:tc>
        <w:tc>
          <w:tcPr>
            <w:tcW w:w="1651" w:type="dxa"/>
            <w:tcBorders>
              <w:top w:val="single" w:sz="4" w:space="0" w:color="auto"/>
            </w:tcBorders>
            <w:vAlign w:val="center"/>
          </w:tcPr>
          <w:p w14:paraId="46716C35"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22.600</w:t>
            </w:r>
          </w:p>
        </w:tc>
      </w:tr>
      <w:tr w:rsidR="002B6F95" w:rsidRPr="009C52C4" w14:paraId="20C5407E" w14:textId="77777777" w:rsidTr="00A26C32">
        <w:trPr>
          <w:trHeight w:val="269"/>
        </w:trPr>
        <w:tc>
          <w:tcPr>
            <w:tcW w:w="1490" w:type="dxa"/>
            <w:tcBorders>
              <w:top w:val="single" w:sz="4" w:space="0" w:color="auto"/>
              <w:bottom w:val="single" w:sz="4" w:space="0" w:color="auto"/>
            </w:tcBorders>
            <w:vAlign w:val="center"/>
          </w:tcPr>
          <w:p w14:paraId="2919836B"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1,5</w:t>
            </w:r>
          </w:p>
        </w:tc>
        <w:tc>
          <w:tcPr>
            <w:tcW w:w="1139" w:type="dxa"/>
            <w:tcBorders>
              <w:bottom w:val="single" w:sz="4" w:space="0" w:color="auto"/>
            </w:tcBorders>
            <w:vAlign w:val="center"/>
          </w:tcPr>
          <w:p w14:paraId="52D35585"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11.831</w:t>
            </w:r>
          </w:p>
        </w:tc>
        <w:tc>
          <w:tcPr>
            <w:tcW w:w="1266" w:type="dxa"/>
            <w:tcBorders>
              <w:bottom w:val="single" w:sz="4" w:space="0" w:color="auto"/>
            </w:tcBorders>
            <w:vAlign w:val="center"/>
          </w:tcPr>
          <w:p w14:paraId="1084AB42"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4.310</w:t>
            </w:r>
          </w:p>
        </w:tc>
        <w:tc>
          <w:tcPr>
            <w:tcW w:w="1139" w:type="dxa"/>
            <w:tcBorders>
              <w:bottom w:val="single" w:sz="4" w:space="0" w:color="auto"/>
            </w:tcBorders>
            <w:vAlign w:val="center"/>
          </w:tcPr>
          <w:p w14:paraId="4CAAB195"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4.483</w:t>
            </w:r>
          </w:p>
        </w:tc>
        <w:tc>
          <w:tcPr>
            <w:tcW w:w="1265" w:type="dxa"/>
            <w:tcBorders>
              <w:bottom w:val="single" w:sz="4" w:space="0" w:color="auto"/>
            </w:tcBorders>
            <w:vAlign w:val="center"/>
          </w:tcPr>
          <w:p w14:paraId="4B6B7A38"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16.444</w:t>
            </w:r>
          </w:p>
        </w:tc>
        <w:tc>
          <w:tcPr>
            <w:tcW w:w="1139" w:type="dxa"/>
            <w:tcBorders>
              <w:bottom w:val="single" w:sz="4" w:space="0" w:color="auto"/>
            </w:tcBorders>
            <w:vAlign w:val="center"/>
          </w:tcPr>
          <w:p w14:paraId="753C8F0E"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-671</w:t>
            </w:r>
          </w:p>
        </w:tc>
        <w:tc>
          <w:tcPr>
            <w:tcW w:w="1651" w:type="dxa"/>
            <w:tcBorders>
              <w:bottom w:val="single" w:sz="4" w:space="0" w:color="auto"/>
            </w:tcBorders>
            <w:vAlign w:val="center"/>
          </w:tcPr>
          <w:p w14:paraId="2F490EB0"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36.397</w:t>
            </w:r>
          </w:p>
        </w:tc>
      </w:tr>
      <w:tr w:rsidR="002B6F95" w:rsidRPr="009C52C4" w14:paraId="7252F5F7" w14:textId="77777777" w:rsidTr="00A26C32">
        <w:trPr>
          <w:trHeight w:val="269"/>
        </w:trPr>
        <w:tc>
          <w:tcPr>
            <w:tcW w:w="1490" w:type="dxa"/>
            <w:tcBorders>
              <w:top w:val="single" w:sz="4" w:space="0" w:color="auto"/>
            </w:tcBorders>
            <w:shd w:val="clear" w:color="auto" w:fill="auto"/>
            <w:vAlign w:val="center"/>
          </w:tcPr>
          <w:p w14:paraId="4A47F159" w14:textId="77777777" w:rsidR="002B6F95" w:rsidRPr="009C52C4" w:rsidRDefault="002B6F95" w:rsidP="002B6F95">
            <w:pPr>
              <w:rPr>
                <w:rFonts w:ascii="Times New Roman" w:hAnsi="Times New Roman"/>
                <w:color w:val="000000"/>
                <w:sz w:val="24"/>
                <w:szCs w:val="24"/>
              </w:rPr>
            </w:pPr>
            <w:r w:rsidRPr="009C52C4">
              <w:rPr>
                <w:rFonts w:ascii="Times New Roman" w:hAnsi="Times New Roman"/>
                <w:color w:val="000000"/>
                <w:sz w:val="24"/>
                <w:szCs w:val="24"/>
              </w:rPr>
              <w:t>2</w:t>
            </w:r>
          </w:p>
        </w:tc>
        <w:tc>
          <w:tcPr>
            <w:tcW w:w="1139" w:type="dxa"/>
            <w:shd w:val="clear" w:color="auto" w:fill="auto"/>
            <w:vAlign w:val="center"/>
          </w:tcPr>
          <w:p w14:paraId="4502B96D"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22.592</w:t>
            </w:r>
          </w:p>
        </w:tc>
        <w:tc>
          <w:tcPr>
            <w:tcW w:w="1266" w:type="dxa"/>
            <w:shd w:val="clear" w:color="auto" w:fill="auto"/>
            <w:vAlign w:val="center"/>
          </w:tcPr>
          <w:p w14:paraId="14905920"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6.582</w:t>
            </w:r>
          </w:p>
        </w:tc>
        <w:tc>
          <w:tcPr>
            <w:tcW w:w="1139" w:type="dxa"/>
            <w:shd w:val="clear" w:color="auto" w:fill="auto"/>
            <w:vAlign w:val="center"/>
          </w:tcPr>
          <w:p w14:paraId="00B7E1E4"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6.716</w:t>
            </w:r>
          </w:p>
        </w:tc>
        <w:tc>
          <w:tcPr>
            <w:tcW w:w="1265" w:type="dxa"/>
            <w:shd w:val="clear" w:color="auto" w:fill="auto"/>
            <w:vAlign w:val="center"/>
          </w:tcPr>
          <w:p w14:paraId="2961A353"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24.076</w:t>
            </w:r>
          </w:p>
        </w:tc>
        <w:tc>
          <w:tcPr>
            <w:tcW w:w="1139" w:type="dxa"/>
            <w:shd w:val="clear" w:color="auto" w:fill="auto"/>
            <w:vAlign w:val="center"/>
          </w:tcPr>
          <w:p w14:paraId="21C3632C"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-888</w:t>
            </w:r>
          </w:p>
        </w:tc>
        <w:tc>
          <w:tcPr>
            <w:tcW w:w="1651" w:type="dxa"/>
            <w:shd w:val="clear" w:color="auto" w:fill="auto"/>
            <w:vAlign w:val="center"/>
          </w:tcPr>
          <w:p w14:paraId="5FC060EB" w14:textId="77777777" w:rsidR="002B6F95" w:rsidRPr="009C52C4" w:rsidRDefault="002B6F95" w:rsidP="002B6F95">
            <w:pPr>
              <w:jc w:val="center"/>
              <w:rPr>
                <w:rFonts w:ascii="Times New Roman" w:hAnsi="Times New Roman"/>
                <w:color w:val="000000"/>
                <w:sz w:val="24"/>
                <w:szCs w:val="24"/>
              </w:rPr>
            </w:pPr>
            <w:r w:rsidRPr="009C52C4">
              <w:rPr>
                <w:rFonts w:ascii="Times New Roman" w:hAnsi="Times New Roman"/>
                <w:color w:val="000000"/>
                <w:sz w:val="24"/>
                <w:szCs w:val="24"/>
              </w:rPr>
              <w:t>59.077</w:t>
            </w:r>
          </w:p>
        </w:tc>
      </w:tr>
    </w:tbl>
    <w:p w14:paraId="73B2FE1D"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mc:AlternateContent>
          <mc:Choice Requires="wps">
            <w:drawing>
              <wp:anchor distT="0" distB="0" distL="114300" distR="114300" simplePos="0" relativeHeight="251676672" behindDoc="0" locked="0" layoutInCell="1" allowOverlap="1" wp14:anchorId="13414D0F" wp14:editId="4B35E5DB">
                <wp:simplePos x="0" y="0"/>
                <wp:positionH relativeFrom="column">
                  <wp:posOffset>65405</wp:posOffset>
                </wp:positionH>
                <wp:positionV relativeFrom="paragraph">
                  <wp:posOffset>421005</wp:posOffset>
                </wp:positionV>
                <wp:extent cx="5600700" cy="3139440"/>
                <wp:effectExtent l="0" t="0" r="38100" b="35560"/>
                <wp:wrapSquare wrapText="bothSides"/>
                <wp:docPr id="54" name="Text Box 54"/>
                <wp:cNvGraphicFramePr/>
                <a:graphic xmlns:a="http://schemas.openxmlformats.org/drawingml/2006/main">
                  <a:graphicData uri="http://schemas.microsoft.com/office/word/2010/wordprocessingShape">
                    <wps:wsp>
                      <wps:cNvSpPr txBox="1"/>
                      <wps:spPr>
                        <a:xfrm>
                          <a:off x="0" y="0"/>
                          <a:ext cx="5600700" cy="3139440"/>
                        </a:xfrm>
                        <a:prstGeom prst="rect">
                          <a:avLst/>
                        </a:prstGeom>
                        <a:noFill/>
                        <a:ln>
                          <a:solidFill>
                            <a:srgbClr val="5B9BD5"/>
                          </a:solidFill>
                        </a:ln>
                        <a:effectLst/>
                      </wps:spPr>
                      <wps:txbx>
                        <w:txbxContent>
                          <w:p w14:paraId="77ACB410" w14:textId="77777777" w:rsidR="009C52C4" w:rsidRDefault="009C52C4" w:rsidP="004E6F69">
                            <w:pPr>
                              <w:rPr>
                                <w:sz w:val="20"/>
                              </w:rPr>
                            </w:pPr>
                            <w:r>
                              <w:rPr>
                                <w:sz w:val="20"/>
                              </w:rPr>
                              <w:t>OKVIR 2: O INVESTICIJSKOM MULTIPLIKATORU</w:t>
                            </w:r>
                          </w:p>
                          <w:p w14:paraId="3784C419" w14:textId="77777777" w:rsidR="009C52C4" w:rsidRPr="00217F66" w:rsidRDefault="009C52C4" w:rsidP="004E6F69">
                            <w:pPr>
                              <w:pStyle w:val="FootnoteText"/>
                              <w:rPr>
                                <w:rFonts w:eastAsia="Times New Roman" w:cs="Times New Roman"/>
                              </w:rPr>
                            </w:pPr>
                            <w:r w:rsidRPr="00217F66">
                              <w:rPr>
                                <w:rFonts w:eastAsia="Times New Roman" w:cs="Times New Roman"/>
                              </w:rPr>
                              <w:t xml:space="preserve">Investicijski multiplikator pokazuje koliko će se povećati BDP ako se investicije povećaju za jedinicu: </w:t>
                            </w:r>
                          </w:p>
                          <w:p w14:paraId="7B63B757" w14:textId="77777777" w:rsidR="009C52C4" w:rsidRPr="007B0FE0" w:rsidRDefault="009C52C4" w:rsidP="004E6F69">
                            <w:pPr>
                              <w:rPr>
                                <w:rFonts w:eastAsia="Times New Roman" w:cs="Times New Roman"/>
                                <w:sz w:val="20"/>
                              </w:rPr>
                            </w:pPr>
                            <w:r w:rsidRPr="00217F66">
                              <w:rPr>
                                <w:rFonts w:eastAsia="Times New Roman" w:cs="Times New Roman"/>
                                <w:position w:val="-28"/>
                                <w:sz w:val="20"/>
                              </w:rPr>
                              <w:object w:dxaOrig="1440" w:dyaOrig="673" w14:anchorId="6B9A2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33.75pt">
                                  <v:imagedata r:id="rId25" o:title=""/>
                                </v:shape>
                                <o:OLEObject Type="Embed" ProgID="Equation.3" ShapeID="_x0000_i1026" DrawAspect="Content" ObjectID="_1614601561" r:id="rId26"/>
                              </w:object>
                            </w:r>
                            <w:r w:rsidRPr="00217F66">
                              <w:rPr>
                                <w:rFonts w:eastAsia="Times New Roman" w:cs="Times New Roman"/>
                                <w:sz w:val="20"/>
                              </w:rPr>
                              <w:t xml:space="preserve"> gdje je </w:t>
                            </w:r>
                            <w:r w:rsidRPr="00217F66">
                              <w:rPr>
                                <w:rFonts w:eastAsia="Times New Roman" w:cs="Times New Roman"/>
                                <w:b/>
                                <w:i/>
                                <w:sz w:val="20"/>
                              </w:rPr>
                              <w:t>c</w:t>
                            </w:r>
                            <w:r w:rsidRPr="00217F66">
                              <w:rPr>
                                <w:rFonts w:eastAsia="Times New Roman" w:cs="Times New Roman"/>
                                <w:sz w:val="20"/>
                              </w:rPr>
                              <w:t xml:space="preserve"> granična sklonost potrošnji (koja pokazuje koliko će se promijeniti potrošnja ako se dohodak promijeni za jedinicu, </w:t>
                            </w:r>
                            <w:r w:rsidRPr="00217F66">
                              <w:rPr>
                                <w:rFonts w:eastAsia="Times New Roman" w:cs="Times New Roman"/>
                                <w:b/>
                                <w:i/>
                                <w:sz w:val="20"/>
                              </w:rPr>
                              <w:t>t</w:t>
                            </w:r>
                            <w:r w:rsidRPr="00217F66">
                              <w:rPr>
                                <w:rFonts w:eastAsia="Times New Roman" w:cs="Times New Roman"/>
                                <w:sz w:val="20"/>
                              </w:rPr>
                              <w:t xml:space="preserve"> je porezna stopa, a </w:t>
                            </w:r>
                            <w:r w:rsidRPr="00217F66">
                              <w:rPr>
                                <w:rFonts w:eastAsia="Times New Roman" w:cs="Times New Roman"/>
                                <w:b/>
                                <w:i/>
                                <w:sz w:val="20"/>
                              </w:rPr>
                              <w:t>m</w:t>
                            </w:r>
                            <w:r w:rsidRPr="00217F66">
                              <w:rPr>
                                <w:rFonts w:eastAsia="Times New Roman" w:cs="Times New Roman"/>
                                <w:sz w:val="20"/>
                              </w:rPr>
                              <w:t xml:space="preserve"> je granična sklonost uvozu (koja pokazuje koliko će se promijeniti uvoz ako se BDP promijeni za jedinicu). Multiplikator je u analitičkom smislu vrlo problematičan koncept, jer se koristi jednostavna matematička konstrukcija za izračun iznimno kompleksne pojave. Matematika je ovdje metafora, a ne točan opis stvarnog procesa. Ta se činjenica vidi po tome da multiplikator „kolabira“ (postaje manji od 1) ako vrijedi m &gt; c(1-t). Geoff  Riley (2006) u: „Mul</w:t>
                            </w:r>
                            <w:r>
                              <w:rPr>
                                <w:rFonts w:eastAsia="Times New Roman" w:cs="Times New Roman"/>
                                <w:sz w:val="20"/>
                              </w:rPr>
                              <w:t>tiplier and Accelerator Effects</w:t>
                            </w:r>
                            <w:r w:rsidRPr="00217F66">
                              <w:rPr>
                                <w:rFonts w:eastAsia="Times New Roman" w:cs="Times New Roman"/>
                                <w:sz w:val="20"/>
                              </w:rPr>
                              <w:t xml:space="preserve">“ </w:t>
                            </w:r>
                            <w:hyperlink r:id="rId27" w:history="1">
                              <w:r w:rsidRPr="00217F66">
                                <w:rPr>
                                  <w:rFonts w:eastAsia="Times New Roman" w:cs="Times New Roman"/>
                                  <w:color w:val="0000FF"/>
                                  <w:sz w:val="20"/>
                                  <w:u w:val="single"/>
                                </w:rPr>
                                <w:t>http://tutor2u.net/economics/revision-notes/as-macro-multiplier-accelerator.html</w:t>
                              </w:r>
                            </w:hyperlink>
                            <w:r w:rsidRPr="00217F66">
                              <w:rPr>
                                <w:rFonts w:eastAsia="Times New Roman" w:cs="Times New Roman"/>
                                <w:sz w:val="20"/>
                              </w:rPr>
                              <w:t xml:space="preserve"> ističe da je donji prag realnih multiplikatora oko 1,4, no zbog iznimne otvorenosti hrvatskoga gospodarstva (sklonosti uvozu) i visokog poreznog opterećenja ne može se isključiti mogućnost da je multiplikator još i manji. Naime, čak i ako isključimo uvoz (iako je granična sklonost visoka), granična sklonost potrošnji se u Hrvatskoj kreće oko 60% (aproksimirana prosječnom sklonošću potrošnji), a granična stopa oporezivanja kreće se između 35%</w:t>
                            </w:r>
                            <w:r>
                              <w:rPr>
                                <w:rFonts w:eastAsia="Times New Roman" w:cs="Times New Roman"/>
                                <w:sz w:val="20"/>
                              </w:rPr>
                              <w:t xml:space="preserve"> i</w:t>
                            </w:r>
                            <w:r w:rsidRPr="00217F66">
                              <w:rPr>
                                <w:rFonts w:eastAsia="Times New Roman" w:cs="Times New Roman"/>
                                <w:sz w:val="20"/>
                              </w:rPr>
                              <w:t xml:space="preserve"> 40%, tako da uz pretpostavljeni c = 0,6 i t = 0,3 dobivamo multiplikator 1,7 ako nema uvoza. Uz za Hrvatsku vrlo konzervativno pretpostavljen m = 0,4, dobiva se multiplikator tek neznatno veći od 1.</w:t>
                            </w:r>
                            <w:r w:rsidRPr="00741B98">
                              <w:rPr>
                                <w:rFonts w:eastAsia="Times New Roman" w:cs="Times New Roman"/>
                                <w:sz w:val="20"/>
                              </w:rPr>
                              <w:t xml:space="preserve"> </w:t>
                            </w:r>
                            <w:r w:rsidRPr="007B0FE0">
                              <w:rPr>
                                <w:rFonts w:eastAsia="Times New Roman" w:cs="Times New Roman"/>
                                <w:sz w:val="20"/>
                              </w:rPr>
                              <w:t xml:space="preserve">Pregledni rad Milana Deskara Škrbića o ekonomskim istraživanjima visine investicijskog multiplikatora u Hrvatskoj pokazuje veoma velike razlike u procjenama, zbog čega se ne može preporučiti opredjeljenje za jedan broj u simulacijama. </w:t>
                            </w:r>
                          </w:p>
                          <w:p w14:paraId="3B7D70A7" w14:textId="77777777" w:rsidR="009C52C4" w:rsidRPr="00614F0B" w:rsidRDefault="009C52C4" w:rsidP="004E6F6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14D0F" id="Text Box 54" o:spid="_x0000_s1027" type="#_x0000_t202" style="position:absolute;left:0;text-align:left;margin-left:5.15pt;margin-top:33.15pt;width:441pt;height:247.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" filled="f" strokecolor="#5b9bd5">
                <v:textbox>
                  <w:txbxContent>
                    <w:p w14:paraId="77ACB410" w14:textId="77777777" w:rsidR="009C52C4" w:rsidRDefault="009C52C4" w:rsidP="004E6F69">
                      <w:pPr>
                        <w:rPr>
                          <w:sz w:val="20"/>
                        </w:rPr>
                      </w:pPr>
                      <w:r>
                        <w:rPr>
                          <w:sz w:val="20"/>
                        </w:rPr>
                        <w:t>OKVIR 2: O INVESTICIJSKOM MULTIPLIKATORU</w:t>
                      </w:r>
                    </w:p>
                    <w:p w14:paraId="3784C419" w14:textId="77777777" w:rsidR="009C52C4" w:rsidRPr="00217F66" w:rsidRDefault="009C52C4" w:rsidP="004E6F69">
                      <w:pPr>
                        <w:pStyle w:val="FootnoteText"/>
                        <w:rPr>
                          <w:rFonts w:eastAsia="Times New Roman" w:cs="Times New Roman"/>
                        </w:rPr>
                      </w:pPr>
                      <w:r w:rsidRPr="00217F66">
                        <w:rPr>
                          <w:rFonts w:eastAsia="Times New Roman" w:cs="Times New Roman"/>
                        </w:rPr>
                        <w:t xml:space="preserve">Investicijski multiplikator pokazuje koliko će se povećati BDP ako se investicije povećaju za jedinicu: </w:t>
                      </w:r>
                    </w:p>
                    <w:p w14:paraId="7B63B757" w14:textId="77777777" w:rsidR="009C52C4" w:rsidRPr="007B0FE0" w:rsidRDefault="009C52C4" w:rsidP="004E6F69">
                      <w:pPr>
                        <w:rPr>
                          <w:rFonts w:eastAsia="Times New Roman" w:cs="Times New Roman"/>
                          <w:sz w:val="20"/>
                        </w:rPr>
                      </w:pPr>
                      <w:r w:rsidRPr="00217F66">
                        <w:rPr>
                          <w:rFonts w:eastAsia="Times New Roman" w:cs="Times New Roman"/>
                          <w:position w:val="-28"/>
                          <w:sz w:val="20"/>
                        </w:rPr>
                        <w:object w:dxaOrig="1440" w:dyaOrig="673" w14:anchorId="6B9A2D6A">
                          <v:shape id="_x0000_i1026" type="#_x0000_t75" style="width:1in;height:33.75pt">
                            <v:imagedata r:id="rId25" o:title=""/>
                          </v:shape>
                          <o:OLEObject Type="Embed" ProgID="Equation.3" ShapeID="_x0000_i1026" DrawAspect="Content" ObjectID="_1614601561" r:id="rId28"/>
                        </w:object>
                      </w:r>
                      <w:r w:rsidRPr="00217F66">
                        <w:rPr>
                          <w:rFonts w:eastAsia="Times New Roman" w:cs="Times New Roman"/>
                          <w:sz w:val="20"/>
                        </w:rPr>
                        <w:t xml:space="preserve"> gdje je </w:t>
                      </w:r>
                      <w:r w:rsidRPr="00217F66">
                        <w:rPr>
                          <w:rFonts w:eastAsia="Times New Roman" w:cs="Times New Roman"/>
                          <w:b/>
                          <w:i/>
                          <w:sz w:val="20"/>
                        </w:rPr>
                        <w:t>c</w:t>
                      </w:r>
                      <w:r w:rsidRPr="00217F66">
                        <w:rPr>
                          <w:rFonts w:eastAsia="Times New Roman" w:cs="Times New Roman"/>
                          <w:sz w:val="20"/>
                        </w:rPr>
                        <w:t xml:space="preserve"> granična sklonost potrošnji (koja pokazuje koliko će se promijeniti potrošnja ako se dohodak promijeni za jedinicu, </w:t>
                      </w:r>
                      <w:r w:rsidRPr="00217F66">
                        <w:rPr>
                          <w:rFonts w:eastAsia="Times New Roman" w:cs="Times New Roman"/>
                          <w:b/>
                          <w:i/>
                          <w:sz w:val="20"/>
                        </w:rPr>
                        <w:t>t</w:t>
                      </w:r>
                      <w:r w:rsidRPr="00217F66">
                        <w:rPr>
                          <w:rFonts w:eastAsia="Times New Roman" w:cs="Times New Roman"/>
                          <w:sz w:val="20"/>
                        </w:rPr>
                        <w:t xml:space="preserve"> je porezna stopa, a </w:t>
                      </w:r>
                      <w:r w:rsidRPr="00217F66">
                        <w:rPr>
                          <w:rFonts w:eastAsia="Times New Roman" w:cs="Times New Roman"/>
                          <w:b/>
                          <w:i/>
                          <w:sz w:val="20"/>
                        </w:rPr>
                        <w:t>m</w:t>
                      </w:r>
                      <w:r w:rsidRPr="00217F66">
                        <w:rPr>
                          <w:rFonts w:eastAsia="Times New Roman" w:cs="Times New Roman"/>
                          <w:sz w:val="20"/>
                        </w:rPr>
                        <w:t xml:space="preserve"> je granična sklonost uvozu (koja pokazuje koliko će se promijeniti uvoz ako se BDP promijeni za jedinicu). Multiplikator je u analitičkom smislu vrlo problematičan koncept, jer se koristi jednostavna matematička konstrukcija za izračun iznimno kompleksne pojave. Matematika je ovdje metafora, a ne točan opis stvarnog procesa. Ta se činjenica vidi po tome da multiplikator „kolabira“ (postaje manji od 1) ako vrijedi m &gt; c(1-t). Geoff  Riley (2006) u: „Mul</w:t>
                      </w:r>
                      <w:r>
                        <w:rPr>
                          <w:rFonts w:eastAsia="Times New Roman" w:cs="Times New Roman"/>
                          <w:sz w:val="20"/>
                        </w:rPr>
                        <w:t>tiplier and Accelerator Effects</w:t>
                      </w:r>
                      <w:r w:rsidRPr="00217F66">
                        <w:rPr>
                          <w:rFonts w:eastAsia="Times New Roman" w:cs="Times New Roman"/>
                          <w:sz w:val="20"/>
                        </w:rPr>
                        <w:t xml:space="preserve">“ </w:t>
                      </w:r>
                      <w:hyperlink r:id="rId29" w:history="1">
                        <w:r w:rsidRPr="00217F66">
                          <w:rPr>
                            <w:rFonts w:eastAsia="Times New Roman" w:cs="Times New Roman"/>
                            <w:color w:val="0000FF"/>
                            <w:sz w:val="20"/>
                            <w:u w:val="single"/>
                          </w:rPr>
                          <w:t>http://tutor2u.net/economics/revision-notes/as-macro-multiplier-accelerator.html</w:t>
                        </w:r>
                      </w:hyperlink>
                      <w:r w:rsidRPr="00217F66">
                        <w:rPr>
                          <w:rFonts w:eastAsia="Times New Roman" w:cs="Times New Roman"/>
                          <w:sz w:val="20"/>
                        </w:rPr>
                        <w:t xml:space="preserve"> ističe da je donji prag realnih multiplikatora oko 1,4, no zbog iznimne otvorenosti hrvatskoga gospodarstva (sklonosti uvozu) i visokog poreznog opterećenja ne može se isključiti mogućnost da je multiplikator još i manji. Naime, čak i ako isključimo uvoz (iako je granična sklonost visoka), granična sklonost potrošnji se u Hrvatskoj kreće oko 60% (aproksimirana prosječnom sklonošću potrošnji), a granična stopa oporezivanja kreće se između 35%</w:t>
                      </w:r>
                      <w:r>
                        <w:rPr>
                          <w:rFonts w:eastAsia="Times New Roman" w:cs="Times New Roman"/>
                          <w:sz w:val="20"/>
                        </w:rPr>
                        <w:t xml:space="preserve"> i</w:t>
                      </w:r>
                      <w:r w:rsidRPr="00217F66">
                        <w:rPr>
                          <w:rFonts w:eastAsia="Times New Roman" w:cs="Times New Roman"/>
                          <w:sz w:val="20"/>
                        </w:rPr>
                        <w:t xml:space="preserve"> 40%, tako da uz pretpostavljeni c = 0,6 i t = 0,3 dobivamo multiplikator 1,7 ako nema uvoza. Uz za Hrvatsku vrlo konzervativno pretpostavljen m = 0,4, dobiva se multiplikator tek neznatno veći od 1.</w:t>
                      </w:r>
                      <w:r w:rsidRPr="00741B98">
                        <w:rPr>
                          <w:rFonts w:eastAsia="Times New Roman" w:cs="Times New Roman"/>
                          <w:sz w:val="20"/>
                        </w:rPr>
                        <w:t xml:space="preserve"> </w:t>
                      </w:r>
                      <w:r w:rsidRPr="007B0FE0">
                        <w:rPr>
                          <w:rFonts w:eastAsia="Times New Roman" w:cs="Times New Roman"/>
                          <w:sz w:val="20"/>
                        </w:rPr>
                        <w:t xml:space="preserve">Pregledni rad Milana Deskara Škrbića o ekonomskim istraživanjima visine investicijskog multiplikatora u Hrvatskoj pokazuje veoma velike razlike u procjenama, zbog čega se ne može preporučiti opredjeljenje za jedan broj u simulacijama. </w:t>
                      </w:r>
                    </w:p>
                    <w:p w14:paraId="3B7D70A7" w14:textId="77777777" w:rsidR="009C52C4" w:rsidRPr="00614F0B" w:rsidRDefault="009C52C4" w:rsidP="004E6F69">
                      <w:pPr>
                        <w:rPr>
                          <w:sz w:val="20"/>
                        </w:rPr>
                      </w:pPr>
                    </w:p>
                  </w:txbxContent>
                </v:textbox>
                <w10:wrap type="square"/>
              </v:shape>
            </w:pict>
          </mc:Fallback>
        </mc:AlternateContent>
      </w:r>
    </w:p>
    <w:p w14:paraId="34CB8244" w14:textId="77777777" w:rsidR="004E6F69" w:rsidRPr="009C52C4" w:rsidRDefault="004E6F69" w:rsidP="004E6F69">
      <w:pPr>
        <w:rPr>
          <w:rFonts w:ascii="Times New Roman" w:hAnsi="Times New Roman" w:cs="Times New Roman"/>
          <w:color w:val="auto"/>
          <w:sz w:val="24"/>
          <w:szCs w:val="24"/>
          <w:lang w:eastAsia="en-US"/>
        </w:rPr>
      </w:pPr>
    </w:p>
    <w:p w14:paraId="7E513B8C" w14:textId="77777777" w:rsidR="00462D0B" w:rsidRPr="009C52C4" w:rsidRDefault="00462D0B" w:rsidP="004E6F69">
      <w:pPr>
        <w:rPr>
          <w:rFonts w:ascii="Times New Roman" w:hAnsi="Times New Roman" w:cs="Times New Roman"/>
          <w:color w:val="auto"/>
          <w:sz w:val="24"/>
          <w:szCs w:val="24"/>
          <w:lang w:eastAsia="en-US"/>
        </w:rPr>
      </w:pPr>
    </w:p>
    <w:p w14:paraId="0D6669B1" w14:textId="65DA9241"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Procjene u sljedećoj tablici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_Ref483404702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4</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pokazuju velike potencijale učinaka na rast BDP-a i prihoda državnog proračuna. I uz najkonzervativniju pretpostavku o investicijskom multiplikatoru (1,2), utjecaj na razinu BDP-a kreće se od 2,</w:t>
      </w:r>
      <w:r w:rsidR="002B6F95" w:rsidRPr="009C52C4">
        <w:rPr>
          <w:rFonts w:ascii="Times New Roman" w:hAnsi="Times New Roman" w:cs="Times New Roman"/>
          <w:color w:val="auto"/>
          <w:sz w:val="24"/>
          <w:szCs w:val="24"/>
          <w:lang w:eastAsia="en-US"/>
        </w:rPr>
        <w:t>2</w:t>
      </w:r>
      <w:r w:rsidRPr="009C52C4">
        <w:rPr>
          <w:rFonts w:ascii="Times New Roman" w:hAnsi="Times New Roman" w:cs="Times New Roman"/>
          <w:color w:val="auto"/>
          <w:sz w:val="24"/>
          <w:szCs w:val="24"/>
          <w:lang w:eastAsia="en-US"/>
        </w:rPr>
        <w:t xml:space="preserve">% u početnom razdoblju 2014.-2019. do </w:t>
      </w:r>
      <w:r w:rsidR="002B6F95" w:rsidRPr="009C52C4">
        <w:rPr>
          <w:rFonts w:ascii="Times New Roman" w:hAnsi="Times New Roman" w:cs="Times New Roman"/>
          <w:color w:val="auto"/>
          <w:sz w:val="24"/>
          <w:szCs w:val="24"/>
          <w:lang w:eastAsia="en-US"/>
        </w:rPr>
        <w:t>gotovo</w:t>
      </w:r>
      <w:r w:rsidRPr="009C52C4">
        <w:rPr>
          <w:rFonts w:ascii="Times New Roman" w:hAnsi="Times New Roman" w:cs="Times New Roman"/>
          <w:color w:val="auto"/>
          <w:sz w:val="24"/>
          <w:szCs w:val="24"/>
          <w:lang w:eastAsia="en-US"/>
        </w:rPr>
        <w:t xml:space="preserve"> 6% u kasnijim razdobljima provedbe programa. S time su povezani i značajni novi prihodi proračuna opće države koji su procijenjeni uz pretpostavljenu ukupnu graničnu poreznu stopu od 38% kroz cijelo razdoblje scenarija. Procjene fiskalnih učinaka kreću od </w:t>
      </w:r>
      <w:r w:rsidR="002B6F95" w:rsidRPr="009C52C4">
        <w:rPr>
          <w:rFonts w:ascii="Times New Roman" w:hAnsi="Times New Roman" w:cs="Times New Roman"/>
          <w:color w:val="auto"/>
          <w:sz w:val="24"/>
          <w:szCs w:val="24"/>
          <w:lang w:eastAsia="en-US"/>
        </w:rPr>
        <w:t>0,8% - 1,4</w:t>
      </w:r>
      <w:r w:rsidRPr="009C52C4">
        <w:rPr>
          <w:rFonts w:ascii="Times New Roman" w:hAnsi="Times New Roman" w:cs="Times New Roman"/>
          <w:color w:val="auto"/>
          <w:sz w:val="24"/>
          <w:szCs w:val="24"/>
          <w:lang w:eastAsia="en-US"/>
        </w:rPr>
        <w:t>% BDP-a na godišnjoj razini u početnom razdoblju realizacije programa</w:t>
      </w:r>
      <w:r w:rsidR="00833CFA" w:rsidRPr="009C52C4">
        <w:rPr>
          <w:rFonts w:ascii="Times New Roman" w:hAnsi="Times New Roman" w:cs="Times New Roman"/>
          <w:color w:val="auto"/>
          <w:sz w:val="24"/>
          <w:szCs w:val="24"/>
          <w:lang w:eastAsia="en-US"/>
        </w:rPr>
        <w:t xml:space="preserve"> zavisno o visini multiplikatora</w:t>
      </w:r>
      <w:r w:rsidRPr="009C52C4">
        <w:rPr>
          <w:rFonts w:ascii="Times New Roman" w:hAnsi="Times New Roman" w:cs="Times New Roman"/>
          <w:color w:val="auto"/>
          <w:sz w:val="24"/>
          <w:szCs w:val="24"/>
          <w:lang w:eastAsia="en-US"/>
        </w:rPr>
        <w:t>, do 2,</w:t>
      </w:r>
      <w:r w:rsidR="00833CFA" w:rsidRPr="009C52C4">
        <w:rPr>
          <w:rFonts w:ascii="Times New Roman" w:hAnsi="Times New Roman" w:cs="Times New Roman"/>
          <w:color w:val="auto"/>
          <w:sz w:val="24"/>
          <w:szCs w:val="24"/>
          <w:lang w:eastAsia="en-US"/>
        </w:rPr>
        <w:t>2% - 3</w:t>
      </w:r>
      <w:r w:rsidRPr="009C52C4">
        <w:rPr>
          <w:rFonts w:ascii="Times New Roman" w:hAnsi="Times New Roman" w:cs="Times New Roman"/>
          <w:color w:val="auto"/>
          <w:sz w:val="24"/>
          <w:szCs w:val="24"/>
          <w:lang w:eastAsia="en-US"/>
        </w:rPr>
        <w:t>,</w:t>
      </w:r>
      <w:r w:rsidR="00833CFA" w:rsidRPr="009C52C4">
        <w:rPr>
          <w:rFonts w:ascii="Times New Roman" w:hAnsi="Times New Roman" w:cs="Times New Roman"/>
          <w:color w:val="auto"/>
          <w:sz w:val="24"/>
          <w:szCs w:val="24"/>
          <w:lang w:eastAsia="en-US"/>
        </w:rPr>
        <w:t>7</w:t>
      </w:r>
      <w:r w:rsidRPr="009C52C4">
        <w:rPr>
          <w:rFonts w:ascii="Times New Roman" w:hAnsi="Times New Roman" w:cs="Times New Roman"/>
          <w:color w:val="auto"/>
          <w:sz w:val="24"/>
          <w:szCs w:val="24"/>
          <w:lang w:eastAsia="en-US"/>
        </w:rPr>
        <w:t xml:space="preserve">% u </w:t>
      </w:r>
      <w:r w:rsidR="00833CFA" w:rsidRPr="009C52C4">
        <w:rPr>
          <w:rFonts w:ascii="Times New Roman" w:hAnsi="Times New Roman" w:cs="Times New Roman"/>
          <w:color w:val="auto"/>
          <w:sz w:val="24"/>
          <w:szCs w:val="24"/>
          <w:lang w:eastAsia="en-US"/>
        </w:rPr>
        <w:t>zadnja dva desetljeća</w:t>
      </w:r>
      <w:r w:rsidRPr="009C52C4">
        <w:rPr>
          <w:rFonts w:ascii="Times New Roman" w:hAnsi="Times New Roman" w:cs="Times New Roman"/>
          <w:color w:val="auto"/>
          <w:sz w:val="24"/>
          <w:szCs w:val="24"/>
          <w:lang w:eastAsia="en-US"/>
        </w:rPr>
        <w:t xml:space="preserve"> realizacije programa. Ti učinci predstavljaju potencijalne izvore za financiranje poticaja, ali pritom treba podsjećati na činjenicu da su makroekonomski učinci prikazani na bruto osnovi. Znači da se ovi učinci mogu materijalizirati kao trajne društvene koristi samo ako energetske uštede i druge uzgredne koristi povećaju konkurentnost gospodarstva kroz pozitivne učinke na manju potrošnju energije i pozitivne učinke na zdravlje ljudi i okoliš. Bez </w:t>
      </w:r>
      <w:r w:rsidR="00833CFA" w:rsidRPr="009C52C4">
        <w:rPr>
          <w:rFonts w:ascii="Times New Roman" w:hAnsi="Times New Roman" w:cs="Times New Roman"/>
          <w:color w:val="auto"/>
          <w:sz w:val="24"/>
          <w:szCs w:val="24"/>
          <w:lang w:eastAsia="en-US"/>
        </w:rPr>
        <w:t>tih</w:t>
      </w:r>
      <w:r w:rsidRPr="009C52C4">
        <w:rPr>
          <w:rFonts w:ascii="Times New Roman" w:hAnsi="Times New Roman" w:cs="Times New Roman"/>
          <w:color w:val="auto"/>
          <w:sz w:val="24"/>
          <w:szCs w:val="24"/>
          <w:lang w:eastAsia="en-US"/>
        </w:rPr>
        <w:t xml:space="preserve"> učin</w:t>
      </w:r>
      <w:r w:rsidR="00833CFA" w:rsidRPr="009C52C4">
        <w:rPr>
          <w:rFonts w:ascii="Times New Roman" w:hAnsi="Times New Roman" w:cs="Times New Roman"/>
          <w:color w:val="auto"/>
          <w:sz w:val="24"/>
          <w:szCs w:val="24"/>
          <w:lang w:eastAsia="en-US"/>
        </w:rPr>
        <w:t>a</w:t>
      </w:r>
      <w:r w:rsidRPr="009C52C4">
        <w:rPr>
          <w:rFonts w:ascii="Times New Roman" w:hAnsi="Times New Roman" w:cs="Times New Roman"/>
          <w:color w:val="auto"/>
          <w:sz w:val="24"/>
          <w:szCs w:val="24"/>
          <w:lang w:eastAsia="en-US"/>
        </w:rPr>
        <w:t xml:space="preserve">ka efekti neće biti trajni, nego će, kao u slučaju ulaganja u autoceste, </w:t>
      </w:r>
      <w:r w:rsidR="00833CFA" w:rsidRPr="009C52C4">
        <w:rPr>
          <w:rFonts w:ascii="Times New Roman" w:hAnsi="Times New Roman" w:cs="Times New Roman"/>
          <w:color w:val="auto"/>
          <w:sz w:val="24"/>
          <w:szCs w:val="24"/>
          <w:lang w:eastAsia="en-US"/>
        </w:rPr>
        <w:t>nestati</w:t>
      </w:r>
      <w:r w:rsidRPr="009C52C4">
        <w:rPr>
          <w:rFonts w:ascii="Times New Roman" w:hAnsi="Times New Roman" w:cs="Times New Roman"/>
          <w:color w:val="auto"/>
          <w:sz w:val="24"/>
          <w:szCs w:val="24"/>
          <w:lang w:eastAsia="en-US"/>
        </w:rPr>
        <w:t xml:space="preserve"> kada investicijska aktivnost bude dovršena.</w:t>
      </w:r>
    </w:p>
    <w:p w14:paraId="2CF15A48" w14:textId="77777777" w:rsidR="00AC5AC8" w:rsidRPr="009C52C4" w:rsidRDefault="00AC5AC8">
      <w:pPr>
        <w:rPr>
          <w:rFonts w:ascii="Times New Roman" w:hAnsi="Times New Roman" w:cs="Times New Roman"/>
          <w:b/>
          <w:bCs/>
          <w:color w:val="auto"/>
          <w:sz w:val="24"/>
          <w:szCs w:val="24"/>
          <w:lang w:eastAsia="en-US"/>
        </w:rPr>
      </w:pPr>
      <w:bookmarkStart w:id="215" w:name="_Ref483211047"/>
      <w:r w:rsidRPr="009C52C4">
        <w:rPr>
          <w:rFonts w:ascii="Times New Roman" w:hAnsi="Times New Roman" w:cs="Times New Roman"/>
          <w:b/>
          <w:bCs/>
          <w:color w:val="auto"/>
          <w:sz w:val="24"/>
          <w:szCs w:val="24"/>
          <w:lang w:eastAsia="en-US"/>
        </w:rPr>
        <w:br w:type="page"/>
      </w:r>
    </w:p>
    <w:p w14:paraId="422151B9" w14:textId="06712EF6" w:rsidR="004E6F69" w:rsidRPr="009C52C4" w:rsidRDefault="00462D0B" w:rsidP="00462D0B">
      <w:pPr>
        <w:pStyle w:val="Caption"/>
        <w:rPr>
          <w:rFonts w:ascii="Times New Roman" w:hAnsi="Times New Roman" w:cs="Times New Roman"/>
          <w:b w:val="0"/>
          <w:bCs w:val="0"/>
          <w:sz w:val="24"/>
          <w:szCs w:val="24"/>
          <w:lang w:eastAsia="en-US"/>
        </w:rPr>
      </w:pPr>
      <w:bookmarkStart w:id="216" w:name="_Ref483404702"/>
      <w:bookmarkStart w:id="217" w:name="_Toc2681331"/>
      <w:bookmarkEnd w:id="215"/>
      <w:r w:rsidRPr="009C52C4">
        <w:rPr>
          <w:rFonts w:ascii="Times New Roman" w:hAnsi="Times New Roman" w:cs="Times New Roman"/>
          <w:sz w:val="24"/>
          <w:szCs w:val="24"/>
        </w:rPr>
        <w:lastRenderedPageBreak/>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4</w:t>
      </w:r>
      <w:r w:rsidR="00B6149D" w:rsidRPr="009C52C4">
        <w:rPr>
          <w:rFonts w:ascii="Times New Roman" w:hAnsi="Times New Roman" w:cs="Times New Roman"/>
          <w:noProof/>
          <w:sz w:val="24"/>
          <w:szCs w:val="24"/>
        </w:rPr>
        <w:fldChar w:fldCharType="end"/>
      </w:r>
      <w:bookmarkEnd w:id="216"/>
      <w:r w:rsidRPr="009C52C4">
        <w:rPr>
          <w:rFonts w:ascii="Times New Roman" w:hAnsi="Times New Roman" w:cs="Times New Roman"/>
          <w:b w:val="0"/>
          <w:bCs w:val="0"/>
          <w:sz w:val="24"/>
          <w:szCs w:val="24"/>
          <w:lang w:eastAsia="en-US"/>
        </w:rPr>
        <w:t xml:space="preserve"> Ukupni učinci na BDP i prihode proračuna opće države s uključenim multiplikativnim efektom</w:t>
      </w:r>
      <w:r w:rsidR="00A7635A" w:rsidRPr="009C52C4">
        <w:rPr>
          <w:rFonts w:ascii="Times New Roman" w:hAnsi="Times New Roman" w:cs="Times New Roman"/>
          <w:b w:val="0"/>
          <w:bCs w:val="0"/>
          <w:sz w:val="24"/>
          <w:szCs w:val="24"/>
          <w:lang w:eastAsia="en-US"/>
        </w:rPr>
        <w:t xml:space="preserve"> do 2050. godine</w:t>
      </w:r>
      <w:bookmarkEnd w:id="217"/>
    </w:p>
    <w:tbl>
      <w:tblPr>
        <w:tblStyle w:val="TableGrid"/>
        <w:tblW w:w="9082" w:type="dxa"/>
        <w:tblLayout w:type="fixed"/>
        <w:tblLook w:val="04A0" w:firstRow="1" w:lastRow="0" w:firstColumn="1" w:lastColumn="0" w:noHBand="0" w:noVBand="1"/>
      </w:tblPr>
      <w:tblGrid>
        <w:gridCol w:w="1625"/>
        <w:gridCol w:w="1518"/>
        <w:gridCol w:w="1380"/>
        <w:gridCol w:w="1519"/>
        <w:gridCol w:w="1518"/>
        <w:gridCol w:w="1522"/>
      </w:tblGrid>
      <w:tr w:rsidR="0020507A" w:rsidRPr="009C52C4" w14:paraId="3384BBE9" w14:textId="77777777" w:rsidTr="00A26C32">
        <w:trPr>
          <w:trHeight w:val="524"/>
        </w:trPr>
        <w:tc>
          <w:tcPr>
            <w:tcW w:w="1625" w:type="dxa"/>
            <w:tcBorders>
              <w:bottom w:val="single" w:sz="4" w:space="0" w:color="auto"/>
            </w:tcBorders>
            <w:shd w:val="clear" w:color="auto" w:fill="C2D69B" w:themeFill="accent3" w:themeFillTint="99"/>
            <w:vAlign w:val="center"/>
          </w:tcPr>
          <w:p w14:paraId="134910AF" w14:textId="77777777" w:rsidR="0020507A" w:rsidRPr="009C52C4" w:rsidRDefault="00574A75" w:rsidP="00574A75">
            <w:pPr>
              <w:rPr>
                <w:rFonts w:ascii="Times New Roman" w:hAnsi="Times New Roman"/>
                <w:b/>
                <w:color w:val="000000"/>
                <w:sz w:val="24"/>
                <w:szCs w:val="24"/>
              </w:rPr>
            </w:pPr>
            <w:r w:rsidRPr="009C52C4">
              <w:rPr>
                <w:rFonts w:ascii="Times New Roman" w:hAnsi="Times New Roman"/>
                <w:b/>
                <w:color w:val="000000"/>
                <w:sz w:val="24"/>
                <w:szCs w:val="24"/>
              </w:rPr>
              <w:t>Promatrano razdoblje</w:t>
            </w:r>
          </w:p>
        </w:tc>
        <w:tc>
          <w:tcPr>
            <w:tcW w:w="1518" w:type="dxa"/>
            <w:tcBorders>
              <w:bottom w:val="single" w:sz="4" w:space="0" w:color="auto"/>
            </w:tcBorders>
            <w:shd w:val="clear" w:color="auto" w:fill="C2D69B" w:themeFill="accent3" w:themeFillTint="99"/>
            <w:vAlign w:val="center"/>
          </w:tcPr>
          <w:p w14:paraId="7511C151" w14:textId="77777777" w:rsidR="0020507A" w:rsidRPr="009C52C4" w:rsidRDefault="0020507A"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2014.-2019.</w:t>
            </w:r>
          </w:p>
        </w:tc>
        <w:tc>
          <w:tcPr>
            <w:tcW w:w="1380" w:type="dxa"/>
            <w:tcBorders>
              <w:bottom w:val="single" w:sz="4" w:space="0" w:color="auto"/>
            </w:tcBorders>
            <w:shd w:val="clear" w:color="auto" w:fill="C2D69B" w:themeFill="accent3" w:themeFillTint="99"/>
            <w:vAlign w:val="center"/>
          </w:tcPr>
          <w:p w14:paraId="45324606" w14:textId="77777777" w:rsidR="0020507A" w:rsidRPr="009C52C4" w:rsidRDefault="0020507A"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2020.-2024.</w:t>
            </w:r>
          </w:p>
        </w:tc>
        <w:tc>
          <w:tcPr>
            <w:tcW w:w="1519" w:type="dxa"/>
            <w:tcBorders>
              <w:bottom w:val="single" w:sz="4" w:space="0" w:color="auto"/>
            </w:tcBorders>
            <w:shd w:val="clear" w:color="auto" w:fill="C2D69B" w:themeFill="accent3" w:themeFillTint="99"/>
            <w:vAlign w:val="center"/>
          </w:tcPr>
          <w:p w14:paraId="34B528ED" w14:textId="77777777" w:rsidR="0020507A" w:rsidRPr="009C52C4" w:rsidRDefault="0020507A"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2025.-2029.</w:t>
            </w:r>
          </w:p>
        </w:tc>
        <w:tc>
          <w:tcPr>
            <w:tcW w:w="1518" w:type="dxa"/>
            <w:tcBorders>
              <w:bottom w:val="single" w:sz="4" w:space="0" w:color="auto"/>
            </w:tcBorders>
            <w:shd w:val="clear" w:color="auto" w:fill="C2D69B" w:themeFill="accent3" w:themeFillTint="99"/>
            <w:vAlign w:val="center"/>
          </w:tcPr>
          <w:p w14:paraId="24EFD049" w14:textId="77777777" w:rsidR="0020507A" w:rsidRPr="009C52C4" w:rsidRDefault="0020507A"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2030.-2039.</w:t>
            </w:r>
          </w:p>
        </w:tc>
        <w:tc>
          <w:tcPr>
            <w:tcW w:w="1518" w:type="dxa"/>
            <w:tcBorders>
              <w:bottom w:val="single" w:sz="4" w:space="0" w:color="auto"/>
            </w:tcBorders>
            <w:shd w:val="clear" w:color="auto" w:fill="C2D69B" w:themeFill="accent3" w:themeFillTint="99"/>
            <w:vAlign w:val="center"/>
          </w:tcPr>
          <w:p w14:paraId="1F163F3D" w14:textId="77777777" w:rsidR="0020507A" w:rsidRPr="009C52C4" w:rsidRDefault="0020507A"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2040.-2049.</w:t>
            </w:r>
          </w:p>
        </w:tc>
      </w:tr>
      <w:tr w:rsidR="0020507A" w:rsidRPr="009C52C4" w14:paraId="081F7600" w14:textId="77777777" w:rsidTr="00A26C32">
        <w:trPr>
          <w:trHeight w:val="276"/>
        </w:trPr>
        <w:tc>
          <w:tcPr>
            <w:tcW w:w="9082" w:type="dxa"/>
            <w:gridSpan w:val="6"/>
            <w:tcBorders>
              <w:bottom w:val="single" w:sz="4" w:space="0" w:color="auto"/>
            </w:tcBorders>
            <w:shd w:val="clear" w:color="auto" w:fill="D6E3BC" w:themeFill="accent3" w:themeFillTint="66"/>
            <w:vAlign w:val="bottom"/>
          </w:tcPr>
          <w:p w14:paraId="0629AEB1" w14:textId="77777777" w:rsidR="0020507A" w:rsidRPr="009C52C4" w:rsidRDefault="0020507A" w:rsidP="00685349">
            <w:pPr>
              <w:rPr>
                <w:rFonts w:ascii="Times New Roman" w:hAnsi="Times New Roman"/>
                <w:sz w:val="24"/>
                <w:szCs w:val="24"/>
              </w:rPr>
            </w:pPr>
            <w:r w:rsidRPr="009C52C4">
              <w:rPr>
                <w:rFonts w:ascii="Times New Roman" w:hAnsi="Times New Roman"/>
                <w:color w:val="000000"/>
                <w:sz w:val="24"/>
                <w:szCs w:val="24"/>
              </w:rPr>
              <w:t>Učinak na BDP s obzirom na multiplikator  - ukupno u HRK*</w:t>
            </w:r>
          </w:p>
        </w:tc>
      </w:tr>
      <w:tr w:rsidR="0020507A" w:rsidRPr="009C52C4" w14:paraId="53E422A0" w14:textId="77777777" w:rsidTr="00A26C32">
        <w:trPr>
          <w:trHeight w:val="524"/>
        </w:trPr>
        <w:tc>
          <w:tcPr>
            <w:tcW w:w="1625" w:type="dxa"/>
            <w:tcBorders>
              <w:top w:val="single" w:sz="4" w:space="0" w:color="auto"/>
              <w:bottom w:val="single" w:sz="4" w:space="0" w:color="auto"/>
            </w:tcBorders>
            <w:vAlign w:val="center"/>
          </w:tcPr>
          <w:p w14:paraId="39FE8C3B"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1518" w:type="dxa"/>
            <w:tcBorders>
              <w:top w:val="single" w:sz="4" w:space="0" w:color="auto"/>
            </w:tcBorders>
            <w:vAlign w:val="center"/>
          </w:tcPr>
          <w:p w14:paraId="7556900B"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45.916.298.120</w:t>
            </w:r>
          </w:p>
        </w:tc>
        <w:tc>
          <w:tcPr>
            <w:tcW w:w="1380" w:type="dxa"/>
            <w:tcBorders>
              <w:top w:val="single" w:sz="4" w:space="0" w:color="auto"/>
            </w:tcBorders>
            <w:vAlign w:val="center"/>
          </w:tcPr>
          <w:p w14:paraId="14E0E352"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87.649.688.995</w:t>
            </w:r>
          </w:p>
        </w:tc>
        <w:tc>
          <w:tcPr>
            <w:tcW w:w="1519" w:type="dxa"/>
            <w:tcBorders>
              <w:top w:val="single" w:sz="4" w:space="0" w:color="auto"/>
            </w:tcBorders>
            <w:vAlign w:val="center"/>
          </w:tcPr>
          <w:p w14:paraId="127D74DE"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105.187.879.866</w:t>
            </w:r>
          </w:p>
        </w:tc>
        <w:tc>
          <w:tcPr>
            <w:tcW w:w="1518" w:type="dxa"/>
            <w:tcBorders>
              <w:top w:val="single" w:sz="4" w:space="0" w:color="auto"/>
            </w:tcBorders>
            <w:vAlign w:val="center"/>
          </w:tcPr>
          <w:p w14:paraId="71F92556"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282.689.113.107</w:t>
            </w:r>
          </w:p>
        </w:tc>
        <w:tc>
          <w:tcPr>
            <w:tcW w:w="1518" w:type="dxa"/>
            <w:tcBorders>
              <w:top w:val="single" w:sz="4" w:space="0" w:color="auto"/>
            </w:tcBorders>
            <w:vAlign w:val="center"/>
          </w:tcPr>
          <w:p w14:paraId="7E1A5963"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322.423.646.936</w:t>
            </w:r>
          </w:p>
        </w:tc>
      </w:tr>
      <w:tr w:rsidR="0020507A" w:rsidRPr="009C52C4" w14:paraId="2B969BBA" w14:textId="77777777" w:rsidTr="00A26C32">
        <w:trPr>
          <w:trHeight w:val="524"/>
        </w:trPr>
        <w:tc>
          <w:tcPr>
            <w:tcW w:w="1625" w:type="dxa"/>
            <w:tcBorders>
              <w:top w:val="single" w:sz="4" w:space="0" w:color="auto"/>
              <w:bottom w:val="single" w:sz="4" w:space="0" w:color="auto"/>
            </w:tcBorders>
            <w:vAlign w:val="center"/>
          </w:tcPr>
          <w:p w14:paraId="7211311C"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1518" w:type="dxa"/>
            <w:vAlign w:val="center"/>
          </w:tcPr>
          <w:p w14:paraId="1895E8F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57.395.372.650</w:t>
            </w:r>
          </w:p>
        </w:tc>
        <w:tc>
          <w:tcPr>
            <w:tcW w:w="1380" w:type="dxa"/>
            <w:vAlign w:val="center"/>
          </w:tcPr>
          <w:p w14:paraId="4A175E37"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109.562.111.244</w:t>
            </w:r>
          </w:p>
        </w:tc>
        <w:tc>
          <w:tcPr>
            <w:tcW w:w="1519" w:type="dxa"/>
            <w:vAlign w:val="center"/>
          </w:tcPr>
          <w:p w14:paraId="7D8641F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131.484.849.832</w:t>
            </w:r>
          </w:p>
        </w:tc>
        <w:tc>
          <w:tcPr>
            <w:tcW w:w="1518" w:type="dxa"/>
            <w:vAlign w:val="center"/>
          </w:tcPr>
          <w:p w14:paraId="229C8BDA"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350.194.059.242</w:t>
            </w:r>
          </w:p>
        </w:tc>
        <w:tc>
          <w:tcPr>
            <w:tcW w:w="1518" w:type="dxa"/>
            <w:vAlign w:val="center"/>
          </w:tcPr>
          <w:p w14:paraId="6AADE0D1"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403.029.558.670</w:t>
            </w:r>
          </w:p>
        </w:tc>
      </w:tr>
      <w:tr w:rsidR="0020507A" w:rsidRPr="009C52C4" w14:paraId="1C76011C" w14:textId="77777777" w:rsidTr="00A26C32">
        <w:trPr>
          <w:trHeight w:val="539"/>
        </w:trPr>
        <w:tc>
          <w:tcPr>
            <w:tcW w:w="1625" w:type="dxa"/>
            <w:tcBorders>
              <w:top w:val="single" w:sz="4" w:space="0" w:color="auto"/>
              <w:bottom w:val="single" w:sz="4" w:space="0" w:color="auto"/>
            </w:tcBorders>
            <w:vAlign w:val="center"/>
          </w:tcPr>
          <w:p w14:paraId="4BE0F454"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1518" w:type="dxa"/>
            <w:tcBorders>
              <w:bottom w:val="single" w:sz="4" w:space="0" w:color="auto"/>
            </w:tcBorders>
            <w:vAlign w:val="center"/>
          </w:tcPr>
          <w:p w14:paraId="100A187B"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76.527.163.533</w:t>
            </w:r>
          </w:p>
        </w:tc>
        <w:tc>
          <w:tcPr>
            <w:tcW w:w="1380" w:type="dxa"/>
            <w:tcBorders>
              <w:bottom w:val="single" w:sz="4" w:space="0" w:color="auto"/>
            </w:tcBorders>
            <w:vAlign w:val="center"/>
          </w:tcPr>
          <w:p w14:paraId="6E59D19D"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146.082.814.992</w:t>
            </w:r>
          </w:p>
        </w:tc>
        <w:tc>
          <w:tcPr>
            <w:tcW w:w="1519" w:type="dxa"/>
            <w:tcBorders>
              <w:bottom w:val="single" w:sz="4" w:space="0" w:color="auto"/>
            </w:tcBorders>
            <w:vAlign w:val="center"/>
          </w:tcPr>
          <w:p w14:paraId="06CB775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175.313.133.109</w:t>
            </w:r>
          </w:p>
        </w:tc>
        <w:tc>
          <w:tcPr>
            <w:tcW w:w="1518" w:type="dxa"/>
            <w:tcBorders>
              <w:bottom w:val="single" w:sz="4" w:space="0" w:color="auto"/>
            </w:tcBorders>
            <w:vAlign w:val="center"/>
          </w:tcPr>
          <w:p w14:paraId="46ACF488"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462.702.302.801</w:t>
            </w:r>
          </w:p>
        </w:tc>
        <w:tc>
          <w:tcPr>
            <w:tcW w:w="1518" w:type="dxa"/>
            <w:tcBorders>
              <w:bottom w:val="single" w:sz="4" w:space="0" w:color="auto"/>
            </w:tcBorders>
            <w:vAlign w:val="center"/>
          </w:tcPr>
          <w:p w14:paraId="742DCF48"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537.372.744.893</w:t>
            </w:r>
          </w:p>
        </w:tc>
      </w:tr>
      <w:tr w:rsidR="0020507A" w:rsidRPr="009C52C4" w14:paraId="27ECF484" w14:textId="77777777" w:rsidTr="00A26C32">
        <w:trPr>
          <w:trHeight w:val="262"/>
        </w:trPr>
        <w:tc>
          <w:tcPr>
            <w:tcW w:w="9082" w:type="dxa"/>
            <w:gridSpan w:val="6"/>
            <w:tcBorders>
              <w:top w:val="single" w:sz="4" w:space="0" w:color="auto"/>
              <w:bottom w:val="single" w:sz="4" w:space="0" w:color="auto"/>
            </w:tcBorders>
            <w:shd w:val="clear" w:color="auto" w:fill="D6E3BC" w:themeFill="accent3" w:themeFillTint="66"/>
            <w:vAlign w:val="center"/>
          </w:tcPr>
          <w:p w14:paraId="76153DB3" w14:textId="77777777" w:rsidR="0020507A" w:rsidRPr="009C52C4" w:rsidRDefault="0020507A" w:rsidP="00685349">
            <w:pPr>
              <w:rPr>
                <w:rFonts w:ascii="Times New Roman" w:hAnsi="Times New Roman"/>
                <w:sz w:val="24"/>
                <w:szCs w:val="24"/>
              </w:rPr>
            </w:pPr>
            <w:r w:rsidRPr="009C52C4">
              <w:rPr>
                <w:rFonts w:ascii="Times New Roman" w:hAnsi="Times New Roman"/>
                <w:color w:val="000000"/>
                <w:sz w:val="24"/>
                <w:szCs w:val="24"/>
              </w:rPr>
              <w:t>Učinak na BDP s obzirom na multiplikator  - prosjek u toku razdoblja</w:t>
            </w:r>
          </w:p>
        </w:tc>
      </w:tr>
      <w:tr w:rsidR="0020507A" w:rsidRPr="009C52C4" w14:paraId="1F68802B" w14:textId="77777777" w:rsidTr="00A26C32">
        <w:trPr>
          <w:trHeight w:val="262"/>
        </w:trPr>
        <w:tc>
          <w:tcPr>
            <w:tcW w:w="1625" w:type="dxa"/>
            <w:tcBorders>
              <w:top w:val="single" w:sz="4" w:space="0" w:color="auto"/>
              <w:bottom w:val="single" w:sz="4" w:space="0" w:color="auto"/>
            </w:tcBorders>
            <w:vAlign w:val="center"/>
          </w:tcPr>
          <w:p w14:paraId="486D226D"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1518" w:type="dxa"/>
            <w:tcBorders>
              <w:top w:val="single" w:sz="4" w:space="0" w:color="auto"/>
            </w:tcBorders>
            <w:vAlign w:val="center"/>
          </w:tcPr>
          <w:p w14:paraId="1DCE8B76"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2,2%</w:t>
            </w:r>
          </w:p>
        </w:tc>
        <w:tc>
          <w:tcPr>
            <w:tcW w:w="1380" w:type="dxa"/>
            <w:tcBorders>
              <w:top w:val="single" w:sz="4" w:space="0" w:color="auto"/>
            </w:tcBorders>
            <w:vAlign w:val="center"/>
          </w:tcPr>
          <w:p w14:paraId="17C8FBDF"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4,5%</w:t>
            </w:r>
          </w:p>
        </w:tc>
        <w:tc>
          <w:tcPr>
            <w:tcW w:w="1519" w:type="dxa"/>
            <w:tcBorders>
              <w:top w:val="single" w:sz="4" w:space="0" w:color="auto"/>
            </w:tcBorders>
            <w:vAlign w:val="center"/>
          </w:tcPr>
          <w:p w14:paraId="147350DD"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5,0%</w:t>
            </w:r>
          </w:p>
        </w:tc>
        <w:tc>
          <w:tcPr>
            <w:tcW w:w="1518" w:type="dxa"/>
            <w:tcBorders>
              <w:top w:val="single" w:sz="4" w:space="0" w:color="auto"/>
            </w:tcBorders>
            <w:vAlign w:val="center"/>
          </w:tcPr>
          <w:p w14:paraId="26F1E044"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5,9%</w:t>
            </w:r>
          </w:p>
        </w:tc>
        <w:tc>
          <w:tcPr>
            <w:tcW w:w="1518" w:type="dxa"/>
            <w:tcBorders>
              <w:top w:val="single" w:sz="4" w:space="0" w:color="auto"/>
            </w:tcBorders>
            <w:vAlign w:val="center"/>
          </w:tcPr>
          <w:p w14:paraId="28354A1A"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5,7%</w:t>
            </w:r>
          </w:p>
        </w:tc>
      </w:tr>
      <w:tr w:rsidR="0020507A" w:rsidRPr="009C52C4" w14:paraId="73BA5F74" w14:textId="77777777" w:rsidTr="00A26C32">
        <w:trPr>
          <w:trHeight w:val="262"/>
        </w:trPr>
        <w:tc>
          <w:tcPr>
            <w:tcW w:w="1625" w:type="dxa"/>
            <w:tcBorders>
              <w:top w:val="single" w:sz="4" w:space="0" w:color="auto"/>
              <w:bottom w:val="single" w:sz="4" w:space="0" w:color="auto"/>
            </w:tcBorders>
            <w:vAlign w:val="center"/>
          </w:tcPr>
          <w:p w14:paraId="0709B85B"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1518" w:type="dxa"/>
            <w:tcBorders>
              <w:bottom w:val="single" w:sz="4" w:space="0" w:color="auto"/>
            </w:tcBorders>
            <w:vAlign w:val="center"/>
          </w:tcPr>
          <w:p w14:paraId="1AF24085"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2,8%</w:t>
            </w:r>
          </w:p>
        </w:tc>
        <w:tc>
          <w:tcPr>
            <w:tcW w:w="1380" w:type="dxa"/>
            <w:tcBorders>
              <w:bottom w:val="single" w:sz="4" w:space="0" w:color="auto"/>
            </w:tcBorders>
            <w:vAlign w:val="center"/>
          </w:tcPr>
          <w:p w14:paraId="5AA1F067"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5,7%</w:t>
            </w:r>
          </w:p>
        </w:tc>
        <w:tc>
          <w:tcPr>
            <w:tcW w:w="1519" w:type="dxa"/>
            <w:tcBorders>
              <w:bottom w:val="single" w:sz="4" w:space="0" w:color="auto"/>
            </w:tcBorders>
            <w:vAlign w:val="center"/>
          </w:tcPr>
          <w:p w14:paraId="11908134"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6,3%</w:t>
            </w:r>
          </w:p>
        </w:tc>
        <w:tc>
          <w:tcPr>
            <w:tcW w:w="1518" w:type="dxa"/>
            <w:tcBorders>
              <w:bottom w:val="single" w:sz="4" w:space="0" w:color="auto"/>
            </w:tcBorders>
            <w:vAlign w:val="center"/>
          </w:tcPr>
          <w:p w14:paraId="6FB95CF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7,3%</w:t>
            </w:r>
          </w:p>
        </w:tc>
        <w:tc>
          <w:tcPr>
            <w:tcW w:w="1518" w:type="dxa"/>
            <w:tcBorders>
              <w:bottom w:val="single" w:sz="4" w:space="0" w:color="auto"/>
            </w:tcBorders>
            <w:vAlign w:val="center"/>
          </w:tcPr>
          <w:p w14:paraId="352F541B"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7,1%</w:t>
            </w:r>
          </w:p>
        </w:tc>
      </w:tr>
      <w:tr w:rsidR="0020507A" w:rsidRPr="009C52C4" w14:paraId="784DBA5E" w14:textId="77777777" w:rsidTr="00A26C32">
        <w:trPr>
          <w:trHeight w:val="262"/>
        </w:trPr>
        <w:tc>
          <w:tcPr>
            <w:tcW w:w="1625" w:type="dxa"/>
            <w:tcBorders>
              <w:top w:val="single" w:sz="4" w:space="0" w:color="auto"/>
              <w:bottom w:val="single" w:sz="4" w:space="0" w:color="auto"/>
            </w:tcBorders>
            <w:shd w:val="clear" w:color="auto" w:fill="auto"/>
            <w:vAlign w:val="center"/>
          </w:tcPr>
          <w:p w14:paraId="4FECE890"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1518" w:type="dxa"/>
            <w:shd w:val="clear" w:color="auto" w:fill="auto"/>
            <w:vAlign w:val="center"/>
          </w:tcPr>
          <w:p w14:paraId="4EA2CD3B"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3,7%</w:t>
            </w:r>
          </w:p>
        </w:tc>
        <w:tc>
          <w:tcPr>
            <w:tcW w:w="1380" w:type="dxa"/>
            <w:shd w:val="clear" w:color="auto" w:fill="auto"/>
            <w:vAlign w:val="center"/>
          </w:tcPr>
          <w:p w14:paraId="56A82002"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7,5%</w:t>
            </w:r>
          </w:p>
        </w:tc>
        <w:tc>
          <w:tcPr>
            <w:tcW w:w="1519" w:type="dxa"/>
            <w:shd w:val="clear" w:color="auto" w:fill="auto"/>
            <w:vAlign w:val="center"/>
          </w:tcPr>
          <w:p w14:paraId="0AE0C2D3"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8,4%</w:t>
            </w:r>
          </w:p>
        </w:tc>
        <w:tc>
          <w:tcPr>
            <w:tcW w:w="1518" w:type="dxa"/>
            <w:shd w:val="clear" w:color="auto" w:fill="auto"/>
            <w:vAlign w:val="center"/>
          </w:tcPr>
          <w:p w14:paraId="6B9EC0D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9,7%</w:t>
            </w:r>
          </w:p>
        </w:tc>
        <w:tc>
          <w:tcPr>
            <w:tcW w:w="1518" w:type="dxa"/>
            <w:shd w:val="clear" w:color="auto" w:fill="auto"/>
            <w:vAlign w:val="center"/>
          </w:tcPr>
          <w:p w14:paraId="4457D33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9,5%</w:t>
            </w:r>
          </w:p>
        </w:tc>
      </w:tr>
      <w:tr w:rsidR="0020507A" w:rsidRPr="009C52C4" w14:paraId="13219DF7" w14:textId="77777777" w:rsidTr="00A26C32">
        <w:trPr>
          <w:trHeight w:val="262"/>
        </w:trPr>
        <w:tc>
          <w:tcPr>
            <w:tcW w:w="9082" w:type="dxa"/>
            <w:gridSpan w:val="6"/>
            <w:tcBorders>
              <w:top w:val="single" w:sz="4" w:space="0" w:color="auto"/>
              <w:bottom w:val="single" w:sz="4" w:space="0" w:color="auto"/>
            </w:tcBorders>
            <w:shd w:val="clear" w:color="auto" w:fill="D6E3BC" w:themeFill="accent3" w:themeFillTint="66"/>
            <w:vAlign w:val="center"/>
          </w:tcPr>
          <w:p w14:paraId="58F3917F" w14:textId="77777777" w:rsidR="0020507A" w:rsidRPr="009C52C4" w:rsidRDefault="0020507A" w:rsidP="00833CFA">
            <w:pPr>
              <w:rPr>
                <w:rFonts w:ascii="Times New Roman" w:hAnsi="Times New Roman"/>
                <w:sz w:val="24"/>
                <w:szCs w:val="24"/>
              </w:rPr>
            </w:pPr>
            <w:r w:rsidRPr="009C52C4">
              <w:rPr>
                <w:rFonts w:ascii="Times New Roman" w:hAnsi="Times New Roman"/>
                <w:color w:val="000000"/>
                <w:sz w:val="24"/>
                <w:szCs w:val="24"/>
              </w:rPr>
              <w:t>Učinak na prihode proračuna s obzirom na multiplikator - ukupno u HRK*</w:t>
            </w:r>
          </w:p>
        </w:tc>
      </w:tr>
      <w:tr w:rsidR="0020507A" w:rsidRPr="009C52C4" w14:paraId="720F269B" w14:textId="77777777" w:rsidTr="00A26C32">
        <w:trPr>
          <w:trHeight w:val="539"/>
        </w:trPr>
        <w:tc>
          <w:tcPr>
            <w:tcW w:w="1625" w:type="dxa"/>
            <w:tcBorders>
              <w:top w:val="single" w:sz="4" w:space="0" w:color="auto"/>
              <w:bottom w:val="single" w:sz="4" w:space="0" w:color="auto"/>
            </w:tcBorders>
            <w:vAlign w:val="center"/>
          </w:tcPr>
          <w:p w14:paraId="0BB5C4A1"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1518" w:type="dxa"/>
            <w:tcBorders>
              <w:top w:val="single" w:sz="4" w:space="0" w:color="auto"/>
            </w:tcBorders>
            <w:vAlign w:val="center"/>
          </w:tcPr>
          <w:p w14:paraId="57451B4B"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17.448.193.286</w:t>
            </w:r>
          </w:p>
        </w:tc>
        <w:tc>
          <w:tcPr>
            <w:tcW w:w="1380" w:type="dxa"/>
            <w:tcBorders>
              <w:top w:val="single" w:sz="4" w:space="0" w:color="auto"/>
            </w:tcBorders>
            <w:vAlign w:val="center"/>
          </w:tcPr>
          <w:p w14:paraId="1134FF0A"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33.306.881.818</w:t>
            </w:r>
          </w:p>
        </w:tc>
        <w:tc>
          <w:tcPr>
            <w:tcW w:w="1519" w:type="dxa"/>
            <w:tcBorders>
              <w:top w:val="single" w:sz="4" w:space="0" w:color="auto"/>
            </w:tcBorders>
            <w:vAlign w:val="center"/>
          </w:tcPr>
          <w:p w14:paraId="3928E09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39.971.394.349</w:t>
            </w:r>
          </w:p>
        </w:tc>
        <w:tc>
          <w:tcPr>
            <w:tcW w:w="1518" w:type="dxa"/>
            <w:tcBorders>
              <w:top w:val="single" w:sz="4" w:space="0" w:color="auto"/>
            </w:tcBorders>
            <w:vAlign w:val="center"/>
          </w:tcPr>
          <w:p w14:paraId="703D2FBC"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107.421.862.980</w:t>
            </w:r>
          </w:p>
        </w:tc>
        <w:tc>
          <w:tcPr>
            <w:tcW w:w="1518" w:type="dxa"/>
            <w:tcBorders>
              <w:top w:val="single" w:sz="4" w:space="0" w:color="auto"/>
            </w:tcBorders>
            <w:vAlign w:val="center"/>
          </w:tcPr>
          <w:p w14:paraId="765D3D8C"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122.520.985.836</w:t>
            </w:r>
          </w:p>
        </w:tc>
      </w:tr>
      <w:tr w:rsidR="0020507A" w:rsidRPr="009C52C4" w14:paraId="34DF0D2A" w14:textId="77777777" w:rsidTr="00A26C32">
        <w:trPr>
          <w:trHeight w:val="524"/>
        </w:trPr>
        <w:tc>
          <w:tcPr>
            <w:tcW w:w="1625" w:type="dxa"/>
            <w:tcBorders>
              <w:top w:val="single" w:sz="4" w:space="0" w:color="auto"/>
              <w:bottom w:val="single" w:sz="4" w:space="0" w:color="auto"/>
            </w:tcBorders>
            <w:vAlign w:val="center"/>
          </w:tcPr>
          <w:p w14:paraId="4A490729"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1518" w:type="dxa"/>
            <w:tcBorders>
              <w:bottom w:val="single" w:sz="4" w:space="0" w:color="auto"/>
            </w:tcBorders>
            <w:vAlign w:val="center"/>
          </w:tcPr>
          <w:p w14:paraId="6EA49DA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21.810.241.607</w:t>
            </w:r>
          </w:p>
        </w:tc>
        <w:tc>
          <w:tcPr>
            <w:tcW w:w="1380" w:type="dxa"/>
            <w:tcBorders>
              <w:bottom w:val="single" w:sz="4" w:space="0" w:color="auto"/>
            </w:tcBorders>
            <w:vAlign w:val="center"/>
          </w:tcPr>
          <w:p w14:paraId="3C416092"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41.633.602.273</w:t>
            </w:r>
          </w:p>
        </w:tc>
        <w:tc>
          <w:tcPr>
            <w:tcW w:w="1519" w:type="dxa"/>
            <w:tcBorders>
              <w:bottom w:val="single" w:sz="4" w:space="0" w:color="auto"/>
            </w:tcBorders>
            <w:vAlign w:val="center"/>
          </w:tcPr>
          <w:p w14:paraId="33228467"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49.964.242.936</w:t>
            </w:r>
          </w:p>
        </w:tc>
        <w:tc>
          <w:tcPr>
            <w:tcW w:w="1518" w:type="dxa"/>
            <w:tcBorders>
              <w:bottom w:val="single" w:sz="4" w:space="0" w:color="auto"/>
            </w:tcBorders>
            <w:vAlign w:val="center"/>
          </w:tcPr>
          <w:p w14:paraId="4E3E2235"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133.073.742.512</w:t>
            </w:r>
          </w:p>
        </w:tc>
        <w:tc>
          <w:tcPr>
            <w:tcW w:w="1518" w:type="dxa"/>
            <w:tcBorders>
              <w:bottom w:val="single" w:sz="4" w:space="0" w:color="auto"/>
            </w:tcBorders>
            <w:vAlign w:val="center"/>
          </w:tcPr>
          <w:p w14:paraId="40B32D56"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153.151.232.294</w:t>
            </w:r>
          </w:p>
        </w:tc>
      </w:tr>
      <w:tr w:rsidR="0020507A" w:rsidRPr="009C52C4" w14:paraId="1885C505" w14:textId="77777777" w:rsidTr="00A26C32">
        <w:trPr>
          <w:trHeight w:val="539"/>
        </w:trPr>
        <w:tc>
          <w:tcPr>
            <w:tcW w:w="1625" w:type="dxa"/>
            <w:tcBorders>
              <w:top w:val="single" w:sz="4" w:space="0" w:color="auto"/>
            </w:tcBorders>
            <w:shd w:val="clear" w:color="auto" w:fill="auto"/>
            <w:vAlign w:val="center"/>
          </w:tcPr>
          <w:p w14:paraId="6C08E4B0"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1518" w:type="dxa"/>
            <w:shd w:val="clear" w:color="auto" w:fill="auto"/>
            <w:vAlign w:val="center"/>
          </w:tcPr>
          <w:p w14:paraId="2C3A2B6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29.080.322.143</w:t>
            </w:r>
          </w:p>
        </w:tc>
        <w:tc>
          <w:tcPr>
            <w:tcW w:w="1380" w:type="dxa"/>
            <w:shd w:val="clear" w:color="auto" w:fill="auto"/>
            <w:vAlign w:val="center"/>
          </w:tcPr>
          <w:p w14:paraId="4E9ECA08"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55.511.469.697</w:t>
            </w:r>
          </w:p>
        </w:tc>
        <w:tc>
          <w:tcPr>
            <w:tcW w:w="1519" w:type="dxa"/>
            <w:shd w:val="clear" w:color="auto" w:fill="auto"/>
            <w:vAlign w:val="center"/>
          </w:tcPr>
          <w:p w14:paraId="3CB96BAC"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66.618.990.582</w:t>
            </w:r>
          </w:p>
        </w:tc>
        <w:tc>
          <w:tcPr>
            <w:tcW w:w="1518" w:type="dxa"/>
            <w:shd w:val="clear" w:color="auto" w:fill="auto"/>
            <w:vAlign w:val="center"/>
          </w:tcPr>
          <w:p w14:paraId="30648C5D"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175.826.875.064</w:t>
            </w:r>
          </w:p>
        </w:tc>
        <w:tc>
          <w:tcPr>
            <w:tcW w:w="1518" w:type="dxa"/>
            <w:shd w:val="clear" w:color="auto" w:fill="auto"/>
            <w:vAlign w:val="center"/>
          </w:tcPr>
          <w:p w14:paraId="1C698E53"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204.201.643.059</w:t>
            </w:r>
          </w:p>
        </w:tc>
      </w:tr>
      <w:tr w:rsidR="0020507A" w:rsidRPr="009C52C4" w14:paraId="6ECD08AA" w14:textId="77777777" w:rsidTr="00A26C32">
        <w:trPr>
          <w:trHeight w:val="262"/>
        </w:trPr>
        <w:tc>
          <w:tcPr>
            <w:tcW w:w="9082" w:type="dxa"/>
            <w:gridSpan w:val="6"/>
            <w:tcBorders>
              <w:top w:val="single" w:sz="4" w:space="0" w:color="auto"/>
              <w:bottom w:val="single" w:sz="4" w:space="0" w:color="auto"/>
            </w:tcBorders>
            <w:shd w:val="clear" w:color="auto" w:fill="D6E3BC" w:themeFill="accent3" w:themeFillTint="66"/>
            <w:vAlign w:val="center"/>
          </w:tcPr>
          <w:p w14:paraId="5EE41380" w14:textId="77777777" w:rsidR="0020507A" w:rsidRPr="009C52C4" w:rsidRDefault="0020507A" w:rsidP="00685349">
            <w:pPr>
              <w:rPr>
                <w:rFonts w:ascii="Times New Roman" w:hAnsi="Times New Roman"/>
                <w:sz w:val="24"/>
                <w:szCs w:val="24"/>
              </w:rPr>
            </w:pPr>
            <w:r w:rsidRPr="009C52C4">
              <w:rPr>
                <w:rFonts w:ascii="Times New Roman" w:hAnsi="Times New Roman"/>
                <w:color w:val="000000"/>
                <w:sz w:val="24"/>
                <w:szCs w:val="24"/>
              </w:rPr>
              <w:t>Učinak na prihode proračuna s obzirom na multiplikator - prosjek razdoblja u % BDP-a</w:t>
            </w:r>
          </w:p>
        </w:tc>
      </w:tr>
      <w:tr w:rsidR="0020507A" w:rsidRPr="009C52C4" w14:paraId="6A6698F4" w14:textId="77777777" w:rsidTr="00A26C32">
        <w:trPr>
          <w:trHeight w:val="262"/>
        </w:trPr>
        <w:tc>
          <w:tcPr>
            <w:tcW w:w="1625" w:type="dxa"/>
            <w:tcBorders>
              <w:top w:val="single" w:sz="4" w:space="0" w:color="auto"/>
              <w:bottom w:val="single" w:sz="4" w:space="0" w:color="auto"/>
            </w:tcBorders>
            <w:vAlign w:val="center"/>
          </w:tcPr>
          <w:p w14:paraId="4AD24291"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1518" w:type="dxa"/>
            <w:tcBorders>
              <w:top w:val="single" w:sz="4" w:space="0" w:color="auto"/>
            </w:tcBorders>
            <w:vAlign w:val="center"/>
          </w:tcPr>
          <w:p w14:paraId="7F50823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0,8%</w:t>
            </w:r>
          </w:p>
        </w:tc>
        <w:tc>
          <w:tcPr>
            <w:tcW w:w="1380" w:type="dxa"/>
            <w:tcBorders>
              <w:top w:val="single" w:sz="4" w:space="0" w:color="auto"/>
            </w:tcBorders>
            <w:vAlign w:val="center"/>
          </w:tcPr>
          <w:p w14:paraId="4EA0C4D5"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1,7%</w:t>
            </w:r>
          </w:p>
        </w:tc>
        <w:tc>
          <w:tcPr>
            <w:tcW w:w="1519" w:type="dxa"/>
            <w:tcBorders>
              <w:top w:val="single" w:sz="4" w:space="0" w:color="auto"/>
            </w:tcBorders>
            <w:vAlign w:val="center"/>
          </w:tcPr>
          <w:p w14:paraId="08AC109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1,9%</w:t>
            </w:r>
          </w:p>
        </w:tc>
        <w:tc>
          <w:tcPr>
            <w:tcW w:w="1518" w:type="dxa"/>
            <w:tcBorders>
              <w:top w:val="single" w:sz="4" w:space="0" w:color="auto"/>
            </w:tcBorders>
            <w:vAlign w:val="center"/>
          </w:tcPr>
          <w:p w14:paraId="4C0582AA"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2,2%</w:t>
            </w:r>
          </w:p>
        </w:tc>
        <w:tc>
          <w:tcPr>
            <w:tcW w:w="1518" w:type="dxa"/>
            <w:tcBorders>
              <w:top w:val="single" w:sz="4" w:space="0" w:color="auto"/>
            </w:tcBorders>
            <w:vAlign w:val="center"/>
          </w:tcPr>
          <w:p w14:paraId="0A729FBC"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2,2%</w:t>
            </w:r>
          </w:p>
        </w:tc>
      </w:tr>
      <w:tr w:rsidR="0020507A" w:rsidRPr="009C52C4" w14:paraId="7DD2D375" w14:textId="77777777" w:rsidTr="00A26C32">
        <w:trPr>
          <w:trHeight w:val="262"/>
        </w:trPr>
        <w:tc>
          <w:tcPr>
            <w:tcW w:w="1625" w:type="dxa"/>
            <w:tcBorders>
              <w:top w:val="single" w:sz="4" w:space="0" w:color="auto"/>
              <w:bottom w:val="single" w:sz="4" w:space="0" w:color="auto"/>
            </w:tcBorders>
            <w:vAlign w:val="center"/>
          </w:tcPr>
          <w:p w14:paraId="7D06C88A"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1518" w:type="dxa"/>
            <w:tcBorders>
              <w:bottom w:val="single" w:sz="4" w:space="0" w:color="auto"/>
            </w:tcBorders>
            <w:vAlign w:val="center"/>
          </w:tcPr>
          <w:p w14:paraId="084858A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1,1%</w:t>
            </w:r>
          </w:p>
        </w:tc>
        <w:tc>
          <w:tcPr>
            <w:tcW w:w="1380" w:type="dxa"/>
            <w:tcBorders>
              <w:bottom w:val="single" w:sz="4" w:space="0" w:color="auto"/>
            </w:tcBorders>
            <w:vAlign w:val="center"/>
          </w:tcPr>
          <w:p w14:paraId="5A7E0F0E"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2,1%</w:t>
            </w:r>
          </w:p>
        </w:tc>
        <w:tc>
          <w:tcPr>
            <w:tcW w:w="1519" w:type="dxa"/>
            <w:tcBorders>
              <w:bottom w:val="single" w:sz="4" w:space="0" w:color="auto"/>
            </w:tcBorders>
            <w:vAlign w:val="center"/>
          </w:tcPr>
          <w:p w14:paraId="311466C0"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2,4%</w:t>
            </w:r>
          </w:p>
        </w:tc>
        <w:tc>
          <w:tcPr>
            <w:tcW w:w="1518" w:type="dxa"/>
            <w:tcBorders>
              <w:bottom w:val="single" w:sz="4" w:space="0" w:color="auto"/>
            </w:tcBorders>
            <w:vAlign w:val="center"/>
          </w:tcPr>
          <w:p w14:paraId="76B6A558"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2,8%</w:t>
            </w:r>
          </w:p>
        </w:tc>
        <w:tc>
          <w:tcPr>
            <w:tcW w:w="1518" w:type="dxa"/>
            <w:tcBorders>
              <w:bottom w:val="single" w:sz="4" w:space="0" w:color="auto"/>
            </w:tcBorders>
            <w:vAlign w:val="center"/>
          </w:tcPr>
          <w:p w14:paraId="57F219C1"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2,7%</w:t>
            </w:r>
          </w:p>
        </w:tc>
      </w:tr>
      <w:tr w:rsidR="0020507A" w:rsidRPr="009C52C4" w14:paraId="0A7A68ED" w14:textId="77777777" w:rsidTr="00A26C32">
        <w:trPr>
          <w:trHeight w:val="262"/>
        </w:trPr>
        <w:tc>
          <w:tcPr>
            <w:tcW w:w="1625" w:type="dxa"/>
            <w:tcBorders>
              <w:top w:val="single" w:sz="4" w:space="0" w:color="auto"/>
            </w:tcBorders>
            <w:shd w:val="clear" w:color="auto" w:fill="auto"/>
            <w:vAlign w:val="center"/>
          </w:tcPr>
          <w:p w14:paraId="1C07213F" w14:textId="77777777" w:rsidR="0020507A" w:rsidRPr="009C52C4" w:rsidRDefault="0020507A"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1518" w:type="dxa"/>
            <w:shd w:val="clear" w:color="auto" w:fill="auto"/>
            <w:vAlign w:val="center"/>
          </w:tcPr>
          <w:p w14:paraId="58933D8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1,4%</w:t>
            </w:r>
          </w:p>
        </w:tc>
        <w:tc>
          <w:tcPr>
            <w:tcW w:w="1380" w:type="dxa"/>
            <w:shd w:val="clear" w:color="auto" w:fill="auto"/>
            <w:vAlign w:val="center"/>
          </w:tcPr>
          <w:p w14:paraId="23AC8DD5"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2,9%</w:t>
            </w:r>
          </w:p>
        </w:tc>
        <w:tc>
          <w:tcPr>
            <w:tcW w:w="1519" w:type="dxa"/>
            <w:shd w:val="clear" w:color="auto" w:fill="auto"/>
            <w:vAlign w:val="center"/>
          </w:tcPr>
          <w:p w14:paraId="2DC9EEC9"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3,2%</w:t>
            </w:r>
          </w:p>
        </w:tc>
        <w:tc>
          <w:tcPr>
            <w:tcW w:w="1518" w:type="dxa"/>
            <w:shd w:val="clear" w:color="auto" w:fill="auto"/>
            <w:vAlign w:val="center"/>
          </w:tcPr>
          <w:p w14:paraId="36DA56A8"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3,7%</w:t>
            </w:r>
          </w:p>
        </w:tc>
        <w:tc>
          <w:tcPr>
            <w:tcW w:w="1518" w:type="dxa"/>
            <w:shd w:val="clear" w:color="auto" w:fill="auto"/>
            <w:vAlign w:val="center"/>
          </w:tcPr>
          <w:p w14:paraId="713B495D" w14:textId="77777777" w:rsidR="0020507A" w:rsidRPr="009C52C4" w:rsidRDefault="0020507A" w:rsidP="00833CFA">
            <w:pPr>
              <w:jc w:val="center"/>
              <w:rPr>
                <w:rFonts w:ascii="Times New Roman" w:hAnsi="Times New Roman"/>
                <w:color w:val="000000"/>
                <w:sz w:val="24"/>
                <w:szCs w:val="24"/>
              </w:rPr>
            </w:pPr>
            <w:r w:rsidRPr="009C52C4">
              <w:rPr>
                <w:rFonts w:ascii="Times New Roman" w:hAnsi="Times New Roman"/>
                <w:color w:val="000000"/>
                <w:sz w:val="24"/>
                <w:szCs w:val="24"/>
              </w:rPr>
              <w:t>3,6%</w:t>
            </w:r>
          </w:p>
        </w:tc>
      </w:tr>
    </w:tbl>
    <w:p w14:paraId="1518148E"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*Iznosi predstavljaju kumulative unutar razdoblja. Učinci na godišnjoj razini, u prosjeku, prikazani su ispod apsolutnih iznosa</w:t>
      </w:r>
    </w:p>
    <w:p w14:paraId="57D957DD" w14:textId="77777777" w:rsidR="004E6F69" w:rsidRPr="009C52C4" w:rsidRDefault="004E6F69" w:rsidP="004E6F69">
      <w:pPr>
        <w:rPr>
          <w:rFonts w:ascii="Times New Roman" w:hAnsi="Times New Roman" w:cs="Times New Roman"/>
          <w:color w:val="auto"/>
          <w:sz w:val="24"/>
          <w:szCs w:val="24"/>
          <w:lang w:eastAsia="en-US"/>
        </w:rPr>
      </w:pPr>
    </w:p>
    <w:p w14:paraId="480C8FAD" w14:textId="77777777" w:rsidR="004E6F69" w:rsidRPr="009C52C4" w:rsidRDefault="004E6F69" w:rsidP="004E6F69">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Prije prikaza ostalih učinaka treba skrenuti pažnju na potencijale i ograničenja građevinske industrije. Građevinarstvo i srodne tehnološke industrije koje proizvode instalacijske proizvode i usluge određuju reakciju ponude na poslovnu priliku koja se otvara </w:t>
      </w:r>
      <w:r w:rsidR="00DA1962" w:rsidRPr="009C52C4">
        <w:rPr>
          <w:rFonts w:ascii="Times New Roman" w:hAnsi="Times New Roman" w:cs="Times New Roman"/>
          <w:color w:val="auto"/>
          <w:sz w:val="24"/>
          <w:szCs w:val="24"/>
          <w:lang w:eastAsia="en-US"/>
        </w:rPr>
        <w:t>kroz rast</w:t>
      </w:r>
      <w:r w:rsidRPr="009C52C4">
        <w:rPr>
          <w:rFonts w:ascii="Times New Roman" w:hAnsi="Times New Roman" w:cs="Times New Roman"/>
          <w:color w:val="auto"/>
          <w:sz w:val="24"/>
          <w:szCs w:val="24"/>
          <w:lang w:eastAsia="en-US"/>
        </w:rPr>
        <w:t xml:space="preserve"> investicijske potražnje u slučaju provedbe prikazanog programa.</w:t>
      </w:r>
    </w:p>
    <w:p w14:paraId="24F0CA3F" w14:textId="77777777" w:rsidR="004E6F69" w:rsidRPr="009C52C4" w:rsidRDefault="004E6F69" w:rsidP="004E6F69">
      <w:pPr>
        <w:rPr>
          <w:rFonts w:ascii="Times New Roman" w:hAnsi="Times New Roman" w:cs="Times New Roman"/>
          <w:color w:val="auto"/>
          <w:sz w:val="24"/>
          <w:szCs w:val="24"/>
          <w:lang w:eastAsia="en-US"/>
        </w:rPr>
      </w:pPr>
    </w:p>
    <w:p w14:paraId="448BAA07" w14:textId="77777777" w:rsidR="004E6F69" w:rsidRPr="009C52C4" w:rsidRDefault="004E6F69">
      <w:pPr>
        <w:rPr>
          <w:rFonts w:ascii="Times New Roman" w:hAnsi="Times New Roman" w:cs="Times New Roman"/>
          <w:sz w:val="24"/>
          <w:szCs w:val="24"/>
        </w:rPr>
      </w:pPr>
      <w:r w:rsidRPr="009C52C4">
        <w:rPr>
          <w:rFonts w:ascii="Times New Roman" w:hAnsi="Times New Roman" w:cs="Times New Roman"/>
          <w:color w:val="auto"/>
          <w:sz w:val="24"/>
          <w:szCs w:val="24"/>
          <w:lang w:eastAsia="en-US"/>
        </w:rPr>
        <w:t xml:space="preserve">Sukladno provedenoj analizi energetskih ušteda kao rezultata integralne energetske obnove fonda zgrada </w:t>
      </w:r>
      <w:r w:rsidR="002375AB" w:rsidRPr="009C52C4">
        <w:rPr>
          <w:rFonts w:ascii="Times New Roman" w:hAnsi="Times New Roman" w:cs="Times New Roman"/>
          <w:color w:val="auto"/>
          <w:sz w:val="24"/>
          <w:szCs w:val="24"/>
          <w:lang w:eastAsia="en-US"/>
        </w:rPr>
        <w:t xml:space="preserve">prema zahtjevima </w:t>
      </w:r>
      <w:r w:rsidR="002375AB" w:rsidRPr="009C52C4">
        <w:rPr>
          <w:rFonts w:ascii="Times New Roman" w:hAnsi="Times New Roman" w:cs="Times New Roman"/>
          <w:i/>
          <w:color w:val="auto"/>
          <w:sz w:val="24"/>
          <w:szCs w:val="24"/>
          <w:lang w:eastAsia="en-US"/>
        </w:rPr>
        <w:t>Tehničkog propisa</w:t>
      </w:r>
      <w:r w:rsidR="002375AB"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a na temelju obuhvaćenog fonda zgrada i primjene mjera povećanja energetske učinkovitosti, procijenjeni učinak programa integralne obnove na ostvarenje energetskih ušteda do 2050. iznosi oko 13</w:t>
      </w:r>
      <w:r w:rsidR="00C327EC" w:rsidRPr="009C52C4">
        <w:rPr>
          <w:rFonts w:ascii="Times New Roman" w:hAnsi="Times New Roman" w:cs="Times New Roman"/>
          <w:color w:val="auto"/>
          <w:sz w:val="24"/>
          <w:szCs w:val="24"/>
          <w:lang w:eastAsia="en-US"/>
        </w:rPr>
        <w:t>1</w:t>
      </w:r>
      <w:r w:rsidRPr="009C52C4">
        <w:rPr>
          <w:rFonts w:ascii="Times New Roman" w:hAnsi="Times New Roman" w:cs="Times New Roman"/>
          <w:color w:val="auto"/>
          <w:sz w:val="24"/>
          <w:szCs w:val="24"/>
          <w:lang w:eastAsia="en-US"/>
        </w:rPr>
        <w:t>,5 PJ</w:t>
      </w:r>
      <w:r w:rsidR="006D79EF" w:rsidRPr="009C52C4">
        <w:rPr>
          <w:rFonts w:ascii="Times New Roman" w:hAnsi="Times New Roman" w:cs="Times New Roman"/>
          <w:color w:val="auto"/>
          <w:sz w:val="24"/>
          <w:szCs w:val="24"/>
          <w:lang w:eastAsia="en-US"/>
        </w:rPr>
        <w:t xml:space="preserve"> (sukladno podacima prikazanim u Prilogu 18)</w:t>
      </w:r>
      <w:r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rPr>
        <w:br w:type="page"/>
      </w:r>
    </w:p>
    <w:p w14:paraId="3D06B1E6" w14:textId="77777777" w:rsidR="004E6F69" w:rsidRPr="009C52C4" w:rsidRDefault="00853BC8" w:rsidP="004F09F1">
      <w:pPr>
        <w:pStyle w:val="Heading2"/>
        <w:numPr>
          <w:ilvl w:val="1"/>
          <w:numId w:val="39"/>
        </w:numPr>
        <w:spacing w:line="276" w:lineRule="auto"/>
        <w:ind w:left="142" w:firstLine="142"/>
        <w:rPr>
          <w:rFonts w:ascii="Times New Roman" w:hAnsi="Times New Roman" w:cs="Times New Roman"/>
          <w:sz w:val="24"/>
          <w:szCs w:val="24"/>
        </w:rPr>
      </w:pPr>
      <w:bookmarkStart w:id="218" w:name="_Toc3277936"/>
      <w:r w:rsidRPr="009C52C4">
        <w:rPr>
          <w:rFonts w:ascii="Times New Roman" w:hAnsi="Times New Roman" w:cs="Times New Roman"/>
          <w:sz w:val="24"/>
          <w:szCs w:val="24"/>
        </w:rPr>
        <w:lastRenderedPageBreak/>
        <w:t>Strateški ciljevi obnove zgrada, potrebna ulaganja i učinci na BDP, zaposlenost i državni proračun za razdoblje do 2030. godine</w:t>
      </w:r>
      <w:bookmarkEnd w:id="218"/>
    </w:p>
    <w:p w14:paraId="44E398D9" w14:textId="77777777" w:rsidR="004E6F69" w:rsidRPr="009C52C4" w:rsidRDefault="004E6F69">
      <w:pPr>
        <w:rPr>
          <w:rFonts w:ascii="Times New Roman" w:hAnsi="Times New Roman" w:cs="Times New Roman"/>
          <w:sz w:val="24"/>
          <w:szCs w:val="24"/>
        </w:rPr>
      </w:pPr>
    </w:p>
    <w:p w14:paraId="6A6BA3EE" w14:textId="24D282DE"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Sukladno </w:t>
      </w:r>
      <w:r w:rsidR="00B62240" w:rsidRPr="009C52C4">
        <w:rPr>
          <w:rFonts w:ascii="Times New Roman" w:hAnsi="Times New Roman" w:cs="Times New Roman"/>
          <w:color w:val="auto"/>
          <w:sz w:val="24"/>
          <w:szCs w:val="24"/>
          <w:lang w:eastAsia="en-US"/>
        </w:rPr>
        <w:t xml:space="preserve">iznesenom </w:t>
      </w:r>
      <w:r w:rsidRPr="009C52C4">
        <w:rPr>
          <w:rFonts w:ascii="Times New Roman" w:hAnsi="Times New Roman" w:cs="Times New Roman"/>
          <w:color w:val="auto"/>
          <w:sz w:val="24"/>
          <w:szCs w:val="24"/>
          <w:lang w:eastAsia="en-US"/>
        </w:rPr>
        <w:t xml:space="preserve">u prethodnom poglavlju, strateški ciljevi su definirani na razini 3,5% </w:t>
      </w:r>
      <w:r w:rsidR="00685349" w:rsidRPr="009C52C4">
        <w:rPr>
          <w:rFonts w:ascii="Times New Roman" w:hAnsi="Times New Roman" w:cs="Times New Roman"/>
          <w:color w:val="auto"/>
          <w:sz w:val="24"/>
          <w:szCs w:val="24"/>
          <w:lang w:eastAsia="en-US"/>
        </w:rPr>
        <w:t xml:space="preserve">nacionalnog fonda zgrada </w:t>
      </w:r>
      <w:r w:rsidRPr="009C52C4">
        <w:rPr>
          <w:rFonts w:ascii="Times New Roman" w:hAnsi="Times New Roman" w:cs="Times New Roman"/>
          <w:color w:val="auto"/>
          <w:sz w:val="24"/>
          <w:szCs w:val="24"/>
          <w:lang w:eastAsia="en-US"/>
        </w:rPr>
        <w:t xml:space="preserve">u razdoblju ulaganja </w:t>
      </w:r>
      <w:r w:rsidR="00685349" w:rsidRPr="009C52C4">
        <w:rPr>
          <w:rFonts w:ascii="Times New Roman" w:hAnsi="Times New Roman" w:cs="Times New Roman"/>
          <w:color w:val="auto"/>
          <w:sz w:val="24"/>
          <w:szCs w:val="24"/>
          <w:lang w:eastAsia="en-US"/>
        </w:rPr>
        <w:t>od 2017</w:t>
      </w:r>
      <w:r w:rsidRPr="009C52C4">
        <w:rPr>
          <w:rFonts w:ascii="Times New Roman" w:hAnsi="Times New Roman" w:cs="Times New Roman"/>
          <w:color w:val="auto"/>
          <w:sz w:val="24"/>
          <w:szCs w:val="24"/>
          <w:lang w:eastAsia="en-US"/>
        </w:rPr>
        <w:t>.</w:t>
      </w:r>
      <w:r w:rsidR="00685349" w:rsidRPr="009C52C4">
        <w:rPr>
          <w:rFonts w:ascii="Times New Roman" w:hAnsi="Times New Roman" w:cs="Times New Roman"/>
          <w:color w:val="auto"/>
          <w:sz w:val="24"/>
          <w:szCs w:val="24"/>
          <w:lang w:eastAsia="en-US"/>
        </w:rPr>
        <w:t xml:space="preserve"> do </w:t>
      </w:r>
      <w:r w:rsidRPr="009C52C4">
        <w:rPr>
          <w:rFonts w:ascii="Times New Roman" w:hAnsi="Times New Roman" w:cs="Times New Roman"/>
          <w:color w:val="auto"/>
          <w:sz w:val="24"/>
          <w:szCs w:val="24"/>
          <w:lang w:eastAsia="en-US"/>
        </w:rPr>
        <w:t>20</w:t>
      </w:r>
      <w:r w:rsidR="00685349" w:rsidRPr="009C52C4">
        <w:rPr>
          <w:rFonts w:ascii="Times New Roman" w:hAnsi="Times New Roman" w:cs="Times New Roman"/>
          <w:color w:val="auto"/>
          <w:sz w:val="24"/>
          <w:szCs w:val="24"/>
          <w:lang w:eastAsia="en-US"/>
        </w:rPr>
        <w:t>30</w:t>
      </w:r>
      <w:r w:rsidRPr="009C52C4">
        <w:rPr>
          <w:rFonts w:ascii="Times New Roman" w:hAnsi="Times New Roman" w:cs="Times New Roman"/>
          <w:color w:val="auto"/>
          <w:sz w:val="24"/>
          <w:szCs w:val="24"/>
          <w:lang w:eastAsia="en-US"/>
        </w:rPr>
        <w:t>.</w:t>
      </w:r>
      <w:r w:rsidR="00685349" w:rsidRPr="009C52C4">
        <w:rPr>
          <w:rFonts w:ascii="Times New Roman" w:hAnsi="Times New Roman" w:cs="Times New Roman"/>
          <w:color w:val="auto"/>
          <w:sz w:val="24"/>
          <w:szCs w:val="24"/>
          <w:lang w:eastAsia="en-US"/>
        </w:rPr>
        <w:t xml:space="preserve"> godine.</w:t>
      </w:r>
      <w:r w:rsidRPr="009C52C4">
        <w:rPr>
          <w:rFonts w:ascii="Times New Roman" w:hAnsi="Times New Roman" w:cs="Times New Roman"/>
          <w:color w:val="auto"/>
          <w:sz w:val="24"/>
          <w:szCs w:val="24"/>
          <w:lang w:eastAsia="en-US"/>
        </w:rPr>
        <w:t xml:space="preserve"> </w:t>
      </w:r>
      <w:r w:rsidR="00685349" w:rsidRPr="009C52C4">
        <w:rPr>
          <w:rFonts w:ascii="Times New Roman" w:hAnsi="Times New Roman" w:cs="Times New Roman"/>
          <w:color w:val="auto"/>
          <w:sz w:val="24"/>
          <w:szCs w:val="24"/>
          <w:lang w:eastAsia="en-US"/>
        </w:rPr>
        <w:t xml:space="preserve">Investicijski izdaci se sastoje od tri elementa. Početno ulaganje predstavlja umnožak broja kvadrata i investicijskog izdatka za obnovu prema zahtjevima </w:t>
      </w:r>
      <w:r w:rsidR="00685349" w:rsidRPr="009C52C4">
        <w:rPr>
          <w:rFonts w:ascii="Times New Roman" w:hAnsi="Times New Roman" w:cs="Times New Roman"/>
          <w:i/>
          <w:color w:val="auto"/>
          <w:sz w:val="24"/>
          <w:szCs w:val="24"/>
          <w:lang w:eastAsia="en-US"/>
        </w:rPr>
        <w:t>Tehničkog propisa</w:t>
      </w:r>
      <w:r w:rsidR="00685349" w:rsidRPr="009C52C4">
        <w:rPr>
          <w:rFonts w:ascii="Times New Roman" w:hAnsi="Times New Roman" w:cs="Times New Roman"/>
          <w:color w:val="auto"/>
          <w:sz w:val="24"/>
          <w:szCs w:val="24"/>
          <w:lang w:eastAsia="en-US"/>
        </w:rPr>
        <w:t xml:space="preserve"> za veliku rekonstrukciju. Tekuće investicijsko održavanje procijenjeno je na 5,3% kumulativnog iznosa ulaganja. </w:t>
      </w:r>
      <w:r w:rsidRPr="009C52C4">
        <w:rPr>
          <w:rFonts w:ascii="Times New Roman" w:hAnsi="Times New Roman" w:cs="Times New Roman"/>
          <w:color w:val="auto"/>
          <w:sz w:val="24"/>
          <w:szCs w:val="24"/>
          <w:lang w:eastAsia="en-US"/>
        </w:rPr>
        <w:t xml:space="preserve">Zamjenske investicije toplinskih i rasvjetnih instalacija uzimaju se u obzir tek po isteku petnaest godina nakon prvotne ugradnje pa se stoga u </w:t>
      </w:r>
      <w:r w:rsidR="00D4611E" w:rsidRPr="009C52C4">
        <w:rPr>
          <w:rFonts w:ascii="Times New Roman" w:hAnsi="Times New Roman" w:cs="Times New Roman"/>
          <w:color w:val="auto"/>
          <w:sz w:val="24"/>
          <w:szCs w:val="24"/>
          <w:lang w:eastAsia="en-US"/>
        </w:rPr>
        <w:t xml:space="preserve">razdoblju </w:t>
      </w:r>
      <w:r w:rsidRPr="009C52C4">
        <w:rPr>
          <w:rFonts w:ascii="Times New Roman" w:hAnsi="Times New Roman" w:cs="Times New Roman"/>
          <w:color w:val="auto"/>
          <w:sz w:val="24"/>
          <w:szCs w:val="24"/>
          <w:lang w:eastAsia="en-US"/>
        </w:rPr>
        <w:t>do 2030.</w:t>
      </w:r>
      <w:r w:rsidR="006E3ED8" w:rsidRPr="009C52C4">
        <w:rPr>
          <w:rFonts w:ascii="Times New Roman" w:hAnsi="Times New Roman" w:cs="Times New Roman"/>
          <w:color w:val="auto"/>
          <w:sz w:val="24"/>
          <w:szCs w:val="24"/>
          <w:lang w:eastAsia="en-US"/>
        </w:rPr>
        <w:t xml:space="preserve"> </w:t>
      </w:r>
      <w:r w:rsidRPr="009C52C4">
        <w:rPr>
          <w:rFonts w:ascii="Times New Roman" w:hAnsi="Times New Roman" w:cs="Times New Roman"/>
          <w:color w:val="auto"/>
          <w:sz w:val="24"/>
          <w:szCs w:val="24"/>
          <w:lang w:eastAsia="en-US"/>
        </w:rPr>
        <w:t>godine ne uzimaju u obzir. Rezultati u sljedećoj tablici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_Ref483404738 \h </w:instrText>
      </w:r>
      <w:r w:rsidR="00BE32D7"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Tablica 6.5</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pokazuju da predviđeni tempo obnove ima značajne učinke na investicije koji su osjetni i na makroekonomskoj razini. Dugoročni godišnji prosjek udjela ove vrste investicija u BDP-u iznosi 3,</w:t>
      </w:r>
      <w:r w:rsidR="00685349" w:rsidRPr="009C52C4">
        <w:rPr>
          <w:rFonts w:ascii="Times New Roman" w:hAnsi="Times New Roman" w:cs="Times New Roman"/>
          <w:color w:val="auto"/>
          <w:sz w:val="24"/>
          <w:szCs w:val="24"/>
          <w:lang w:eastAsia="en-US"/>
        </w:rPr>
        <w:t>2</w:t>
      </w:r>
      <w:r w:rsidRPr="009C52C4">
        <w:rPr>
          <w:rFonts w:ascii="Times New Roman" w:hAnsi="Times New Roman" w:cs="Times New Roman"/>
          <w:color w:val="auto"/>
          <w:sz w:val="24"/>
          <w:szCs w:val="24"/>
          <w:lang w:eastAsia="en-US"/>
        </w:rPr>
        <w:t>%. Udjel je u prvom razdoblju razmjerno skroman (premda ne i zanemariv: 1,</w:t>
      </w:r>
      <w:r w:rsidR="00685349" w:rsidRPr="009C52C4">
        <w:rPr>
          <w:rFonts w:ascii="Times New Roman" w:hAnsi="Times New Roman" w:cs="Times New Roman"/>
          <w:color w:val="auto"/>
          <w:sz w:val="24"/>
          <w:szCs w:val="24"/>
          <w:lang w:eastAsia="en-US"/>
        </w:rPr>
        <w:t>8</w:t>
      </w:r>
      <w:r w:rsidRPr="009C52C4">
        <w:rPr>
          <w:rFonts w:ascii="Times New Roman" w:hAnsi="Times New Roman" w:cs="Times New Roman"/>
          <w:color w:val="auto"/>
          <w:sz w:val="24"/>
          <w:szCs w:val="24"/>
          <w:lang w:eastAsia="en-US"/>
        </w:rPr>
        <w:t xml:space="preserve">%), što se objašnjava uvodno spomenutim inicijalnim podbačajem ulaganja. No, već u razdoblju 2020.-2024. dostiže se dugoročan prosjek od </w:t>
      </w:r>
      <w:r w:rsidR="00685349" w:rsidRPr="009C52C4">
        <w:rPr>
          <w:rFonts w:ascii="Times New Roman" w:hAnsi="Times New Roman" w:cs="Times New Roman"/>
          <w:color w:val="auto"/>
          <w:sz w:val="24"/>
          <w:szCs w:val="24"/>
          <w:lang w:eastAsia="en-US"/>
        </w:rPr>
        <w:t>3</w:t>
      </w:r>
      <w:r w:rsidRPr="009C52C4">
        <w:rPr>
          <w:rFonts w:ascii="Times New Roman" w:hAnsi="Times New Roman" w:cs="Times New Roman"/>
          <w:color w:val="auto"/>
          <w:sz w:val="24"/>
          <w:szCs w:val="24"/>
          <w:lang w:eastAsia="en-US"/>
        </w:rPr>
        <w:t>,</w:t>
      </w:r>
      <w:r w:rsidR="00685349" w:rsidRPr="009C52C4">
        <w:rPr>
          <w:rFonts w:ascii="Times New Roman" w:hAnsi="Times New Roman" w:cs="Times New Roman"/>
          <w:color w:val="auto"/>
          <w:sz w:val="24"/>
          <w:szCs w:val="24"/>
          <w:lang w:eastAsia="en-US"/>
        </w:rPr>
        <w:t>8</w:t>
      </w:r>
      <w:r w:rsidRPr="009C52C4">
        <w:rPr>
          <w:rFonts w:ascii="Times New Roman" w:hAnsi="Times New Roman" w:cs="Times New Roman"/>
          <w:color w:val="auto"/>
          <w:sz w:val="24"/>
          <w:szCs w:val="24"/>
          <w:lang w:eastAsia="en-US"/>
        </w:rPr>
        <w:t>%, nakon čega se udjel kreće u godi</w:t>
      </w:r>
      <w:r w:rsidR="00685349" w:rsidRPr="009C52C4">
        <w:rPr>
          <w:rFonts w:ascii="Times New Roman" w:hAnsi="Times New Roman" w:cs="Times New Roman"/>
          <w:color w:val="auto"/>
          <w:sz w:val="24"/>
          <w:szCs w:val="24"/>
          <w:lang w:eastAsia="en-US"/>
        </w:rPr>
        <w:t>šnjem prosjeku od 4</w:t>
      </w:r>
      <w:r w:rsidRPr="009C52C4">
        <w:rPr>
          <w:rFonts w:ascii="Times New Roman" w:hAnsi="Times New Roman" w:cs="Times New Roman"/>
          <w:color w:val="auto"/>
          <w:sz w:val="24"/>
          <w:szCs w:val="24"/>
          <w:lang w:eastAsia="en-US"/>
        </w:rPr>
        <w:t xml:space="preserve">,2%. Treba primijetiti da tekuće investicijsko održavanje i zamjena opreme u </w:t>
      </w:r>
      <w:r w:rsidR="00170CB0" w:rsidRPr="009C52C4">
        <w:rPr>
          <w:rFonts w:ascii="Times New Roman" w:hAnsi="Times New Roman" w:cs="Times New Roman"/>
          <w:color w:val="auto"/>
          <w:sz w:val="24"/>
          <w:szCs w:val="24"/>
          <w:lang w:eastAsia="en-US"/>
        </w:rPr>
        <w:t xml:space="preserve">razdoblju </w:t>
      </w:r>
      <w:r w:rsidRPr="009C52C4">
        <w:rPr>
          <w:rFonts w:ascii="Times New Roman" w:hAnsi="Times New Roman" w:cs="Times New Roman"/>
          <w:color w:val="auto"/>
          <w:sz w:val="24"/>
          <w:szCs w:val="24"/>
          <w:lang w:eastAsia="en-US"/>
        </w:rPr>
        <w:t>do 2030. godine ne pojavljuje u izračunima poradi prirode njihove pojave nakon 15 godina ili više od prve godine ulaganja.</w:t>
      </w:r>
    </w:p>
    <w:p w14:paraId="3E7CDF44" w14:textId="77777777" w:rsidR="00853BC8" w:rsidRPr="009C52C4" w:rsidRDefault="00853BC8" w:rsidP="00853BC8">
      <w:pPr>
        <w:rPr>
          <w:rFonts w:ascii="Times New Roman" w:hAnsi="Times New Roman" w:cs="Times New Roman"/>
          <w:color w:val="auto"/>
          <w:sz w:val="24"/>
          <w:szCs w:val="24"/>
          <w:lang w:eastAsia="en-US"/>
        </w:rPr>
      </w:pPr>
    </w:p>
    <w:p w14:paraId="578E0C91" w14:textId="20A8B239" w:rsidR="00853BC8" w:rsidRPr="009C52C4" w:rsidRDefault="00462D0B" w:rsidP="00462D0B">
      <w:pPr>
        <w:pStyle w:val="Caption"/>
        <w:rPr>
          <w:rFonts w:ascii="Times New Roman" w:hAnsi="Times New Roman" w:cs="Times New Roman"/>
          <w:b w:val="0"/>
          <w:sz w:val="24"/>
          <w:szCs w:val="24"/>
          <w:lang w:eastAsia="en-US"/>
        </w:rPr>
      </w:pPr>
      <w:bookmarkStart w:id="219" w:name="_Ref483404738"/>
      <w:bookmarkStart w:id="220" w:name="_Toc2681332"/>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5</w:t>
      </w:r>
      <w:r w:rsidR="00B6149D" w:rsidRPr="009C52C4">
        <w:rPr>
          <w:rFonts w:ascii="Times New Roman" w:hAnsi="Times New Roman" w:cs="Times New Roman"/>
          <w:noProof/>
          <w:sz w:val="24"/>
          <w:szCs w:val="24"/>
        </w:rPr>
        <w:fldChar w:fldCharType="end"/>
      </w:r>
      <w:bookmarkEnd w:id="219"/>
      <w:r w:rsidRPr="009C52C4">
        <w:rPr>
          <w:rFonts w:ascii="Times New Roman" w:hAnsi="Times New Roman" w:cs="Times New Roman"/>
          <w:b w:val="0"/>
          <w:bCs w:val="0"/>
          <w:sz w:val="24"/>
          <w:szCs w:val="24"/>
          <w:lang w:eastAsia="en-US"/>
        </w:rPr>
        <w:t xml:space="preserve"> Utjecaj predviđenog tempa obnove na investicijske izdatke i zapošljavanje u građevinarstvu do 2030. godine</w:t>
      </w:r>
      <w:bookmarkEnd w:id="220"/>
    </w:p>
    <w:tbl>
      <w:tblPr>
        <w:tblStyle w:val="TableGrid"/>
        <w:tblW w:w="8999" w:type="dxa"/>
        <w:tblLayout w:type="fixed"/>
        <w:tblLook w:val="04A0" w:firstRow="1" w:lastRow="0" w:firstColumn="1" w:lastColumn="0" w:noHBand="0" w:noVBand="1"/>
      </w:tblPr>
      <w:tblGrid>
        <w:gridCol w:w="2567"/>
        <w:gridCol w:w="1565"/>
        <w:gridCol w:w="1563"/>
        <w:gridCol w:w="1565"/>
        <w:gridCol w:w="1739"/>
      </w:tblGrid>
      <w:tr w:rsidR="008D25F4" w:rsidRPr="009C52C4" w14:paraId="30DC88E3" w14:textId="77777777" w:rsidTr="00A26C32">
        <w:trPr>
          <w:trHeight w:val="558"/>
        </w:trPr>
        <w:tc>
          <w:tcPr>
            <w:tcW w:w="2567" w:type="dxa"/>
            <w:shd w:val="clear" w:color="auto" w:fill="C2D69B" w:themeFill="accent3" w:themeFillTint="99"/>
            <w:vAlign w:val="center"/>
          </w:tcPr>
          <w:p w14:paraId="7F8500D8" w14:textId="77777777" w:rsidR="008D25F4" w:rsidRPr="009C52C4" w:rsidRDefault="00574A75" w:rsidP="00574A75">
            <w:pPr>
              <w:rPr>
                <w:rFonts w:ascii="Times New Roman" w:hAnsi="Times New Roman"/>
                <w:b/>
                <w:color w:val="000000"/>
                <w:sz w:val="24"/>
                <w:szCs w:val="24"/>
              </w:rPr>
            </w:pPr>
            <w:r w:rsidRPr="009C52C4">
              <w:rPr>
                <w:rFonts w:ascii="Times New Roman" w:hAnsi="Times New Roman"/>
                <w:b/>
                <w:color w:val="000000"/>
                <w:sz w:val="24"/>
                <w:szCs w:val="24"/>
              </w:rPr>
              <w:t>Promatrano razdoblje</w:t>
            </w:r>
          </w:p>
        </w:tc>
        <w:tc>
          <w:tcPr>
            <w:tcW w:w="1565" w:type="dxa"/>
            <w:shd w:val="clear" w:color="auto" w:fill="C2D69B" w:themeFill="accent3" w:themeFillTint="99"/>
            <w:vAlign w:val="center"/>
          </w:tcPr>
          <w:p w14:paraId="2C7E6D6F" w14:textId="136856B1"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2014.-2019</w:t>
            </w:r>
            <w:r w:rsidR="006E3ED8" w:rsidRPr="009C52C4">
              <w:rPr>
                <w:rFonts w:ascii="Times New Roman" w:hAnsi="Times New Roman"/>
                <w:b/>
                <w:bCs/>
                <w:color w:val="000000"/>
                <w:sz w:val="24"/>
                <w:szCs w:val="24"/>
              </w:rPr>
              <w:t>.</w:t>
            </w:r>
          </w:p>
        </w:tc>
        <w:tc>
          <w:tcPr>
            <w:tcW w:w="1563" w:type="dxa"/>
            <w:shd w:val="clear" w:color="auto" w:fill="C2D69B" w:themeFill="accent3" w:themeFillTint="99"/>
            <w:vAlign w:val="center"/>
          </w:tcPr>
          <w:p w14:paraId="093904AF"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2020.-2024.</w:t>
            </w:r>
          </w:p>
        </w:tc>
        <w:tc>
          <w:tcPr>
            <w:tcW w:w="1565" w:type="dxa"/>
            <w:shd w:val="clear" w:color="auto" w:fill="C2D69B" w:themeFill="accent3" w:themeFillTint="99"/>
            <w:vAlign w:val="center"/>
          </w:tcPr>
          <w:p w14:paraId="6B755A61"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2025.-2029.</w:t>
            </w:r>
          </w:p>
        </w:tc>
        <w:tc>
          <w:tcPr>
            <w:tcW w:w="1739" w:type="dxa"/>
            <w:shd w:val="clear" w:color="auto" w:fill="C2D69B" w:themeFill="accent3" w:themeFillTint="99"/>
            <w:vAlign w:val="center"/>
          </w:tcPr>
          <w:p w14:paraId="10192CE8"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UKUPNO 2014.-2029.</w:t>
            </w:r>
          </w:p>
        </w:tc>
      </w:tr>
      <w:tr w:rsidR="008D25F4" w:rsidRPr="009C52C4" w14:paraId="600DA1BF" w14:textId="77777777" w:rsidTr="00A26C32">
        <w:trPr>
          <w:trHeight w:val="573"/>
        </w:trPr>
        <w:tc>
          <w:tcPr>
            <w:tcW w:w="2567" w:type="dxa"/>
            <w:tcBorders>
              <w:bottom w:val="single" w:sz="4" w:space="0" w:color="auto"/>
            </w:tcBorders>
            <w:vAlign w:val="bottom"/>
          </w:tcPr>
          <w:p w14:paraId="177C46AE"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 obnovljenog fonda (kumulativ)</w:t>
            </w:r>
          </w:p>
        </w:tc>
        <w:tc>
          <w:tcPr>
            <w:tcW w:w="1565" w:type="dxa"/>
            <w:vAlign w:val="center"/>
          </w:tcPr>
          <w:p w14:paraId="15B04F5D"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11,7%</w:t>
            </w:r>
          </w:p>
        </w:tc>
        <w:tc>
          <w:tcPr>
            <w:tcW w:w="1563" w:type="dxa"/>
            <w:vAlign w:val="center"/>
          </w:tcPr>
          <w:p w14:paraId="27E16792"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29,2%</w:t>
            </w:r>
          </w:p>
        </w:tc>
        <w:tc>
          <w:tcPr>
            <w:tcW w:w="1565" w:type="dxa"/>
            <w:vAlign w:val="center"/>
          </w:tcPr>
          <w:p w14:paraId="0D4F1C24"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46,7%</w:t>
            </w:r>
          </w:p>
        </w:tc>
        <w:tc>
          <w:tcPr>
            <w:tcW w:w="1739" w:type="dxa"/>
            <w:vAlign w:val="center"/>
          </w:tcPr>
          <w:p w14:paraId="2EF74B39"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46,7%</w:t>
            </w:r>
          </w:p>
        </w:tc>
      </w:tr>
      <w:tr w:rsidR="008D25F4" w:rsidRPr="009C52C4" w14:paraId="1FD69D15" w14:textId="77777777" w:rsidTr="00A26C32">
        <w:trPr>
          <w:trHeight w:val="852"/>
        </w:trPr>
        <w:tc>
          <w:tcPr>
            <w:tcW w:w="2567" w:type="dxa"/>
            <w:tcBorders>
              <w:bottom w:val="nil"/>
            </w:tcBorders>
            <w:vAlign w:val="bottom"/>
          </w:tcPr>
          <w:p w14:paraId="060306A4"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Iznos ulaganja - kumulativ razdoblja</w:t>
            </w:r>
            <w:r w:rsidR="00574A75" w:rsidRPr="009C52C4">
              <w:rPr>
                <w:rFonts w:ascii="Times New Roman" w:hAnsi="Times New Roman"/>
                <w:color w:val="000000"/>
                <w:sz w:val="24"/>
                <w:szCs w:val="24"/>
              </w:rPr>
              <w:t xml:space="preserve"> [HRK]</w:t>
            </w:r>
          </w:p>
        </w:tc>
        <w:tc>
          <w:tcPr>
            <w:tcW w:w="1565" w:type="dxa"/>
            <w:vAlign w:val="center"/>
          </w:tcPr>
          <w:p w14:paraId="3D22646C"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38.263.581.767</w:t>
            </w:r>
          </w:p>
        </w:tc>
        <w:tc>
          <w:tcPr>
            <w:tcW w:w="1563" w:type="dxa"/>
            <w:vAlign w:val="center"/>
          </w:tcPr>
          <w:p w14:paraId="6B734877"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73.041.407.496</w:t>
            </w:r>
          </w:p>
        </w:tc>
        <w:tc>
          <w:tcPr>
            <w:tcW w:w="1565" w:type="dxa"/>
            <w:vAlign w:val="center"/>
          </w:tcPr>
          <w:p w14:paraId="40AFF724"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87.656.566.555</w:t>
            </w:r>
          </w:p>
        </w:tc>
        <w:tc>
          <w:tcPr>
            <w:tcW w:w="1739" w:type="dxa"/>
            <w:vAlign w:val="center"/>
          </w:tcPr>
          <w:p w14:paraId="39A8E7EF" w14:textId="77777777" w:rsidR="008D25F4" w:rsidRPr="009C52C4" w:rsidRDefault="008D25F4" w:rsidP="008D25F4">
            <w:pPr>
              <w:jc w:val="center"/>
              <w:rPr>
                <w:rFonts w:ascii="Times New Roman" w:hAnsi="Times New Roman"/>
                <w:color w:val="000000"/>
                <w:sz w:val="24"/>
                <w:szCs w:val="24"/>
              </w:rPr>
            </w:pPr>
            <w:r w:rsidRPr="009C52C4">
              <w:rPr>
                <w:rFonts w:ascii="Times New Roman" w:hAnsi="Times New Roman"/>
                <w:sz w:val="24"/>
                <w:szCs w:val="24"/>
              </w:rPr>
              <w:t>198.961.555.818</w:t>
            </w:r>
          </w:p>
        </w:tc>
      </w:tr>
      <w:tr w:rsidR="008D25F4" w:rsidRPr="009C52C4" w14:paraId="73BA1536" w14:textId="77777777" w:rsidTr="00A26C32">
        <w:trPr>
          <w:trHeight w:val="1131"/>
        </w:trPr>
        <w:tc>
          <w:tcPr>
            <w:tcW w:w="2567" w:type="dxa"/>
            <w:tcBorders>
              <w:top w:val="nil"/>
              <w:bottom w:val="nil"/>
            </w:tcBorders>
            <w:vAlign w:val="bottom"/>
          </w:tcPr>
          <w:p w14:paraId="0754FFA1"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 od toga: početno ulaganje - kumulativ razdoblja</w:t>
            </w:r>
            <w:r w:rsidR="00574A75" w:rsidRPr="009C52C4">
              <w:rPr>
                <w:rFonts w:ascii="Times New Roman" w:hAnsi="Times New Roman"/>
                <w:color w:val="000000"/>
                <w:sz w:val="24"/>
                <w:szCs w:val="24"/>
              </w:rPr>
              <w:t xml:space="preserve"> [HRK]</w:t>
            </w:r>
          </w:p>
        </w:tc>
        <w:tc>
          <w:tcPr>
            <w:tcW w:w="1565" w:type="dxa"/>
            <w:vAlign w:val="center"/>
          </w:tcPr>
          <w:p w14:paraId="62DF8486"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34.417.994.130</w:t>
            </w:r>
          </w:p>
        </w:tc>
        <w:tc>
          <w:tcPr>
            <w:tcW w:w="1563" w:type="dxa"/>
            <w:vAlign w:val="center"/>
          </w:tcPr>
          <w:p w14:paraId="33EBFBFF"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55.151.543.617</w:t>
            </w:r>
          </w:p>
        </w:tc>
        <w:tc>
          <w:tcPr>
            <w:tcW w:w="1565" w:type="dxa"/>
            <w:vAlign w:val="center"/>
          </w:tcPr>
          <w:p w14:paraId="7F2F2E04"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55.151.543.617</w:t>
            </w:r>
          </w:p>
        </w:tc>
        <w:tc>
          <w:tcPr>
            <w:tcW w:w="1739" w:type="dxa"/>
            <w:vAlign w:val="center"/>
          </w:tcPr>
          <w:p w14:paraId="50053B20"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144.721.081.363</w:t>
            </w:r>
          </w:p>
        </w:tc>
      </w:tr>
      <w:tr w:rsidR="008D25F4" w:rsidRPr="009C52C4" w14:paraId="4ACF0D31" w14:textId="77777777" w:rsidTr="00A26C32">
        <w:trPr>
          <w:trHeight w:val="1131"/>
        </w:trPr>
        <w:tc>
          <w:tcPr>
            <w:tcW w:w="2567" w:type="dxa"/>
            <w:tcBorders>
              <w:top w:val="nil"/>
              <w:bottom w:val="nil"/>
            </w:tcBorders>
            <w:vAlign w:val="bottom"/>
          </w:tcPr>
          <w:p w14:paraId="44CCA99C"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 od toga: održavanje - kumulativ razdoblja</w:t>
            </w:r>
            <w:r w:rsidR="00574A75" w:rsidRPr="009C52C4">
              <w:rPr>
                <w:rFonts w:ascii="Times New Roman" w:hAnsi="Times New Roman"/>
                <w:color w:val="000000"/>
                <w:sz w:val="24"/>
                <w:szCs w:val="24"/>
              </w:rPr>
              <w:t xml:space="preserve"> [HRK]</w:t>
            </w:r>
          </w:p>
        </w:tc>
        <w:tc>
          <w:tcPr>
            <w:tcW w:w="1565" w:type="dxa"/>
            <w:vAlign w:val="center"/>
          </w:tcPr>
          <w:p w14:paraId="7A939C36"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3.845.587.637</w:t>
            </w:r>
          </w:p>
        </w:tc>
        <w:tc>
          <w:tcPr>
            <w:tcW w:w="1563" w:type="dxa"/>
            <w:vAlign w:val="center"/>
          </w:tcPr>
          <w:p w14:paraId="0BDCBBF5"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17.889.863.879</w:t>
            </w:r>
          </w:p>
        </w:tc>
        <w:tc>
          <w:tcPr>
            <w:tcW w:w="1565" w:type="dxa"/>
            <w:vAlign w:val="center"/>
          </w:tcPr>
          <w:p w14:paraId="2E234EB1"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32.505.022.938</w:t>
            </w:r>
          </w:p>
        </w:tc>
        <w:tc>
          <w:tcPr>
            <w:tcW w:w="1739" w:type="dxa"/>
            <w:vAlign w:val="center"/>
          </w:tcPr>
          <w:p w14:paraId="1B8EA7FB"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54.240.474.454</w:t>
            </w:r>
          </w:p>
        </w:tc>
      </w:tr>
      <w:tr w:rsidR="008D25F4" w:rsidRPr="009C52C4" w14:paraId="12478FE5" w14:textId="77777777" w:rsidTr="00A26C32">
        <w:trPr>
          <w:trHeight w:val="852"/>
        </w:trPr>
        <w:tc>
          <w:tcPr>
            <w:tcW w:w="2567" w:type="dxa"/>
            <w:tcBorders>
              <w:top w:val="nil"/>
            </w:tcBorders>
            <w:vAlign w:val="bottom"/>
          </w:tcPr>
          <w:p w14:paraId="0439F5CF"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 od toga: zamjene - kumulativ razdoblja</w:t>
            </w:r>
            <w:r w:rsidR="00574A75" w:rsidRPr="009C52C4">
              <w:rPr>
                <w:rFonts w:ascii="Times New Roman" w:hAnsi="Times New Roman"/>
                <w:color w:val="000000"/>
                <w:sz w:val="24"/>
                <w:szCs w:val="24"/>
              </w:rPr>
              <w:t xml:space="preserve"> [HRK]</w:t>
            </w:r>
          </w:p>
        </w:tc>
        <w:tc>
          <w:tcPr>
            <w:tcW w:w="1565" w:type="dxa"/>
            <w:vAlign w:val="center"/>
          </w:tcPr>
          <w:p w14:paraId="3E97B3FB"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563" w:type="dxa"/>
            <w:vAlign w:val="center"/>
          </w:tcPr>
          <w:p w14:paraId="5CE07D59"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565" w:type="dxa"/>
            <w:vAlign w:val="center"/>
          </w:tcPr>
          <w:p w14:paraId="2B359F04"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0</w:t>
            </w:r>
          </w:p>
        </w:tc>
        <w:tc>
          <w:tcPr>
            <w:tcW w:w="1739" w:type="dxa"/>
            <w:vAlign w:val="center"/>
          </w:tcPr>
          <w:p w14:paraId="43223492" w14:textId="77777777" w:rsidR="008D25F4" w:rsidRPr="009C52C4" w:rsidRDefault="008D25F4" w:rsidP="008D25F4">
            <w:pPr>
              <w:jc w:val="center"/>
              <w:rPr>
                <w:rFonts w:ascii="Times New Roman" w:hAnsi="Times New Roman"/>
                <w:color w:val="000000"/>
                <w:sz w:val="24"/>
                <w:szCs w:val="24"/>
              </w:rPr>
            </w:pPr>
            <w:r w:rsidRPr="009C52C4">
              <w:rPr>
                <w:rFonts w:ascii="Times New Roman" w:hAnsi="Times New Roman"/>
                <w:color w:val="000000"/>
                <w:sz w:val="24"/>
                <w:szCs w:val="24"/>
              </w:rPr>
              <w:t>0</w:t>
            </w:r>
          </w:p>
        </w:tc>
      </w:tr>
      <w:tr w:rsidR="008D25F4" w:rsidRPr="009C52C4" w14:paraId="54973D53" w14:textId="77777777" w:rsidTr="00A26C32">
        <w:trPr>
          <w:trHeight w:val="852"/>
        </w:trPr>
        <w:tc>
          <w:tcPr>
            <w:tcW w:w="2567" w:type="dxa"/>
            <w:vAlign w:val="bottom"/>
          </w:tcPr>
          <w:p w14:paraId="5E680946"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Iznos ulaganja - godišnji prosjek u razdoblju</w:t>
            </w:r>
          </w:p>
        </w:tc>
        <w:tc>
          <w:tcPr>
            <w:tcW w:w="1565" w:type="dxa"/>
            <w:vAlign w:val="center"/>
          </w:tcPr>
          <w:p w14:paraId="5838AE66"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6.377.263.628</w:t>
            </w:r>
          </w:p>
        </w:tc>
        <w:tc>
          <w:tcPr>
            <w:tcW w:w="1563" w:type="dxa"/>
            <w:vAlign w:val="center"/>
          </w:tcPr>
          <w:p w14:paraId="11877572"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14.608.281.499</w:t>
            </w:r>
          </w:p>
        </w:tc>
        <w:tc>
          <w:tcPr>
            <w:tcW w:w="1565" w:type="dxa"/>
            <w:vAlign w:val="center"/>
          </w:tcPr>
          <w:p w14:paraId="14B14998"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17.531.313.311</w:t>
            </w:r>
          </w:p>
        </w:tc>
        <w:tc>
          <w:tcPr>
            <w:tcW w:w="1739" w:type="dxa"/>
            <w:vAlign w:val="center"/>
          </w:tcPr>
          <w:p w14:paraId="70610204"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5.526.709.884</w:t>
            </w:r>
          </w:p>
        </w:tc>
      </w:tr>
      <w:tr w:rsidR="008D25F4" w:rsidRPr="009C52C4" w14:paraId="3B194888" w14:textId="77777777" w:rsidTr="00A26C32">
        <w:trPr>
          <w:trHeight w:val="852"/>
        </w:trPr>
        <w:tc>
          <w:tcPr>
            <w:tcW w:w="2567" w:type="dxa"/>
            <w:tcBorders>
              <w:bottom w:val="single" w:sz="4" w:space="0" w:color="auto"/>
            </w:tcBorders>
            <w:vAlign w:val="bottom"/>
          </w:tcPr>
          <w:p w14:paraId="49188C51"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Iznos ulaganja - ukupno € u prosjeku godišnje*</w:t>
            </w:r>
          </w:p>
        </w:tc>
        <w:tc>
          <w:tcPr>
            <w:tcW w:w="1565" w:type="dxa"/>
            <w:tcBorders>
              <w:bottom w:val="single" w:sz="4" w:space="0" w:color="auto"/>
            </w:tcBorders>
            <w:vAlign w:val="center"/>
          </w:tcPr>
          <w:p w14:paraId="4DCBE03C"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839.113.635</w:t>
            </w:r>
          </w:p>
        </w:tc>
        <w:tc>
          <w:tcPr>
            <w:tcW w:w="1563" w:type="dxa"/>
            <w:tcBorders>
              <w:bottom w:val="single" w:sz="4" w:space="0" w:color="auto"/>
            </w:tcBorders>
            <w:vAlign w:val="center"/>
          </w:tcPr>
          <w:p w14:paraId="21662B5A"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1.922.142.303</w:t>
            </w:r>
          </w:p>
        </w:tc>
        <w:tc>
          <w:tcPr>
            <w:tcW w:w="1565" w:type="dxa"/>
            <w:tcBorders>
              <w:bottom w:val="single" w:sz="4" w:space="0" w:color="auto"/>
            </w:tcBorders>
            <w:vAlign w:val="center"/>
          </w:tcPr>
          <w:p w14:paraId="6799CF18"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2.306.751.751</w:t>
            </w:r>
          </w:p>
        </w:tc>
        <w:tc>
          <w:tcPr>
            <w:tcW w:w="1739" w:type="dxa"/>
            <w:tcBorders>
              <w:bottom w:val="single" w:sz="4" w:space="0" w:color="auto"/>
            </w:tcBorders>
            <w:vAlign w:val="center"/>
          </w:tcPr>
          <w:p w14:paraId="12AABCCA"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727.198.669</w:t>
            </w:r>
          </w:p>
        </w:tc>
      </w:tr>
      <w:tr w:rsidR="008D25F4" w:rsidRPr="009C52C4" w14:paraId="1E824960" w14:textId="77777777" w:rsidTr="00A26C32">
        <w:trPr>
          <w:trHeight w:val="852"/>
        </w:trPr>
        <w:tc>
          <w:tcPr>
            <w:tcW w:w="2567" w:type="dxa"/>
            <w:shd w:val="clear" w:color="auto" w:fill="D6E3BC" w:themeFill="accent3" w:themeFillTint="66"/>
            <w:vAlign w:val="bottom"/>
          </w:tcPr>
          <w:p w14:paraId="54005741" w14:textId="77777777" w:rsidR="008D25F4" w:rsidRPr="009C52C4" w:rsidRDefault="008D25F4" w:rsidP="00685349">
            <w:pPr>
              <w:rPr>
                <w:rFonts w:ascii="Times New Roman" w:hAnsi="Times New Roman"/>
                <w:b/>
                <w:bCs/>
                <w:color w:val="000000"/>
                <w:sz w:val="24"/>
                <w:szCs w:val="24"/>
              </w:rPr>
            </w:pPr>
            <w:r w:rsidRPr="009C52C4">
              <w:rPr>
                <w:rFonts w:ascii="Times New Roman" w:hAnsi="Times New Roman"/>
                <w:b/>
                <w:bCs/>
                <w:color w:val="000000"/>
                <w:sz w:val="24"/>
                <w:szCs w:val="24"/>
              </w:rPr>
              <w:t>Prosječni godišnji iznos ulaganja u % BDP-a</w:t>
            </w:r>
          </w:p>
        </w:tc>
        <w:tc>
          <w:tcPr>
            <w:tcW w:w="1565" w:type="dxa"/>
            <w:shd w:val="clear" w:color="auto" w:fill="D6E3BC" w:themeFill="accent3" w:themeFillTint="66"/>
            <w:vAlign w:val="center"/>
          </w:tcPr>
          <w:p w14:paraId="2C204E41"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1,8%</w:t>
            </w:r>
          </w:p>
        </w:tc>
        <w:tc>
          <w:tcPr>
            <w:tcW w:w="1563" w:type="dxa"/>
            <w:shd w:val="clear" w:color="auto" w:fill="D6E3BC" w:themeFill="accent3" w:themeFillTint="66"/>
            <w:vAlign w:val="center"/>
          </w:tcPr>
          <w:p w14:paraId="6E66CDD4"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3,8%</w:t>
            </w:r>
          </w:p>
        </w:tc>
        <w:tc>
          <w:tcPr>
            <w:tcW w:w="1565" w:type="dxa"/>
            <w:shd w:val="clear" w:color="auto" w:fill="D6E3BC" w:themeFill="accent3" w:themeFillTint="66"/>
            <w:vAlign w:val="center"/>
          </w:tcPr>
          <w:p w14:paraId="78F34363" w14:textId="77777777" w:rsidR="008D25F4" w:rsidRPr="009C52C4" w:rsidRDefault="008D25F4"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4,2%</w:t>
            </w:r>
          </w:p>
        </w:tc>
        <w:tc>
          <w:tcPr>
            <w:tcW w:w="1739" w:type="dxa"/>
            <w:shd w:val="clear" w:color="auto" w:fill="D6E3BC" w:themeFill="accent3" w:themeFillTint="66"/>
            <w:vAlign w:val="center"/>
          </w:tcPr>
          <w:p w14:paraId="276D1318" w14:textId="77777777" w:rsidR="008D25F4" w:rsidRPr="009C52C4" w:rsidRDefault="008D25F4" w:rsidP="008D25F4">
            <w:pPr>
              <w:jc w:val="center"/>
              <w:rPr>
                <w:rFonts w:ascii="Times New Roman" w:hAnsi="Times New Roman"/>
                <w:b/>
                <w:sz w:val="24"/>
                <w:szCs w:val="24"/>
              </w:rPr>
            </w:pPr>
            <w:r w:rsidRPr="009C52C4">
              <w:rPr>
                <w:rFonts w:ascii="Times New Roman" w:hAnsi="Times New Roman"/>
                <w:b/>
                <w:sz w:val="24"/>
                <w:szCs w:val="24"/>
              </w:rPr>
              <w:t>3,2%</w:t>
            </w:r>
          </w:p>
        </w:tc>
      </w:tr>
      <w:tr w:rsidR="008D25F4" w:rsidRPr="009C52C4" w14:paraId="311AE150" w14:textId="77777777" w:rsidTr="00A26C32">
        <w:trPr>
          <w:trHeight w:val="263"/>
        </w:trPr>
        <w:tc>
          <w:tcPr>
            <w:tcW w:w="2567" w:type="dxa"/>
            <w:shd w:val="clear" w:color="auto" w:fill="D6E3BC" w:themeFill="accent3" w:themeFillTint="66"/>
            <w:vAlign w:val="bottom"/>
          </w:tcPr>
          <w:p w14:paraId="0745B08F"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lastRenderedPageBreak/>
              <w:t>Nova radna mjesta</w:t>
            </w:r>
          </w:p>
        </w:tc>
        <w:tc>
          <w:tcPr>
            <w:tcW w:w="1565" w:type="dxa"/>
            <w:shd w:val="clear" w:color="auto" w:fill="D6E3BC" w:themeFill="accent3" w:themeFillTint="66"/>
            <w:vAlign w:val="center"/>
          </w:tcPr>
          <w:p w14:paraId="179318C5"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20.638</w:t>
            </w:r>
          </w:p>
        </w:tc>
        <w:tc>
          <w:tcPr>
            <w:tcW w:w="1563" w:type="dxa"/>
            <w:shd w:val="clear" w:color="auto" w:fill="D6E3BC" w:themeFill="accent3" w:themeFillTint="66"/>
            <w:vAlign w:val="center"/>
          </w:tcPr>
          <w:p w14:paraId="012A079A"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2.837</w:t>
            </w:r>
          </w:p>
        </w:tc>
        <w:tc>
          <w:tcPr>
            <w:tcW w:w="1565" w:type="dxa"/>
            <w:shd w:val="clear" w:color="auto" w:fill="D6E3BC" w:themeFill="accent3" w:themeFillTint="66"/>
            <w:vAlign w:val="center"/>
          </w:tcPr>
          <w:p w14:paraId="44723DBE"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2.611</w:t>
            </w:r>
          </w:p>
        </w:tc>
        <w:tc>
          <w:tcPr>
            <w:tcW w:w="1739" w:type="dxa"/>
            <w:shd w:val="clear" w:color="auto" w:fill="D6E3BC" w:themeFill="accent3" w:themeFillTint="66"/>
            <w:vAlign w:val="center"/>
          </w:tcPr>
          <w:p w14:paraId="6DB76E99"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26.085</w:t>
            </w:r>
          </w:p>
        </w:tc>
      </w:tr>
      <w:tr w:rsidR="008D25F4" w:rsidRPr="009C52C4" w14:paraId="0DABF800" w14:textId="77777777" w:rsidTr="00A26C32">
        <w:trPr>
          <w:trHeight w:val="852"/>
        </w:trPr>
        <w:tc>
          <w:tcPr>
            <w:tcW w:w="2567" w:type="dxa"/>
            <w:shd w:val="clear" w:color="auto" w:fill="D6E3BC" w:themeFill="accent3" w:themeFillTint="66"/>
            <w:vAlign w:val="bottom"/>
          </w:tcPr>
          <w:p w14:paraId="6F428C1B" w14:textId="77777777" w:rsidR="008D25F4" w:rsidRPr="009C52C4" w:rsidRDefault="008D25F4" w:rsidP="00685349">
            <w:pPr>
              <w:rPr>
                <w:rFonts w:ascii="Times New Roman" w:hAnsi="Times New Roman"/>
                <w:color w:val="000000"/>
                <w:sz w:val="24"/>
                <w:szCs w:val="24"/>
              </w:rPr>
            </w:pPr>
            <w:r w:rsidRPr="009C52C4">
              <w:rPr>
                <w:rFonts w:ascii="Times New Roman" w:hAnsi="Times New Roman"/>
                <w:color w:val="000000"/>
                <w:sz w:val="24"/>
                <w:szCs w:val="24"/>
              </w:rPr>
              <w:t>Nova radna mjesta po mln € investicije</w:t>
            </w:r>
          </w:p>
        </w:tc>
        <w:tc>
          <w:tcPr>
            <w:tcW w:w="1565" w:type="dxa"/>
            <w:shd w:val="clear" w:color="auto" w:fill="D6E3BC" w:themeFill="accent3" w:themeFillTint="66"/>
            <w:vAlign w:val="center"/>
          </w:tcPr>
          <w:p w14:paraId="6705E40A"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11,0</w:t>
            </w:r>
          </w:p>
        </w:tc>
        <w:tc>
          <w:tcPr>
            <w:tcW w:w="1563" w:type="dxa"/>
            <w:shd w:val="clear" w:color="auto" w:fill="D6E3BC" w:themeFill="accent3" w:themeFillTint="66"/>
            <w:vAlign w:val="center"/>
          </w:tcPr>
          <w:p w14:paraId="680A33C4"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7,4</w:t>
            </w:r>
          </w:p>
        </w:tc>
        <w:tc>
          <w:tcPr>
            <w:tcW w:w="1565" w:type="dxa"/>
            <w:shd w:val="clear" w:color="auto" w:fill="D6E3BC" w:themeFill="accent3" w:themeFillTint="66"/>
            <w:vAlign w:val="center"/>
          </w:tcPr>
          <w:p w14:paraId="6A70C1C3" w14:textId="77777777" w:rsidR="008D25F4" w:rsidRPr="009C52C4" w:rsidRDefault="008D25F4" w:rsidP="00685349">
            <w:pPr>
              <w:jc w:val="center"/>
              <w:rPr>
                <w:rFonts w:ascii="Times New Roman" w:hAnsi="Times New Roman"/>
                <w:color w:val="000000"/>
                <w:sz w:val="24"/>
                <w:szCs w:val="24"/>
              </w:rPr>
            </w:pPr>
            <w:r w:rsidRPr="009C52C4">
              <w:rPr>
                <w:rFonts w:ascii="Times New Roman" w:hAnsi="Times New Roman"/>
                <w:color w:val="000000"/>
                <w:sz w:val="24"/>
                <w:szCs w:val="24"/>
              </w:rPr>
              <w:t>6,8</w:t>
            </w:r>
          </w:p>
        </w:tc>
        <w:tc>
          <w:tcPr>
            <w:tcW w:w="1739" w:type="dxa"/>
            <w:shd w:val="clear" w:color="auto" w:fill="D6E3BC" w:themeFill="accent3" w:themeFillTint="66"/>
            <w:vAlign w:val="center"/>
          </w:tcPr>
          <w:p w14:paraId="02C654B3" w14:textId="77777777" w:rsidR="008D25F4" w:rsidRPr="009C52C4" w:rsidRDefault="008D25F4" w:rsidP="008D25F4">
            <w:pPr>
              <w:jc w:val="center"/>
              <w:rPr>
                <w:rFonts w:ascii="Times New Roman" w:hAnsi="Times New Roman"/>
                <w:sz w:val="24"/>
                <w:szCs w:val="24"/>
              </w:rPr>
            </w:pPr>
            <w:r w:rsidRPr="009C52C4">
              <w:rPr>
                <w:rFonts w:ascii="Times New Roman" w:hAnsi="Times New Roman"/>
                <w:sz w:val="24"/>
                <w:szCs w:val="24"/>
              </w:rPr>
              <w:t>8,4</w:t>
            </w:r>
          </w:p>
        </w:tc>
      </w:tr>
    </w:tbl>
    <w:p w14:paraId="1955C87C" w14:textId="77777777" w:rsidR="00853BC8" w:rsidRPr="009C52C4" w:rsidRDefault="00853BC8" w:rsidP="00853BC8">
      <w:pPr>
        <w:rPr>
          <w:rFonts w:ascii="Times New Roman" w:hAnsi="Times New Roman" w:cs="Times New Roman"/>
          <w:color w:val="auto"/>
          <w:sz w:val="24"/>
          <w:szCs w:val="24"/>
        </w:rPr>
      </w:pPr>
      <w:r w:rsidRPr="009C52C4">
        <w:rPr>
          <w:rFonts w:ascii="Times New Roman" w:hAnsi="Times New Roman" w:cs="Times New Roman"/>
          <w:color w:val="auto"/>
          <w:sz w:val="24"/>
          <w:szCs w:val="24"/>
        </w:rPr>
        <w:t>*Prosječan dugoročni tečaj HRK za EUR = 7,6</w:t>
      </w:r>
    </w:p>
    <w:p w14:paraId="0AF8F52C" w14:textId="77777777" w:rsidR="00853BC8" w:rsidRPr="009C52C4" w:rsidRDefault="00853BC8" w:rsidP="00853BC8">
      <w:pPr>
        <w:rPr>
          <w:rFonts w:ascii="Times New Roman" w:hAnsi="Times New Roman" w:cs="Times New Roman"/>
          <w:color w:val="auto"/>
          <w:sz w:val="24"/>
          <w:szCs w:val="24"/>
        </w:rPr>
      </w:pPr>
    </w:p>
    <w:p w14:paraId="0BE24E56" w14:textId="0EEF95DC"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Projekcije i učinci prikazani u tablici moraju se proširiti procjenama multiplikativnih efekata na cijelo gospodarstvo - na BDP, ukupnu zaposlenost i prihode državnog proračuna. Kako su multiplikatori u malim i otvorenim zemljama poput Hrvatske općenito niski, rezultati su prikazani za mali multiplikator (1,2 odnosno 20% dodatnog učinka investicija), srednji (1,5 odnosno 50% dodatnog učinka) i veliki (2 odnosno dvostruki učinak investicija na BDP). Radi jednostavnosti je pretpostavljen linearan multiplikacijski učinak na zaposlenost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_Ref483404785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xml:space="preserve">). Treba imati na umu da je elastičnost zaposlenosti na BDP u pravilu nešto manja od 1, no brojke pokazuju da program obnove zgrada ima velik potencijal smanjenja nezaposlenosti i uz konzervativnije pretpostavke. To je osobito važno ako se ima u vidu da djelatnost može mobilizirati i slabije obrazovane radnike. </w:t>
      </w:r>
    </w:p>
    <w:p w14:paraId="03E3F94F" w14:textId="77777777" w:rsidR="00462D0B" w:rsidRPr="009C52C4" w:rsidRDefault="00462D0B" w:rsidP="00853BC8">
      <w:pPr>
        <w:rPr>
          <w:rFonts w:ascii="Times New Roman" w:hAnsi="Times New Roman" w:cs="Times New Roman"/>
          <w:color w:val="auto"/>
          <w:sz w:val="24"/>
          <w:szCs w:val="24"/>
          <w:lang w:eastAsia="en-US"/>
        </w:rPr>
      </w:pPr>
    </w:p>
    <w:p w14:paraId="5BE00ACA" w14:textId="77777777" w:rsidR="00462D0B" w:rsidRPr="009C52C4" w:rsidRDefault="00462D0B" w:rsidP="00853BC8">
      <w:pPr>
        <w:rPr>
          <w:rFonts w:ascii="Times New Roman" w:hAnsi="Times New Roman" w:cs="Times New Roman"/>
          <w:color w:val="auto"/>
          <w:sz w:val="24"/>
          <w:szCs w:val="24"/>
          <w:lang w:eastAsia="en-US"/>
        </w:rPr>
      </w:pPr>
    </w:p>
    <w:p w14:paraId="3D0ABEF9" w14:textId="77777777" w:rsidR="00462D0B" w:rsidRPr="009C52C4" w:rsidRDefault="00462D0B" w:rsidP="00853BC8">
      <w:pPr>
        <w:rPr>
          <w:rFonts w:ascii="Times New Roman" w:hAnsi="Times New Roman" w:cs="Times New Roman"/>
          <w:color w:val="auto"/>
          <w:sz w:val="24"/>
          <w:szCs w:val="24"/>
          <w:lang w:eastAsia="en-US"/>
        </w:rPr>
      </w:pPr>
    </w:p>
    <w:p w14:paraId="604D3D42" w14:textId="77777777" w:rsidR="00853BC8" w:rsidRPr="009C52C4" w:rsidRDefault="00853BC8" w:rsidP="00853BC8">
      <w:pPr>
        <w:rPr>
          <w:rFonts w:ascii="Times New Roman" w:hAnsi="Times New Roman" w:cs="Times New Roman"/>
          <w:b/>
          <w:bCs/>
          <w:color w:val="auto"/>
          <w:sz w:val="24"/>
          <w:szCs w:val="24"/>
          <w:lang w:eastAsia="en-US"/>
        </w:rPr>
      </w:pPr>
    </w:p>
    <w:p w14:paraId="0E33EEE9" w14:textId="2832C2C3" w:rsidR="00853BC8" w:rsidRPr="009C52C4" w:rsidRDefault="00462D0B" w:rsidP="00462D0B">
      <w:pPr>
        <w:pStyle w:val="Caption"/>
        <w:rPr>
          <w:rFonts w:ascii="Times New Roman" w:hAnsi="Times New Roman" w:cs="Times New Roman"/>
          <w:b w:val="0"/>
          <w:bCs w:val="0"/>
          <w:sz w:val="24"/>
          <w:szCs w:val="24"/>
          <w:lang w:eastAsia="en-US"/>
        </w:rPr>
      </w:pPr>
      <w:bookmarkStart w:id="221" w:name="_Ref483404785"/>
      <w:bookmarkStart w:id="222" w:name="_Toc2681333"/>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bookmarkEnd w:id="221"/>
      <w:r w:rsidRPr="009C52C4">
        <w:rPr>
          <w:rFonts w:ascii="Times New Roman" w:hAnsi="Times New Roman" w:cs="Times New Roman"/>
          <w:b w:val="0"/>
          <w:bCs w:val="0"/>
          <w:sz w:val="24"/>
          <w:szCs w:val="24"/>
          <w:lang w:eastAsia="en-US"/>
        </w:rPr>
        <w:t xml:space="preserve"> Multiplikativni učinci na zapošljavanje do 2030. godine</w:t>
      </w:r>
      <w:bookmarkEnd w:id="222"/>
    </w:p>
    <w:tbl>
      <w:tblPr>
        <w:tblStyle w:val="TableGrid"/>
        <w:tblW w:w="9023" w:type="dxa"/>
        <w:tblLayout w:type="fixed"/>
        <w:tblLook w:val="04A0" w:firstRow="1" w:lastRow="0" w:firstColumn="1" w:lastColumn="0" w:noHBand="0" w:noVBand="1"/>
      </w:tblPr>
      <w:tblGrid>
        <w:gridCol w:w="2012"/>
        <w:gridCol w:w="1538"/>
        <w:gridCol w:w="1710"/>
        <w:gridCol w:w="1539"/>
        <w:gridCol w:w="2224"/>
      </w:tblGrid>
      <w:tr w:rsidR="00685349" w:rsidRPr="009C52C4" w14:paraId="2110C38B" w14:textId="77777777" w:rsidTr="00A26C32">
        <w:trPr>
          <w:trHeight w:val="625"/>
        </w:trPr>
        <w:tc>
          <w:tcPr>
            <w:tcW w:w="2012" w:type="dxa"/>
            <w:tcBorders>
              <w:bottom w:val="single" w:sz="4" w:space="0" w:color="auto"/>
            </w:tcBorders>
            <w:shd w:val="clear" w:color="auto" w:fill="C2D69B" w:themeFill="accent3" w:themeFillTint="99"/>
            <w:vAlign w:val="center"/>
          </w:tcPr>
          <w:p w14:paraId="796123A1" w14:textId="77777777" w:rsidR="00685349" w:rsidRPr="009C52C4" w:rsidRDefault="00574A75" w:rsidP="00685349">
            <w:pPr>
              <w:jc w:val="both"/>
              <w:rPr>
                <w:rFonts w:ascii="Times New Roman" w:hAnsi="Times New Roman"/>
                <w:b/>
                <w:sz w:val="24"/>
                <w:szCs w:val="24"/>
                <w:lang w:eastAsia="en-US"/>
              </w:rPr>
            </w:pPr>
            <w:r w:rsidRPr="009C52C4">
              <w:rPr>
                <w:rFonts w:ascii="Times New Roman" w:hAnsi="Times New Roman"/>
                <w:b/>
                <w:sz w:val="24"/>
                <w:szCs w:val="24"/>
                <w:lang w:eastAsia="en-US"/>
              </w:rPr>
              <w:t>Promatrano razdoblje</w:t>
            </w:r>
          </w:p>
        </w:tc>
        <w:tc>
          <w:tcPr>
            <w:tcW w:w="1538" w:type="dxa"/>
            <w:tcBorders>
              <w:bottom w:val="single" w:sz="4" w:space="0" w:color="auto"/>
            </w:tcBorders>
            <w:shd w:val="clear" w:color="auto" w:fill="C2D69B" w:themeFill="accent3" w:themeFillTint="99"/>
            <w:vAlign w:val="center"/>
          </w:tcPr>
          <w:p w14:paraId="1EA0C02A" w14:textId="77777777" w:rsidR="00685349" w:rsidRPr="009C52C4" w:rsidRDefault="00685349" w:rsidP="00685349">
            <w:pPr>
              <w:jc w:val="both"/>
              <w:rPr>
                <w:rFonts w:ascii="Times New Roman" w:hAnsi="Times New Roman"/>
                <w:b/>
                <w:bCs/>
                <w:sz w:val="24"/>
                <w:szCs w:val="24"/>
                <w:lang w:eastAsia="en-US"/>
              </w:rPr>
            </w:pPr>
            <w:r w:rsidRPr="009C52C4">
              <w:rPr>
                <w:rFonts w:ascii="Times New Roman" w:hAnsi="Times New Roman"/>
                <w:b/>
                <w:bCs/>
                <w:sz w:val="24"/>
                <w:szCs w:val="24"/>
                <w:lang w:eastAsia="en-US"/>
              </w:rPr>
              <w:t>2014.-2019.</w:t>
            </w:r>
          </w:p>
        </w:tc>
        <w:tc>
          <w:tcPr>
            <w:tcW w:w="1710" w:type="dxa"/>
            <w:tcBorders>
              <w:bottom w:val="single" w:sz="4" w:space="0" w:color="auto"/>
            </w:tcBorders>
            <w:shd w:val="clear" w:color="auto" w:fill="C2D69B" w:themeFill="accent3" w:themeFillTint="99"/>
            <w:vAlign w:val="center"/>
          </w:tcPr>
          <w:p w14:paraId="17F8DBA9" w14:textId="77777777" w:rsidR="00685349" w:rsidRPr="009C52C4" w:rsidRDefault="00685349" w:rsidP="00685349">
            <w:pPr>
              <w:jc w:val="both"/>
              <w:rPr>
                <w:rFonts w:ascii="Times New Roman" w:hAnsi="Times New Roman"/>
                <w:b/>
                <w:bCs/>
                <w:sz w:val="24"/>
                <w:szCs w:val="24"/>
                <w:lang w:eastAsia="en-US"/>
              </w:rPr>
            </w:pPr>
            <w:r w:rsidRPr="009C52C4">
              <w:rPr>
                <w:rFonts w:ascii="Times New Roman" w:hAnsi="Times New Roman"/>
                <w:b/>
                <w:bCs/>
                <w:sz w:val="24"/>
                <w:szCs w:val="24"/>
                <w:lang w:eastAsia="en-US"/>
              </w:rPr>
              <w:t>2020.-2024.</w:t>
            </w:r>
          </w:p>
        </w:tc>
        <w:tc>
          <w:tcPr>
            <w:tcW w:w="1539" w:type="dxa"/>
            <w:tcBorders>
              <w:bottom w:val="single" w:sz="4" w:space="0" w:color="auto"/>
            </w:tcBorders>
            <w:shd w:val="clear" w:color="auto" w:fill="C2D69B" w:themeFill="accent3" w:themeFillTint="99"/>
            <w:vAlign w:val="center"/>
          </w:tcPr>
          <w:p w14:paraId="410F920D" w14:textId="77777777" w:rsidR="00685349" w:rsidRPr="009C52C4" w:rsidRDefault="00685349" w:rsidP="00685349">
            <w:pPr>
              <w:jc w:val="both"/>
              <w:rPr>
                <w:rFonts w:ascii="Times New Roman" w:hAnsi="Times New Roman"/>
                <w:b/>
                <w:bCs/>
                <w:sz w:val="24"/>
                <w:szCs w:val="24"/>
                <w:lang w:eastAsia="en-US"/>
              </w:rPr>
            </w:pPr>
            <w:r w:rsidRPr="009C52C4">
              <w:rPr>
                <w:rFonts w:ascii="Times New Roman" w:hAnsi="Times New Roman"/>
                <w:b/>
                <w:bCs/>
                <w:sz w:val="24"/>
                <w:szCs w:val="24"/>
                <w:lang w:eastAsia="en-US"/>
              </w:rPr>
              <w:t>2025.-2029.</w:t>
            </w:r>
          </w:p>
        </w:tc>
        <w:tc>
          <w:tcPr>
            <w:tcW w:w="2223" w:type="dxa"/>
            <w:tcBorders>
              <w:bottom w:val="single" w:sz="4" w:space="0" w:color="auto"/>
            </w:tcBorders>
            <w:shd w:val="clear" w:color="auto" w:fill="C2D69B" w:themeFill="accent3" w:themeFillTint="99"/>
            <w:vAlign w:val="center"/>
          </w:tcPr>
          <w:p w14:paraId="0D62C448" w14:textId="77777777" w:rsidR="00685349" w:rsidRPr="009C52C4" w:rsidRDefault="00685349" w:rsidP="00685349">
            <w:pPr>
              <w:jc w:val="both"/>
              <w:rPr>
                <w:rFonts w:ascii="Times New Roman" w:hAnsi="Times New Roman"/>
                <w:b/>
                <w:bCs/>
                <w:sz w:val="24"/>
                <w:szCs w:val="24"/>
                <w:lang w:eastAsia="en-US"/>
              </w:rPr>
            </w:pPr>
            <w:r w:rsidRPr="009C52C4">
              <w:rPr>
                <w:rFonts w:ascii="Times New Roman" w:hAnsi="Times New Roman"/>
                <w:b/>
                <w:bCs/>
                <w:sz w:val="24"/>
                <w:szCs w:val="24"/>
                <w:lang w:eastAsia="en-US"/>
              </w:rPr>
              <w:t>UKUPNO 2014.-2029.</w:t>
            </w:r>
          </w:p>
        </w:tc>
      </w:tr>
      <w:tr w:rsidR="00430141" w:rsidRPr="009C52C4" w14:paraId="44AF7AF0" w14:textId="77777777" w:rsidTr="00A26C32">
        <w:trPr>
          <w:trHeight w:val="329"/>
        </w:trPr>
        <w:tc>
          <w:tcPr>
            <w:tcW w:w="9023" w:type="dxa"/>
            <w:gridSpan w:val="5"/>
            <w:tcBorders>
              <w:bottom w:val="single" w:sz="4" w:space="0" w:color="auto"/>
            </w:tcBorders>
            <w:shd w:val="clear" w:color="auto" w:fill="D6E3BC" w:themeFill="accent3" w:themeFillTint="66"/>
            <w:vAlign w:val="bottom"/>
          </w:tcPr>
          <w:p w14:paraId="1B2A669E"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Ukupno povećanje zaposlenosti s obzirom na multiplikator</w:t>
            </w:r>
          </w:p>
        </w:tc>
      </w:tr>
      <w:tr w:rsidR="00430141" w:rsidRPr="009C52C4" w14:paraId="6D77B4FC" w14:textId="77777777" w:rsidTr="00A26C32">
        <w:trPr>
          <w:trHeight w:val="312"/>
        </w:trPr>
        <w:tc>
          <w:tcPr>
            <w:tcW w:w="2012" w:type="dxa"/>
            <w:tcBorders>
              <w:top w:val="single" w:sz="4" w:space="0" w:color="auto"/>
              <w:bottom w:val="single" w:sz="4" w:space="0" w:color="auto"/>
            </w:tcBorders>
            <w:vAlign w:val="center"/>
          </w:tcPr>
          <w:p w14:paraId="1B0C243A"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1,2</w:t>
            </w:r>
          </w:p>
        </w:tc>
        <w:tc>
          <w:tcPr>
            <w:tcW w:w="1538" w:type="dxa"/>
            <w:tcBorders>
              <w:top w:val="single" w:sz="4" w:space="0" w:color="auto"/>
            </w:tcBorders>
            <w:vAlign w:val="center"/>
          </w:tcPr>
          <w:p w14:paraId="3BD69325"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25.998</w:t>
            </w:r>
          </w:p>
        </w:tc>
        <w:tc>
          <w:tcPr>
            <w:tcW w:w="1710" w:type="dxa"/>
            <w:tcBorders>
              <w:top w:val="single" w:sz="4" w:space="0" w:color="auto"/>
            </w:tcBorders>
            <w:vAlign w:val="center"/>
          </w:tcPr>
          <w:p w14:paraId="31D7D69F"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5.759</w:t>
            </w:r>
          </w:p>
        </w:tc>
        <w:tc>
          <w:tcPr>
            <w:tcW w:w="1539" w:type="dxa"/>
            <w:tcBorders>
              <w:top w:val="single" w:sz="4" w:space="0" w:color="auto"/>
            </w:tcBorders>
            <w:vAlign w:val="center"/>
          </w:tcPr>
          <w:p w14:paraId="405165FB"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5.724</w:t>
            </w:r>
          </w:p>
        </w:tc>
        <w:tc>
          <w:tcPr>
            <w:tcW w:w="2223" w:type="dxa"/>
            <w:tcBorders>
              <w:top w:val="single" w:sz="4" w:space="0" w:color="auto"/>
            </w:tcBorders>
            <w:vAlign w:val="center"/>
          </w:tcPr>
          <w:p w14:paraId="0DC22E52"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37.480</w:t>
            </w:r>
          </w:p>
        </w:tc>
      </w:tr>
      <w:tr w:rsidR="00430141" w:rsidRPr="009C52C4" w14:paraId="05FCE4D0" w14:textId="77777777" w:rsidTr="00A26C32">
        <w:trPr>
          <w:trHeight w:val="312"/>
        </w:trPr>
        <w:tc>
          <w:tcPr>
            <w:tcW w:w="2012" w:type="dxa"/>
            <w:tcBorders>
              <w:top w:val="single" w:sz="4" w:space="0" w:color="auto"/>
              <w:bottom w:val="single" w:sz="4" w:space="0" w:color="auto"/>
            </w:tcBorders>
            <w:vAlign w:val="center"/>
          </w:tcPr>
          <w:p w14:paraId="24672667"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1,5</w:t>
            </w:r>
          </w:p>
        </w:tc>
        <w:tc>
          <w:tcPr>
            <w:tcW w:w="1538" w:type="dxa"/>
            <w:vAlign w:val="center"/>
          </w:tcPr>
          <w:p w14:paraId="243904D4"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32.469</w:t>
            </w:r>
          </w:p>
        </w:tc>
        <w:tc>
          <w:tcPr>
            <w:tcW w:w="1710" w:type="dxa"/>
            <w:vAlign w:val="center"/>
          </w:tcPr>
          <w:p w14:paraId="3A7AF077"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7.147</w:t>
            </w:r>
          </w:p>
        </w:tc>
        <w:tc>
          <w:tcPr>
            <w:tcW w:w="1539" w:type="dxa"/>
            <w:vAlign w:val="center"/>
          </w:tcPr>
          <w:p w14:paraId="1967C898"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7.094</w:t>
            </w:r>
          </w:p>
        </w:tc>
        <w:tc>
          <w:tcPr>
            <w:tcW w:w="2223" w:type="dxa"/>
            <w:vAlign w:val="center"/>
          </w:tcPr>
          <w:p w14:paraId="3D872E02"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46.709</w:t>
            </w:r>
          </w:p>
        </w:tc>
      </w:tr>
      <w:tr w:rsidR="00430141" w:rsidRPr="009C52C4" w14:paraId="1786DE2C" w14:textId="77777777" w:rsidTr="00A26C32">
        <w:trPr>
          <w:trHeight w:val="312"/>
        </w:trPr>
        <w:tc>
          <w:tcPr>
            <w:tcW w:w="2012" w:type="dxa"/>
            <w:tcBorders>
              <w:top w:val="single" w:sz="4" w:space="0" w:color="auto"/>
              <w:bottom w:val="single" w:sz="4" w:space="0" w:color="auto"/>
            </w:tcBorders>
            <w:vAlign w:val="center"/>
          </w:tcPr>
          <w:p w14:paraId="51E2AA1F"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2</w:t>
            </w:r>
          </w:p>
        </w:tc>
        <w:tc>
          <w:tcPr>
            <w:tcW w:w="1538" w:type="dxa"/>
            <w:tcBorders>
              <w:bottom w:val="single" w:sz="4" w:space="0" w:color="auto"/>
            </w:tcBorders>
            <w:vAlign w:val="center"/>
          </w:tcPr>
          <w:p w14:paraId="7FA547B1"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43.229</w:t>
            </w:r>
          </w:p>
        </w:tc>
        <w:tc>
          <w:tcPr>
            <w:tcW w:w="1710" w:type="dxa"/>
            <w:tcBorders>
              <w:bottom w:val="single" w:sz="4" w:space="0" w:color="auto"/>
            </w:tcBorders>
            <w:vAlign w:val="center"/>
          </w:tcPr>
          <w:p w14:paraId="02BC48BE"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9.418</w:t>
            </w:r>
          </w:p>
        </w:tc>
        <w:tc>
          <w:tcPr>
            <w:tcW w:w="1539" w:type="dxa"/>
            <w:tcBorders>
              <w:bottom w:val="single" w:sz="4" w:space="0" w:color="auto"/>
            </w:tcBorders>
            <w:vAlign w:val="center"/>
          </w:tcPr>
          <w:p w14:paraId="0C3F42D2"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9.327</w:t>
            </w:r>
          </w:p>
        </w:tc>
        <w:tc>
          <w:tcPr>
            <w:tcW w:w="2223" w:type="dxa"/>
            <w:tcBorders>
              <w:bottom w:val="single" w:sz="4" w:space="0" w:color="auto"/>
            </w:tcBorders>
            <w:vAlign w:val="center"/>
          </w:tcPr>
          <w:p w14:paraId="71F322B1"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61.975</w:t>
            </w:r>
          </w:p>
        </w:tc>
      </w:tr>
      <w:tr w:rsidR="00430141" w:rsidRPr="009C52C4" w14:paraId="7F6E1B19" w14:textId="77777777" w:rsidTr="00A26C32">
        <w:trPr>
          <w:trHeight w:val="312"/>
        </w:trPr>
        <w:tc>
          <w:tcPr>
            <w:tcW w:w="9023" w:type="dxa"/>
            <w:gridSpan w:val="5"/>
            <w:tcBorders>
              <w:top w:val="single" w:sz="4" w:space="0" w:color="auto"/>
              <w:bottom w:val="single" w:sz="4" w:space="0" w:color="auto"/>
            </w:tcBorders>
            <w:shd w:val="clear" w:color="auto" w:fill="D6E3BC" w:themeFill="accent3" w:themeFillTint="66"/>
            <w:vAlign w:val="center"/>
          </w:tcPr>
          <w:p w14:paraId="2C060EAF"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Od toga: multiplikativni učinak</w:t>
            </w:r>
          </w:p>
        </w:tc>
      </w:tr>
      <w:tr w:rsidR="00430141" w:rsidRPr="009C52C4" w14:paraId="4D72AD77" w14:textId="77777777" w:rsidTr="00A26C32">
        <w:trPr>
          <w:trHeight w:val="312"/>
        </w:trPr>
        <w:tc>
          <w:tcPr>
            <w:tcW w:w="2012" w:type="dxa"/>
            <w:tcBorders>
              <w:top w:val="single" w:sz="4" w:space="0" w:color="auto"/>
              <w:bottom w:val="single" w:sz="4" w:space="0" w:color="auto"/>
            </w:tcBorders>
            <w:vAlign w:val="center"/>
          </w:tcPr>
          <w:p w14:paraId="3E1291E2"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1,2</w:t>
            </w:r>
          </w:p>
        </w:tc>
        <w:tc>
          <w:tcPr>
            <w:tcW w:w="1538" w:type="dxa"/>
            <w:tcBorders>
              <w:top w:val="single" w:sz="4" w:space="0" w:color="auto"/>
            </w:tcBorders>
            <w:vAlign w:val="center"/>
          </w:tcPr>
          <w:p w14:paraId="6973520E"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5.360</w:t>
            </w:r>
          </w:p>
        </w:tc>
        <w:tc>
          <w:tcPr>
            <w:tcW w:w="1710" w:type="dxa"/>
            <w:tcBorders>
              <w:top w:val="single" w:sz="4" w:space="0" w:color="auto"/>
            </w:tcBorders>
            <w:vAlign w:val="center"/>
          </w:tcPr>
          <w:p w14:paraId="081FE3D1"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2.922</w:t>
            </w:r>
          </w:p>
        </w:tc>
        <w:tc>
          <w:tcPr>
            <w:tcW w:w="1539" w:type="dxa"/>
            <w:tcBorders>
              <w:top w:val="single" w:sz="4" w:space="0" w:color="auto"/>
            </w:tcBorders>
            <w:vAlign w:val="center"/>
          </w:tcPr>
          <w:p w14:paraId="4A737EA6"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3.113</w:t>
            </w:r>
          </w:p>
        </w:tc>
        <w:tc>
          <w:tcPr>
            <w:tcW w:w="2223" w:type="dxa"/>
            <w:tcBorders>
              <w:top w:val="single" w:sz="4" w:space="0" w:color="auto"/>
            </w:tcBorders>
            <w:vAlign w:val="center"/>
          </w:tcPr>
          <w:p w14:paraId="4BCE8936"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11.395</w:t>
            </w:r>
          </w:p>
        </w:tc>
      </w:tr>
      <w:tr w:rsidR="00430141" w:rsidRPr="009C52C4" w14:paraId="4554D723" w14:textId="77777777" w:rsidTr="00A26C32">
        <w:trPr>
          <w:trHeight w:val="312"/>
        </w:trPr>
        <w:tc>
          <w:tcPr>
            <w:tcW w:w="2012" w:type="dxa"/>
            <w:tcBorders>
              <w:top w:val="single" w:sz="4" w:space="0" w:color="auto"/>
              <w:bottom w:val="single" w:sz="4" w:space="0" w:color="auto"/>
            </w:tcBorders>
            <w:vAlign w:val="center"/>
          </w:tcPr>
          <w:p w14:paraId="437587B2"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1,5</w:t>
            </w:r>
          </w:p>
        </w:tc>
        <w:tc>
          <w:tcPr>
            <w:tcW w:w="1538" w:type="dxa"/>
            <w:tcBorders>
              <w:bottom w:val="single" w:sz="4" w:space="0" w:color="auto"/>
            </w:tcBorders>
            <w:vAlign w:val="center"/>
          </w:tcPr>
          <w:p w14:paraId="0EE38CDC"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11.831</w:t>
            </w:r>
          </w:p>
        </w:tc>
        <w:tc>
          <w:tcPr>
            <w:tcW w:w="1710" w:type="dxa"/>
            <w:tcBorders>
              <w:bottom w:val="single" w:sz="4" w:space="0" w:color="auto"/>
            </w:tcBorders>
            <w:vAlign w:val="center"/>
          </w:tcPr>
          <w:p w14:paraId="4A9F9B8E"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4.310</w:t>
            </w:r>
          </w:p>
        </w:tc>
        <w:tc>
          <w:tcPr>
            <w:tcW w:w="1539" w:type="dxa"/>
            <w:tcBorders>
              <w:bottom w:val="single" w:sz="4" w:space="0" w:color="auto"/>
            </w:tcBorders>
            <w:vAlign w:val="center"/>
          </w:tcPr>
          <w:p w14:paraId="681F62F0"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4.483</w:t>
            </w:r>
          </w:p>
        </w:tc>
        <w:tc>
          <w:tcPr>
            <w:tcW w:w="2223" w:type="dxa"/>
            <w:tcBorders>
              <w:bottom w:val="single" w:sz="4" w:space="0" w:color="auto"/>
            </w:tcBorders>
            <w:vAlign w:val="center"/>
          </w:tcPr>
          <w:p w14:paraId="17236E8D"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20.624</w:t>
            </w:r>
          </w:p>
        </w:tc>
      </w:tr>
      <w:tr w:rsidR="00430141" w:rsidRPr="009C52C4" w14:paraId="183FDD5E" w14:textId="77777777" w:rsidTr="00A26C32">
        <w:trPr>
          <w:trHeight w:val="312"/>
        </w:trPr>
        <w:tc>
          <w:tcPr>
            <w:tcW w:w="2012" w:type="dxa"/>
            <w:tcBorders>
              <w:top w:val="single" w:sz="4" w:space="0" w:color="auto"/>
            </w:tcBorders>
            <w:shd w:val="clear" w:color="auto" w:fill="auto"/>
            <w:vAlign w:val="center"/>
          </w:tcPr>
          <w:p w14:paraId="62CE313B" w14:textId="77777777" w:rsidR="00430141" w:rsidRPr="009C52C4" w:rsidRDefault="00430141" w:rsidP="00685349">
            <w:pPr>
              <w:jc w:val="both"/>
              <w:rPr>
                <w:rFonts w:ascii="Times New Roman" w:hAnsi="Times New Roman"/>
                <w:sz w:val="24"/>
                <w:szCs w:val="24"/>
                <w:lang w:eastAsia="en-US"/>
              </w:rPr>
            </w:pPr>
            <w:r w:rsidRPr="009C52C4">
              <w:rPr>
                <w:rFonts w:ascii="Times New Roman" w:hAnsi="Times New Roman"/>
                <w:sz w:val="24"/>
                <w:szCs w:val="24"/>
                <w:lang w:eastAsia="en-US"/>
              </w:rPr>
              <w:t>2</w:t>
            </w:r>
          </w:p>
        </w:tc>
        <w:tc>
          <w:tcPr>
            <w:tcW w:w="1538" w:type="dxa"/>
            <w:shd w:val="clear" w:color="auto" w:fill="auto"/>
            <w:vAlign w:val="center"/>
          </w:tcPr>
          <w:p w14:paraId="1B438445"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22.592</w:t>
            </w:r>
          </w:p>
        </w:tc>
        <w:tc>
          <w:tcPr>
            <w:tcW w:w="1710" w:type="dxa"/>
            <w:shd w:val="clear" w:color="auto" w:fill="auto"/>
            <w:vAlign w:val="center"/>
          </w:tcPr>
          <w:p w14:paraId="08360AC2"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6.582</w:t>
            </w:r>
          </w:p>
        </w:tc>
        <w:tc>
          <w:tcPr>
            <w:tcW w:w="1539" w:type="dxa"/>
            <w:shd w:val="clear" w:color="auto" w:fill="auto"/>
            <w:vAlign w:val="center"/>
          </w:tcPr>
          <w:p w14:paraId="1C477717" w14:textId="77777777" w:rsidR="00430141" w:rsidRPr="009C52C4" w:rsidRDefault="00430141" w:rsidP="00430141">
            <w:pPr>
              <w:jc w:val="center"/>
              <w:rPr>
                <w:rFonts w:ascii="Times New Roman" w:hAnsi="Times New Roman"/>
                <w:sz w:val="24"/>
                <w:szCs w:val="24"/>
                <w:lang w:eastAsia="en-US"/>
              </w:rPr>
            </w:pPr>
            <w:r w:rsidRPr="009C52C4">
              <w:rPr>
                <w:rFonts w:ascii="Times New Roman" w:hAnsi="Times New Roman"/>
                <w:sz w:val="24"/>
                <w:szCs w:val="24"/>
                <w:lang w:eastAsia="en-US"/>
              </w:rPr>
              <w:t>6.716</w:t>
            </w:r>
          </w:p>
        </w:tc>
        <w:tc>
          <w:tcPr>
            <w:tcW w:w="2223" w:type="dxa"/>
            <w:shd w:val="clear" w:color="auto" w:fill="auto"/>
            <w:vAlign w:val="center"/>
          </w:tcPr>
          <w:p w14:paraId="7CB0732F" w14:textId="77777777" w:rsidR="00430141" w:rsidRPr="009C52C4" w:rsidRDefault="00430141" w:rsidP="00430141">
            <w:pPr>
              <w:jc w:val="center"/>
              <w:rPr>
                <w:rFonts w:ascii="Times New Roman" w:hAnsi="Times New Roman"/>
                <w:sz w:val="24"/>
                <w:szCs w:val="24"/>
              </w:rPr>
            </w:pPr>
            <w:r w:rsidRPr="009C52C4">
              <w:rPr>
                <w:rFonts w:ascii="Times New Roman" w:hAnsi="Times New Roman"/>
                <w:sz w:val="24"/>
                <w:szCs w:val="24"/>
              </w:rPr>
              <w:t>35.889</w:t>
            </w:r>
          </w:p>
        </w:tc>
      </w:tr>
    </w:tbl>
    <w:p w14:paraId="651C2C66" w14:textId="77777777" w:rsidR="00685349" w:rsidRPr="009C52C4" w:rsidRDefault="00685349" w:rsidP="00853BC8">
      <w:pPr>
        <w:rPr>
          <w:rFonts w:ascii="Times New Roman" w:hAnsi="Times New Roman" w:cs="Times New Roman"/>
          <w:color w:val="auto"/>
          <w:sz w:val="24"/>
          <w:szCs w:val="24"/>
          <w:lang w:eastAsia="en-US"/>
        </w:rPr>
      </w:pPr>
    </w:p>
    <w:p w14:paraId="04E02950" w14:textId="1854C701"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Procjene u </w:t>
      </w:r>
      <w:r w:rsidR="009749BC" w:rsidRPr="009C52C4">
        <w:rPr>
          <w:rFonts w:ascii="Times New Roman" w:hAnsi="Times New Roman" w:cs="Times New Roman"/>
          <w:color w:val="auto"/>
          <w:sz w:val="24"/>
          <w:szCs w:val="24"/>
          <w:lang w:eastAsia="en-US"/>
        </w:rPr>
        <w:t>tablici u nastavku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_Ref483404813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462D0B" w:rsidRPr="009C52C4">
        <w:rPr>
          <w:rFonts w:ascii="Times New Roman" w:hAnsi="Times New Roman" w:cs="Times New Roman"/>
          <w:color w:val="auto"/>
          <w:sz w:val="24"/>
          <w:szCs w:val="24"/>
          <w:lang w:eastAsia="en-US"/>
        </w:rPr>
        <w:fldChar w:fldCharType="end"/>
      </w:r>
      <w:r w:rsidR="009749BC"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lang w:eastAsia="en-US"/>
        </w:rPr>
        <w:t xml:space="preserve"> pokazuju velike potencijale učinaka na rast BDP-a i prihoda državnog proračuna. I uz najkonzervativniju pretpostavku o investicijskom multiplikatoru (1,2), utjecaj</w:t>
      </w:r>
      <w:r w:rsidR="009749BC" w:rsidRPr="009C52C4">
        <w:rPr>
          <w:rFonts w:ascii="Times New Roman" w:hAnsi="Times New Roman" w:cs="Times New Roman"/>
          <w:color w:val="auto"/>
          <w:sz w:val="24"/>
          <w:szCs w:val="24"/>
          <w:lang w:eastAsia="en-US"/>
        </w:rPr>
        <w:t xml:space="preserve"> na razinu BDP-a kreće se od 2,2</w:t>
      </w:r>
      <w:r w:rsidRPr="009C52C4">
        <w:rPr>
          <w:rFonts w:ascii="Times New Roman" w:hAnsi="Times New Roman" w:cs="Times New Roman"/>
          <w:color w:val="auto"/>
          <w:sz w:val="24"/>
          <w:szCs w:val="24"/>
          <w:lang w:eastAsia="en-US"/>
        </w:rPr>
        <w:t>% u početnom razdoblju 2014.-2019. do</w:t>
      </w:r>
      <w:r w:rsidR="009749BC" w:rsidRPr="009C52C4">
        <w:rPr>
          <w:rFonts w:ascii="Times New Roman" w:hAnsi="Times New Roman" w:cs="Times New Roman"/>
          <w:color w:val="auto"/>
          <w:sz w:val="24"/>
          <w:szCs w:val="24"/>
          <w:lang w:eastAsia="en-US"/>
        </w:rPr>
        <w:t xml:space="preserve"> oko 5</w:t>
      </w:r>
      <w:r w:rsidRPr="009C52C4">
        <w:rPr>
          <w:rFonts w:ascii="Times New Roman" w:hAnsi="Times New Roman" w:cs="Times New Roman"/>
          <w:color w:val="auto"/>
          <w:sz w:val="24"/>
          <w:szCs w:val="24"/>
          <w:lang w:eastAsia="en-US"/>
        </w:rPr>
        <w:t xml:space="preserve">% u kasnijim razdobljima provedbe programa do 2030. godine. </w:t>
      </w:r>
    </w:p>
    <w:p w14:paraId="269D96E4" w14:textId="77777777" w:rsidR="00853BC8" w:rsidRPr="009C52C4" w:rsidRDefault="00853BC8" w:rsidP="00853BC8">
      <w:pPr>
        <w:jc w:val="left"/>
        <w:rPr>
          <w:rFonts w:ascii="Times New Roman" w:hAnsi="Times New Roman" w:cs="Times New Roman"/>
          <w:b/>
          <w:bCs/>
          <w:color w:val="auto"/>
          <w:sz w:val="24"/>
          <w:szCs w:val="24"/>
          <w:lang w:eastAsia="en-US"/>
        </w:rPr>
      </w:pPr>
    </w:p>
    <w:p w14:paraId="06B25E7B" w14:textId="29078050" w:rsidR="00853BC8" w:rsidRPr="009C52C4" w:rsidRDefault="00462D0B" w:rsidP="00462D0B">
      <w:pPr>
        <w:pStyle w:val="Caption"/>
        <w:rPr>
          <w:rFonts w:ascii="Times New Roman" w:hAnsi="Times New Roman" w:cs="Times New Roman"/>
          <w:b w:val="0"/>
          <w:bCs w:val="0"/>
          <w:sz w:val="24"/>
          <w:szCs w:val="24"/>
          <w:lang w:eastAsia="en-US"/>
        </w:rPr>
      </w:pPr>
      <w:bookmarkStart w:id="223" w:name="_Ref483404813"/>
      <w:bookmarkStart w:id="224" w:name="_Toc2681334"/>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7</w:t>
      </w:r>
      <w:r w:rsidR="00B6149D" w:rsidRPr="009C52C4">
        <w:rPr>
          <w:rFonts w:ascii="Times New Roman" w:hAnsi="Times New Roman" w:cs="Times New Roman"/>
          <w:noProof/>
          <w:sz w:val="24"/>
          <w:szCs w:val="24"/>
        </w:rPr>
        <w:fldChar w:fldCharType="end"/>
      </w:r>
      <w:bookmarkEnd w:id="223"/>
      <w:r w:rsidRPr="009C52C4">
        <w:rPr>
          <w:rFonts w:ascii="Times New Roman" w:hAnsi="Times New Roman" w:cs="Times New Roman"/>
          <w:b w:val="0"/>
          <w:bCs w:val="0"/>
          <w:sz w:val="24"/>
          <w:szCs w:val="24"/>
          <w:lang w:eastAsia="en-US"/>
        </w:rPr>
        <w:t xml:space="preserve"> Ukupni učinci na BDP i prihode proračuna opće države s uključenim multiplikativnim efektom</w:t>
      </w:r>
      <w:r w:rsidR="00A7635A" w:rsidRPr="009C52C4">
        <w:rPr>
          <w:rFonts w:ascii="Times New Roman" w:hAnsi="Times New Roman" w:cs="Times New Roman"/>
          <w:b w:val="0"/>
          <w:bCs w:val="0"/>
          <w:sz w:val="24"/>
          <w:szCs w:val="24"/>
          <w:lang w:eastAsia="en-US"/>
        </w:rPr>
        <w:t xml:space="preserve"> do 2030. godine</w:t>
      </w:r>
      <w:bookmarkEnd w:id="224"/>
    </w:p>
    <w:tbl>
      <w:tblPr>
        <w:tblStyle w:val="TableGrid"/>
        <w:tblW w:w="9020" w:type="dxa"/>
        <w:tblLayout w:type="fixed"/>
        <w:tblLook w:val="04A0" w:firstRow="1" w:lastRow="0" w:firstColumn="1" w:lastColumn="0" w:noHBand="0" w:noVBand="1"/>
      </w:tblPr>
      <w:tblGrid>
        <w:gridCol w:w="2425"/>
        <w:gridCol w:w="2266"/>
        <w:gridCol w:w="2060"/>
        <w:gridCol w:w="2269"/>
      </w:tblGrid>
      <w:tr w:rsidR="00430141" w:rsidRPr="009C52C4" w14:paraId="4ADE4581" w14:textId="77777777" w:rsidTr="00A26C32">
        <w:trPr>
          <w:trHeight w:val="544"/>
        </w:trPr>
        <w:tc>
          <w:tcPr>
            <w:tcW w:w="2425" w:type="dxa"/>
            <w:tcBorders>
              <w:bottom w:val="single" w:sz="4" w:space="0" w:color="auto"/>
            </w:tcBorders>
            <w:shd w:val="clear" w:color="auto" w:fill="C2D69B" w:themeFill="accent3" w:themeFillTint="99"/>
            <w:vAlign w:val="center"/>
          </w:tcPr>
          <w:p w14:paraId="03DF4A43" w14:textId="77777777" w:rsidR="00430141" w:rsidRPr="009C52C4" w:rsidRDefault="00574A75" w:rsidP="00574A75">
            <w:pPr>
              <w:rPr>
                <w:rFonts w:ascii="Times New Roman" w:hAnsi="Times New Roman"/>
                <w:b/>
                <w:color w:val="000000"/>
                <w:sz w:val="24"/>
                <w:szCs w:val="24"/>
              </w:rPr>
            </w:pPr>
            <w:r w:rsidRPr="009C52C4">
              <w:rPr>
                <w:rFonts w:ascii="Times New Roman" w:hAnsi="Times New Roman"/>
                <w:b/>
                <w:color w:val="000000"/>
                <w:sz w:val="24"/>
                <w:szCs w:val="24"/>
              </w:rPr>
              <w:t>Promatrano razdoblje</w:t>
            </w:r>
          </w:p>
        </w:tc>
        <w:tc>
          <w:tcPr>
            <w:tcW w:w="2266" w:type="dxa"/>
            <w:tcBorders>
              <w:bottom w:val="single" w:sz="4" w:space="0" w:color="auto"/>
            </w:tcBorders>
            <w:shd w:val="clear" w:color="auto" w:fill="C2D69B" w:themeFill="accent3" w:themeFillTint="99"/>
            <w:vAlign w:val="center"/>
          </w:tcPr>
          <w:p w14:paraId="28309AF2" w14:textId="77777777" w:rsidR="00430141" w:rsidRPr="009C52C4" w:rsidRDefault="00430141"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2014.-2019.</w:t>
            </w:r>
          </w:p>
        </w:tc>
        <w:tc>
          <w:tcPr>
            <w:tcW w:w="2060" w:type="dxa"/>
            <w:tcBorders>
              <w:bottom w:val="single" w:sz="4" w:space="0" w:color="auto"/>
            </w:tcBorders>
            <w:shd w:val="clear" w:color="auto" w:fill="C2D69B" w:themeFill="accent3" w:themeFillTint="99"/>
            <w:vAlign w:val="center"/>
          </w:tcPr>
          <w:p w14:paraId="6BB50F00" w14:textId="77777777" w:rsidR="00430141" w:rsidRPr="009C52C4" w:rsidRDefault="00430141"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2020.-2024.</w:t>
            </w:r>
          </w:p>
        </w:tc>
        <w:tc>
          <w:tcPr>
            <w:tcW w:w="2268" w:type="dxa"/>
            <w:tcBorders>
              <w:bottom w:val="single" w:sz="4" w:space="0" w:color="auto"/>
            </w:tcBorders>
            <w:shd w:val="clear" w:color="auto" w:fill="C2D69B" w:themeFill="accent3" w:themeFillTint="99"/>
            <w:vAlign w:val="center"/>
          </w:tcPr>
          <w:p w14:paraId="1C0D7215" w14:textId="77777777" w:rsidR="00430141" w:rsidRPr="009C52C4" w:rsidRDefault="00430141" w:rsidP="00685349">
            <w:pPr>
              <w:jc w:val="center"/>
              <w:rPr>
                <w:rFonts w:ascii="Times New Roman" w:hAnsi="Times New Roman"/>
                <w:b/>
                <w:bCs/>
                <w:color w:val="000000"/>
                <w:sz w:val="24"/>
                <w:szCs w:val="24"/>
              </w:rPr>
            </w:pPr>
            <w:r w:rsidRPr="009C52C4">
              <w:rPr>
                <w:rFonts w:ascii="Times New Roman" w:hAnsi="Times New Roman"/>
                <w:b/>
                <w:bCs/>
                <w:color w:val="000000"/>
                <w:sz w:val="24"/>
                <w:szCs w:val="24"/>
              </w:rPr>
              <w:t>2025.-2029.</w:t>
            </w:r>
          </w:p>
        </w:tc>
      </w:tr>
      <w:tr w:rsidR="00430141" w:rsidRPr="009C52C4" w14:paraId="16D46894" w14:textId="77777777" w:rsidTr="00A26C32">
        <w:trPr>
          <w:trHeight w:val="287"/>
        </w:trPr>
        <w:tc>
          <w:tcPr>
            <w:tcW w:w="9020" w:type="dxa"/>
            <w:gridSpan w:val="4"/>
            <w:tcBorders>
              <w:bottom w:val="single" w:sz="4" w:space="0" w:color="auto"/>
            </w:tcBorders>
            <w:shd w:val="clear" w:color="auto" w:fill="D6E3BC" w:themeFill="accent3" w:themeFillTint="66"/>
            <w:vAlign w:val="bottom"/>
          </w:tcPr>
          <w:p w14:paraId="4C1D3057" w14:textId="77777777" w:rsidR="00430141" w:rsidRPr="009C52C4" w:rsidRDefault="00430141" w:rsidP="00685349">
            <w:pPr>
              <w:rPr>
                <w:rFonts w:ascii="Times New Roman" w:hAnsi="Times New Roman"/>
                <w:sz w:val="24"/>
                <w:szCs w:val="24"/>
              </w:rPr>
            </w:pPr>
            <w:r w:rsidRPr="009C52C4">
              <w:rPr>
                <w:rFonts w:ascii="Times New Roman" w:hAnsi="Times New Roman"/>
                <w:color w:val="000000"/>
                <w:sz w:val="24"/>
                <w:szCs w:val="24"/>
              </w:rPr>
              <w:t>Učinak na BDP s obzirom na multiplikator  - ukupno u HRK*</w:t>
            </w:r>
          </w:p>
        </w:tc>
      </w:tr>
      <w:tr w:rsidR="00430141" w:rsidRPr="009C52C4" w14:paraId="459FEAEC" w14:textId="77777777" w:rsidTr="00A26C32">
        <w:trPr>
          <w:trHeight w:val="544"/>
        </w:trPr>
        <w:tc>
          <w:tcPr>
            <w:tcW w:w="2425" w:type="dxa"/>
            <w:tcBorders>
              <w:top w:val="single" w:sz="4" w:space="0" w:color="auto"/>
              <w:bottom w:val="single" w:sz="4" w:space="0" w:color="auto"/>
            </w:tcBorders>
            <w:vAlign w:val="center"/>
          </w:tcPr>
          <w:p w14:paraId="6DBCA99D"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2266" w:type="dxa"/>
            <w:tcBorders>
              <w:top w:val="single" w:sz="4" w:space="0" w:color="auto"/>
            </w:tcBorders>
            <w:vAlign w:val="center"/>
          </w:tcPr>
          <w:p w14:paraId="79C3E08C"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45.916.298.120</w:t>
            </w:r>
          </w:p>
        </w:tc>
        <w:tc>
          <w:tcPr>
            <w:tcW w:w="2060" w:type="dxa"/>
            <w:tcBorders>
              <w:top w:val="single" w:sz="4" w:space="0" w:color="auto"/>
            </w:tcBorders>
            <w:vAlign w:val="center"/>
          </w:tcPr>
          <w:p w14:paraId="6A8A4614"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87.649.688.995</w:t>
            </w:r>
          </w:p>
        </w:tc>
        <w:tc>
          <w:tcPr>
            <w:tcW w:w="2268" w:type="dxa"/>
            <w:tcBorders>
              <w:top w:val="single" w:sz="4" w:space="0" w:color="auto"/>
            </w:tcBorders>
            <w:vAlign w:val="center"/>
          </w:tcPr>
          <w:p w14:paraId="55AF6AC5"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105.187.879.866</w:t>
            </w:r>
          </w:p>
        </w:tc>
      </w:tr>
      <w:tr w:rsidR="00430141" w:rsidRPr="009C52C4" w14:paraId="43561346" w14:textId="77777777" w:rsidTr="00A26C32">
        <w:trPr>
          <w:trHeight w:val="544"/>
        </w:trPr>
        <w:tc>
          <w:tcPr>
            <w:tcW w:w="2425" w:type="dxa"/>
            <w:tcBorders>
              <w:top w:val="single" w:sz="4" w:space="0" w:color="auto"/>
              <w:bottom w:val="single" w:sz="4" w:space="0" w:color="auto"/>
            </w:tcBorders>
            <w:vAlign w:val="center"/>
          </w:tcPr>
          <w:p w14:paraId="23043408"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2266" w:type="dxa"/>
            <w:vAlign w:val="center"/>
          </w:tcPr>
          <w:p w14:paraId="734CD7A4"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57.395.372.650</w:t>
            </w:r>
          </w:p>
        </w:tc>
        <w:tc>
          <w:tcPr>
            <w:tcW w:w="2060" w:type="dxa"/>
            <w:vAlign w:val="center"/>
          </w:tcPr>
          <w:p w14:paraId="65F9AC61"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109.562.111.244</w:t>
            </w:r>
          </w:p>
        </w:tc>
        <w:tc>
          <w:tcPr>
            <w:tcW w:w="2268" w:type="dxa"/>
            <w:vAlign w:val="center"/>
          </w:tcPr>
          <w:p w14:paraId="3657048B"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131.484.849.832</w:t>
            </w:r>
          </w:p>
        </w:tc>
      </w:tr>
      <w:tr w:rsidR="00430141" w:rsidRPr="009C52C4" w14:paraId="497A756E" w14:textId="77777777" w:rsidTr="00A26C32">
        <w:trPr>
          <w:trHeight w:val="559"/>
        </w:trPr>
        <w:tc>
          <w:tcPr>
            <w:tcW w:w="2425" w:type="dxa"/>
            <w:tcBorders>
              <w:top w:val="single" w:sz="4" w:space="0" w:color="auto"/>
              <w:bottom w:val="single" w:sz="4" w:space="0" w:color="auto"/>
            </w:tcBorders>
            <w:vAlign w:val="center"/>
          </w:tcPr>
          <w:p w14:paraId="582E48E8"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2266" w:type="dxa"/>
            <w:tcBorders>
              <w:bottom w:val="single" w:sz="4" w:space="0" w:color="auto"/>
            </w:tcBorders>
            <w:vAlign w:val="center"/>
          </w:tcPr>
          <w:p w14:paraId="02AFDC61"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76.527.163.533</w:t>
            </w:r>
          </w:p>
        </w:tc>
        <w:tc>
          <w:tcPr>
            <w:tcW w:w="2060" w:type="dxa"/>
            <w:tcBorders>
              <w:bottom w:val="single" w:sz="4" w:space="0" w:color="auto"/>
            </w:tcBorders>
            <w:vAlign w:val="center"/>
          </w:tcPr>
          <w:p w14:paraId="2FA61E86"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146.082.814.992</w:t>
            </w:r>
          </w:p>
        </w:tc>
        <w:tc>
          <w:tcPr>
            <w:tcW w:w="2268" w:type="dxa"/>
            <w:tcBorders>
              <w:bottom w:val="single" w:sz="4" w:space="0" w:color="auto"/>
            </w:tcBorders>
            <w:vAlign w:val="center"/>
          </w:tcPr>
          <w:p w14:paraId="12EDD7BF"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175.313.133.109</w:t>
            </w:r>
          </w:p>
        </w:tc>
      </w:tr>
      <w:tr w:rsidR="00430141" w:rsidRPr="009C52C4" w14:paraId="34BBBF5A" w14:textId="77777777" w:rsidTr="00A26C32">
        <w:trPr>
          <w:trHeight w:val="544"/>
        </w:trPr>
        <w:tc>
          <w:tcPr>
            <w:tcW w:w="9020" w:type="dxa"/>
            <w:gridSpan w:val="4"/>
            <w:tcBorders>
              <w:top w:val="single" w:sz="4" w:space="0" w:color="auto"/>
              <w:bottom w:val="single" w:sz="4" w:space="0" w:color="auto"/>
            </w:tcBorders>
            <w:shd w:val="clear" w:color="auto" w:fill="D6E3BC" w:themeFill="accent3" w:themeFillTint="66"/>
            <w:vAlign w:val="center"/>
          </w:tcPr>
          <w:p w14:paraId="79F7DBE4" w14:textId="77777777" w:rsidR="00430141" w:rsidRPr="009C52C4" w:rsidRDefault="00430141" w:rsidP="00685349">
            <w:pPr>
              <w:rPr>
                <w:rFonts w:ascii="Times New Roman" w:hAnsi="Times New Roman"/>
                <w:sz w:val="24"/>
                <w:szCs w:val="24"/>
              </w:rPr>
            </w:pPr>
            <w:r w:rsidRPr="009C52C4">
              <w:rPr>
                <w:rFonts w:ascii="Times New Roman" w:hAnsi="Times New Roman"/>
                <w:color w:val="000000"/>
                <w:sz w:val="24"/>
                <w:szCs w:val="24"/>
              </w:rPr>
              <w:lastRenderedPageBreak/>
              <w:t>Učinak na BDP s obzirom na multiplikator  - prosjek u toku razdoblja</w:t>
            </w:r>
          </w:p>
        </w:tc>
      </w:tr>
      <w:tr w:rsidR="00430141" w:rsidRPr="009C52C4" w14:paraId="26D34B83" w14:textId="77777777" w:rsidTr="00A26C32">
        <w:trPr>
          <w:trHeight w:val="287"/>
        </w:trPr>
        <w:tc>
          <w:tcPr>
            <w:tcW w:w="2425" w:type="dxa"/>
            <w:tcBorders>
              <w:top w:val="single" w:sz="4" w:space="0" w:color="auto"/>
              <w:bottom w:val="single" w:sz="4" w:space="0" w:color="auto"/>
            </w:tcBorders>
            <w:vAlign w:val="center"/>
          </w:tcPr>
          <w:p w14:paraId="21A8AD8C"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2266" w:type="dxa"/>
            <w:tcBorders>
              <w:top w:val="single" w:sz="4" w:space="0" w:color="auto"/>
            </w:tcBorders>
            <w:vAlign w:val="center"/>
          </w:tcPr>
          <w:p w14:paraId="5F16A322"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2,2%</w:t>
            </w:r>
          </w:p>
        </w:tc>
        <w:tc>
          <w:tcPr>
            <w:tcW w:w="2060" w:type="dxa"/>
            <w:tcBorders>
              <w:top w:val="single" w:sz="4" w:space="0" w:color="auto"/>
            </w:tcBorders>
            <w:vAlign w:val="center"/>
          </w:tcPr>
          <w:p w14:paraId="027D2FF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4,5%</w:t>
            </w:r>
          </w:p>
        </w:tc>
        <w:tc>
          <w:tcPr>
            <w:tcW w:w="2268" w:type="dxa"/>
            <w:tcBorders>
              <w:top w:val="single" w:sz="4" w:space="0" w:color="auto"/>
            </w:tcBorders>
            <w:vAlign w:val="center"/>
          </w:tcPr>
          <w:p w14:paraId="17A4C2D6"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5,0%</w:t>
            </w:r>
          </w:p>
        </w:tc>
      </w:tr>
      <w:tr w:rsidR="00430141" w:rsidRPr="009C52C4" w14:paraId="75CFBEC9" w14:textId="77777777" w:rsidTr="00A26C32">
        <w:trPr>
          <w:trHeight w:val="272"/>
        </w:trPr>
        <w:tc>
          <w:tcPr>
            <w:tcW w:w="2425" w:type="dxa"/>
            <w:tcBorders>
              <w:top w:val="single" w:sz="4" w:space="0" w:color="auto"/>
              <w:bottom w:val="single" w:sz="4" w:space="0" w:color="auto"/>
            </w:tcBorders>
            <w:vAlign w:val="center"/>
          </w:tcPr>
          <w:p w14:paraId="13049AD0"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2266" w:type="dxa"/>
            <w:tcBorders>
              <w:bottom w:val="single" w:sz="4" w:space="0" w:color="auto"/>
            </w:tcBorders>
            <w:vAlign w:val="center"/>
          </w:tcPr>
          <w:p w14:paraId="32B3D636"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2,8%</w:t>
            </w:r>
          </w:p>
        </w:tc>
        <w:tc>
          <w:tcPr>
            <w:tcW w:w="2060" w:type="dxa"/>
            <w:tcBorders>
              <w:bottom w:val="single" w:sz="4" w:space="0" w:color="auto"/>
            </w:tcBorders>
            <w:vAlign w:val="center"/>
          </w:tcPr>
          <w:p w14:paraId="382D9562"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5,7%</w:t>
            </w:r>
          </w:p>
        </w:tc>
        <w:tc>
          <w:tcPr>
            <w:tcW w:w="2268" w:type="dxa"/>
            <w:tcBorders>
              <w:bottom w:val="single" w:sz="4" w:space="0" w:color="auto"/>
            </w:tcBorders>
            <w:vAlign w:val="center"/>
          </w:tcPr>
          <w:p w14:paraId="47C89A2E"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6,3%</w:t>
            </w:r>
          </w:p>
        </w:tc>
      </w:tr>
      <w:tr w:rsidR="00430141" w:rsidRPr="009C52C4" w14:paraId="7D0B5B94" w14:textId="77777777" w:rsidTr="00A26C32">
        <w:trPr>
          <w:trHeight w:val="272"/>
        </w:trPr>
        <w:tc>
          <w:tcPr>
            <w:tcW w:w="2425" w:type="dxa"/>
            <w:tcBorders>
              <w:top w:val="single" w:sz="4" w:space="0" w:color="auto"/>
              <w:bottom w:val="single" w:sz="4" w:space="0" w:color="auto"/>
            </w:tcBorders>
            <w:shd w:val="clear" w:color="auto" w:fill="auto"/>
            <w:vAlign w:val="center"/>
          </w:tcPr>
          <w:p w14:paraId="3DD70A53"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2266" w:type="dxa"/>
            <w:shd w:val="clear" w:color="auto" w:fill="auto"/>
            <w:vAlign w:val="center"/>
          </w:tcPr>
          <w:p w14:paraId="7DB3DBCE"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3,7%</w:t>
            </w:r>
          </w:p>
        </w:tc>
        <w:tc>
          <w:tcPr>
            <w:tcW w:w="2060" w:type="dxa"/>
            <w:shd w:val="clear" w:color="auto" w:fill="auto"/>
            <w:vAlign w:val="center"/>
          </w:tcPr>
          <w:p w14:paraId="78045CE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7,5%</w:t>
            </w:r>
          </w:p>
        </w:tc>
        <w:tc>
          <w:tcPr>
            <w:tcW w:w="2268" w:type="dxa"/>
            <w:shd w:val="clear" w:color="auto" w:fill="auto"/>
            <w:vAlign w:val="center"/>
          </w:tcPr>
          <w:p w14:paraId="5A6C0512"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8,4%</w:t>
            </w:r>
          </w:p>
        </w:tc>
      </w:tr>
      <w:tr w:rsidR="00430141" w:rsidRPr="009C52C4" w14:paraId="21768DCF" w14:textId="77777777" w:rsidTr="00A26C32">
        <w:trPr>
          <w:trHeight w:val="544"/>
        </w:trPr>
        <w:tc>
          <w:tcPr>
            <w:tcW w:w="9020" w:type="dxa"/>
            <w:gridSpan w:val="4"/>
            <w:tcBorders>
              <w:top w:val="single" w:sz="4" w:space="0" w:color="auto"/>
              <w:bottom w:val="single" w:sz="4" w:space="0" w:color="auto"/>
            </w:tcBorders>
            <w:shd w:val="clear" w:color="auto" w:fill="D6E3BC" w:themeFill="accent3" w:themeFillTint="66"/>
            <w:vAlign w:val="center"/>
          </w:tcPr>
          <w:p w14:paraId="37C52704" w14:textId="77777777" w:rsidR="00430141" w:rsidRPr="009C52C4" w:rsidRDefault="00430141" w:rsidP="00685349">
            <w:pPr>
              <w:rPr>
                <w:rFonts w:ascii="Times New Roman" w:hAnsi="Times New Roman"/>
                <w:sz w:val="24"/>
                <w:szCs w:val="24"/>
              </w:rPr>
            </w:pPr>
            <w:r w:rsidRPr="009C52C4">
              <w:rPr>
                <w:rFonts w:ascii="Times New Roman" w:hAnsi="Times New Roman"/>
                <w:color w:val="000000"/>
                <w:sz w:val="24"/>
                <w:szCs w:val="24"/>
              </w:rPr>
              <w:t>Učinak na prihode proračuna s obzirom na multiplikator - ukupno u HRK*</w:t>
            </w:r>
          </w:p>
        </w:tc>
      </w:tr>
      <w:tr w:rsidR="00430141" w:rsidRPr="009C52C4" w14:paraId="5E841505" w14:textId="77777777" w:rsidTr="00A26C32">
        <w:trPr>
          <w:trHeight w:val="559"/>
        </w:trPr>
        <w:tc>
          <w:tcPr>
            <w:tcW w:w="2425" w:type="dxa"/>
            <w:tcBorders>
              <w:top w:val="single" w:sz="4" w:space="0" w:color="auto"/>
              <w:bottom w:val="single" w:sz="4" w:space="0" w:color="auto"/>
            </w:tcBorders>
            <w:vAlign w:val="center"/>
          </w:tcPr>
          <w:p w14:paraId="5C2B115E"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2266" w:type="dxa"/>
            <w:tcBorders>
              <w:top w:val="single" w:sz="4" w:space="0" w:color="auto"/>
            </w:tcBorders>
            <w:vAlign w:val="center"/>
          </w:tcPr>
          <w:p w14:paraId="7B4634D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17.448.193.286</w:t>
            </w:r>
          </w:p>
        </w:tc>
        <w:tc>
          <w:tcPr>
            <w:tcW w:w="2060" w:type="dxa"/>
            <w:tcBorders>
              <w:top w:val="single" w:sz="4" w:space="0" w:color="auto"/>
            </w:tcBorders>
            <w:vAlign w:val="center"/>
          </w:tcPr>
          <w:p w14:paraId="4F64FE75"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33.306.881.818</w:t>
            </w:r>
          </w:p>
        </w:tc>
        <w:tc>
          <w:tcPr>
            <w:tcW w:w="2268" w:type="dxa"/>
            <w:tcBorders>
              <w:top w:val="single" w:sz="4" w:space="0" w:color="auto"/>
            </w:tcBorders>
            <w:vAlign w:val="center"/>
          </w:tcPr>
          <w:p w14:paraId="7082A1BF"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39.971.394.349</w:t>
            </w:r>
          </w:p>
        </w:tc>
      </w:tr>
      <w:tr w:rsidR="00430141" w:rsidRPr="009C52C4" w14:paraId="253499FD" w14:textId="77777777" w:rsidTr="00A26C32">
        <w:trPr>
          <w:trHeight w:val="544"/>
        </w:trPr>
        <w:tc>
          <w:tcPr>
            <w:tcW w:w="2425" w:type="dxa"/>
            <w:tcBorders>
              <w:top w:val="single" w:sz="4" w:space="0" w:color="auto"/>
              <w:bottom w:val="single" w:sz="4" w:space="0" w:color="auto"/>
            </w:tcBorders>
            <w:vAlign w:val="center"/>
          </w:tcPr>
          <w:p w14:paraId="0C274BBE"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2266" w:type="dxa"/>
            <w:tcBorders>
              <w:bottom w:val="single" w:sz="4" w:space="0" w:color="auto"/>
            </w:tcBorders>
            <w:vAlign w:val="center"/>
          </w:tcPr>
          <w:p w14:paraId="5A917337"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21.810.241.607</w:t>
            </w:r>
          </w:p>
        </w:tc>
        <w:tc>
          <w:tcPr>
            <w:tcW w:w="2060" w:type="dxa"/>
            <w:tcBorders>
              <w:bottom w:val="single" w:sz="4" w:space="0" w:color="auto"/>
            </w:tcBorders>
            <w:vAlign w:val="center"/>
          </w:tcPr>
          <w:p w14:paraId="18FDF1DB"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41.633.602.273</w:t>
            </w:r>
          </w:p>
        </w:tc>
        <w:tc>
          <w:tcPr>
            <w:tcW w:w="2268" w:type="dxa"/>
            <w:tcBorders>
              <w:bottom w:val="single" w:sz="4" w:space="0" w:color="auto"/>
            </w:tcBorders>
            <w:vAlign w:val="center"/>
          </w:tcPr>
          <w:p w14:paraId="61340F1C"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49.964.242.936</w:t>
            </w:r>
          </w:p>
        </w:tc>
      </w:tr>
      <w:tr w:rsidR="00430141" w:rsidRPr="009C52C4" w14:paraId="315A3EFE" w14:textId="77777777" w:rsidTr="00A26C32">
        <w:trPr>
          <w:trHeight w:val="559"/>
        </w:trPr>
        <w:tc>
          <w:tcPr>
            <w:tcW w:w="2425" w:type="dxa"/>
            <w:tcBorders>
              <w:top w:val="single" w:sz="4" w:space="0" w:color="auto"/>
            </w:tcBorders>
            <w:shd w:val="clear" w:color="auto" w:fill="auto"/>
            <w:vAlign w:val="center"/>
          </w:tcPr>
          <w:p w14:paraId="6E043934"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2266" w:type="dxa"/>
            <w:shd w:val="clear" w:color="auto" w:fill="auto"/>
            <w:vAlign w:val="center"/>
          </w:tcPr>
          <w:p w14:paraId="331365DF"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29.080.322.143</w:t>
            </w:r>
          </w:p>
        </w:tc>
        <w:tc>
          <w:tcPr>
            <w:tcW w:w="2060" w:type="dxa"/>
            <w:shd w:val="clear" w:color="auto" w:fill="auto"/>
            <w:vAlign w:val="center"/>
          </w:tcPr>
          <w:p w14:paraId="0A37D7BC"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55.511.469.697</w:t>
            </w:r>
          </w:p>
        </w:tc>
        <w:tc>
          <w:tcPr>
            <w:tcW w:w="2268" w:type="dxa"/>
            <w:shd w:val="clear" w:color="auto" w:fill="auto"/>
            <w:vAlign w:val="center"/>
          </w:tcPr>
          <w:p w14:paraId="1B5BF1DC"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66.618.990.582</w:t>
            </w:r>
          </w:p>
        </w:tc>
      </w:tr>
      <w:tr w:rsidR="00430141" w:rsidRPr="009C52C4" w14:paraId="2B9C8957" w14:textId="77777777" w:rsidTr="00A26C32">
        <w:trPr>
          <w:trHeight w:val="544"/>
        </w:trPr>
        <w:tc>
          <w:tcPr>
            <w:tcW w:w="9020" w:type="dxa"/>
            <w:gridSpan w:val="4"/>
            <w:tcBorders>
              <w:top w:val="single" w:sz="4" w:space="0" w:color="auto"/>
              <w:bottom w:val="single" w:sz="4" w:space="0" w:color="auto"/>
            </w:tcBorders>
            <w:shd w:val="clear" w:color="auto" w:fill="D6E3BC" w:themeFill="accent3" w:themeFillTint="66"/>
            <w:vAlign w:val="center"/>
          </w:tcPr>
          <w:p w14:paraId="6E2F6758" w14:textId="77777777" w:rsidR="00430141" w:rsidRPr="009C52C4" w:rsidRDefault="00430141" w:rsidP="00685349">
            <w:pPr>
              <w:rPr>
                <w:rFonts w:ascii="Times New Roman" w:hAnsi="Times New Roman"/>
                <w:sz w:val="24"/>
                <w:szCs w:val="24"/>
              </w:rPr>
            </w:pPr>
            <w:r w:rsidRPr="009C52C4">
              <w:rPr>
                <w:rFonts w:ascii="Times New Roman" w:hAnsi="Times New Roman"/>
                <w:color w:val="000000"/>
                <w:sz w:val="24"/>
                <w:szCs w:val="24"/>
              </w:rPr>
              <w:t>Učinak na prihode proračuna s obzirom na multiplikator - prosjek razdoblja u % BDP-a</w:t>
            </w:r>
          </w:p>
        </w:tc>
      </w:tr>
      <w:tr w:rsidR="00430141" w:rsidRPr="009C52C4" w14:paraId="1AC29061" w14:textId="77777777" w:rsidTr="00A26C32">
        <w:trPr>
          <w:trHeight w:val="272"/>
        </w:trPr>
        <w:tc>
          <w:tcPr>
            <w:tcW w:w="2425" w:type="dxa"/>
            <w:tcBorders>
              <w:top w:val="single" w:sz="4" w:space="0" w:color="auto"/>
              <w:bottom w:val="single" w:sz="4" w:space="0" w:color="auto"/>
            </w:tcBorders>
            <w:vAlign w:val="center"/>
          </w:tcPr>
          <w:p w14:paraId="2F4D9783"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1,2</w:t>
            </w:r>
          </w:p>
        </w:tc>
        <w:tc>
          <w:tcPr>
            <w:tcW w:w="2266" w:type="dxa"/>
            <w:tcBorders>
              <w:top w:val="single" w:sz="4" w:space="0" w:color="auto"/>
            </w:tcBorders>
            <w:vAlign w:val="center"/>
          </w:tcPr>
          <w:p w14:paraId="4EBA4C5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0,8%</w:t>
            </w:r>
          </w:p>
        </w:tc>
        <w:tc>
          <w:tcPr>
            <w:tcW w:w="2060" w:type="dxa"/>
            <w:tcBorders>
              <w:top w:val="single" w:sz="4" w:space="0" w:color="auto"/>
            </w:tcBorders>
            <w:vAlign w:val="center"/>
          </w:tcPr>
          <w:p w14:paraId="5C0E7D17"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1,7%</w:t>
            </w:r>
          </w:p>
        </w:tc>
        <w:tc>
          <w:tcPr>
            <w:tcW w:w="2268" w:type="dxa"/>
            <w:tcBorders>
              <w:top w:val="single" w:sz="4" w:space="0" w:color="auto"/>
            </w:tcBorders>
            <w:vAlign w:val="center"/>
          </w:tcPr>
          <w:p w14:paraId="32E1C801"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1,9%</w:t>
            </w:r>
          </w:p>
        </w:tc>
      </w:tr>
      <w:tr w:rsidR="00430141" w:rsidRPr="009C52C4" w14:paraId="2F68C0E6" w14:textId="77777777" w:rsidTr="00A26C32">
        <w:trPr>
          <w:trHeight w:val="272"/>
        </w:trPr>
        <w:tc>
          <w:tcPr>
            <w:tcW w:w="2425" w:type="dxa"/>
            <w:tcBorders>
              <w:top w:val="single" w:sz="4" w:space="0" w:color="auto"/>
              <w:bottom w:val="single" w:sz="4" w:space="0" w:color="auto"/>
            </w:tcBorders>
            <w:vAlign w:val="center"/>
          </w:tcPr>
          <w:p w14:paraId="35298DB0"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1,5</w:t>
            </w:r>
          </w:p>
        </w:tc>
        <w:tc>
          <w:tcPr>
            <w:tcW w:w="2266" w:type="dxa"/>
            <w:tcBorders>
              <w:bottom w:val="single" w:sz="4" w:space="0" w:color="auto"/>
            </w:tcBorders>
            <w:vAlign w:val="center"/>
          </w:tcPr>
          <w:p w14:paraId="162D7879"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1,1%</w:t>
            </w:r>
          </w:p>
        </w:tc>
        <w:tc>
          <w:tcPr>
            <w:tcW w:w="2060" w:type="dxa"/>
            <w:tcBorders>
              <w:bottom w:val="single" w:sz="4" w:space="0" w:color="auto"/>
            </w:tcBorders>
            <w:vAlign w:val="center"/>
          </w:tcPr>
          <w:p w14:paraId="69738422"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2,1%</w:t>
            </w:r>
          </w:p>
        </w:tc>
        <w:tc>
          <w:tcPr>
            <w:tcW w:w="2268" w:type="dxa"/>
            <w:tcBorders>
              <w:bottom w:val="single" w:sz="4" w:space="0" w:color="auto"/>
            </w:tcBorders>
            <w:vAlign w:val="center"/>
          </w:tcPr>
          <w:p w14:paraId="0FA105D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2,4%</w:t>
            </w:r>
          </w:p>
        </w:tc>
      </w:tr>
      <w:tr w:rsidR="00430141" w:rsidRPr="009C52C4" w14:paraId="753B1436" w14:textId="77777777" w:rsidTr="00A26C32">
        <w:trPr>
          <w:trHeight w:val="272"/>
        </w:trPr>
        <w:tc>
          <w:tcPr>
            <w:tcW w:w="2425" w:type="dxa"/>
            <w:tcBorders>
              <w:top w:val="single" w:sz="4" w:space="0" w:color="auto"/>
            </w:tcBorders>
            <w:shd w:val="clear" w:color="auto" w:fill="auto"/>
            <w:vAlign w:val="center"/>
          </w:tcPr>
          <w:p w14:paraId="60BD0434" w14:textId="77777777" w:rsidR="00430141" w:rsidRPr="009C52C4" w:rsidRDefault="00430141" w:rsidP="00685349">
            <w:pPr>
              <w:rPr>
                <w:rFonts w:ascii="Times New Roman" w:hAnsi="Times New Roman"/>
                <w:color w:val="000000"/>
                <w:sz w:val="24"/>
                <w:szCs w:val="24"/>
              </w:rPr>
            </w:pPr>
            <w:r w:rsidRPr="009C52C4">
              <w:rPr>
                <w:rFonts w:ascii="Times New Roman" w:hAnsi="Times New Roman"/>
                <w:color w:val="000000"/>
                <w:sz w:val="24"/>
                <w:szCs w:val="24"/>
              </w:rPr>
              <w:t>2</w:t>
            </w:r>
          </w:p>
        </w:tc>
        <w:tc>
          <w:tcPr>
            <w:tcW w:w="2266" w:type="dxa"/>
            <w:shd w:val="clear" w:color="auto" w:fill="auto"/>
            <w:vAlign w:val="center"/>
          </w:tcPr>
          <w:p w14:paraId="4E573820"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1,4%</w:t>
            </w:r>
          </w:p>
        </w:tc>
        <w:tc>
          <w:tcPr>
            <w:tcW w:w="2060" w:type="dxa"/>
            <w:shd w:val="clear" w:color="auto" w:fill="auto"/>
            <w:vAlign w:val="center"/>
          </w:tcPr>
          <w:p w14:paraId="0310F96C"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2,9%</w:t>
            </w:r>
          </w:p>
        </w:tc>
        <w:tc>
          <w:tcPr>
            <w:tcW w:w="2268" w:type="dxa"/>
            <w:shd w:val="clear" w:color="auto" w:fill="auto"/>
            <w:vAlign w:val="center"/>
          </w:tcPr>
          <w:p w14:paraId="3D3D56E3" w14:textId="77777777" w:rsidR="00430141" w:rsidRPr="009C52C4" w:rsidRDefault="00430141" w:rsidP="00685349">
            <w:pPr>
              <w:jc w:val="center"/>
              <w:rPr>
                <w:rFonts w:ascii="Times New Roman" w:hAnsi="Times New Roman"/>
                <w:color w:val="000000"/>
                <w:sz w:val="24"/>
                <w:szCs w:val="24"/>
              </w:rPr>
            </w:pPr>
            <w:r w:rsidRPr="009C52C4">
              <w:rPr>
                <w:rFonts w:ascii="Times New Roman" w:hAnsi="Times New Roman"/>
                <w:color w:val="000000"/>
                <w:sz w:val="24"/>
                <w:szCs w:val="24"/>
              </w:rPr>
              <w:t>3,2%</w:t>
            </w:r>
          </w:p>
        </w:tc>
      </w:tr>
    </w:tbl>
    <w:p w14:paraId="768352FA" w14:textId="77777777" w:rsidR="00430141" w:rsidRPr="009C52C4" w:rsidRDefault="00430141" w:rsidP="00430141">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*Iznosi predstavljaju kumulative unutar razdoblja. Učinci na godišnjoj razini, u prosjeku, prikazani su ispod apsolutnih iznosa</w:t>
      </w:r>
    </w:p>
    <w:p w14:paraId="2713284C" w14:textId="77777777" w:rsidR="00853BC8" w:rsidRPr="009C52C4" w:rsidRDefault="00853BC8" w:rsidP="00853BC8">
      <w:pPr>
        <w:rPr>
          <w:rFonts w:ascii="Times New Roman" w:hAnsi="Times New Roman" w:cs="Times New Roman"/>
          <w:color w:val="auto"/>
          <w:sz w:val="24"/>
          <w:szCs w:val="24"/>
          <w:lang w:eastAsia="en-US"/>
        </w:rPr>
      </w:pPr>
    </w:p>
    <w:p w14:paraId="24FDBF9B"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Sukladno provedenoj analizi energetskih ušteda kao rezultata integralne energetske </w:t>
      </w:r>
      <w:r w:rsidR="002375AB" w:rsidRPr="009C52C4">
        <w:rPr>
          <w:rFonts w:ascii="Times New Roman" w:hAnsi="Times New Roman" w:cs="Times New Roman"/>
          <w:color w:val="auto"/>
          <w:sz w:val="24"/>
          <w:szCs w:val="24"/>
          <w:lang w:eastAsia="en-US"/>
        </w:rPr>
        <w:t xml:space="preserve">obnove fonda zgrada prema zahtjevima </w:t>
      </w:r>
      <w:r w:rsidR="002375AB" w:rsidRPr="009C52C4">
        <w:rPr>
          <w:rFonts w:ascii="Times New Roman" w:hAnsi="Times New Roman" w:cs="Times New Roman"/>
          <w:i/>
          <w:color w:val="auto"/>
          <w:sz w:val="24"/>
          <w:szCs w:val="24"/>
          <w:lang w:eastAsia="en-US"/>
        </w:rPr>
        <w:t>Tehničkog propisa</w:t>
      </w:r>
      <w:r w:rsidR="002375AB"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a na temelju obuhvaćenog fonda zgrada i primjene mjera povećanja energetske učinkovitosti, procijenjeni učinak programa integralne obnove na ostvarenje energetskih ušteda do 2030. godine kreće se oko 6</w:t>
      </w:r>
      <w:r w:rsidR="008467E6" w:rsidRPr="009C52C4">
        <w:rPr>
          <w:rFonts w:ascii="Times New Roman" w:hAnsi="Times New Roman" w:cs="Times New Roman"/>
          <w:color w:val="auto"/>
          <w:sz w:val="24"/>
          <w:szCs w:val="24"/>
          <w:lang w:eastAsia="en-US"/>
        </w:rPr>
        <w:t>7</w:t>
      </w:r>
      <w:r w:rsidRPr="009C52C4">
        <w:rPr>
          <w:rFonts w:ascii="Times New Roman" w:hAnsi="Times New Roman" w:cs="Times New Roman"/>
          <w:color w:val="auto"/>
          <w:sz w:val="24"/>
          <w:szCs w:val="24"/>
          <w:lang w:eastAsia="en-US"/>
        </w:rPr>
        <w:t xml:space="preserve"> PJ</w:t>
      </w:r>
      <w:r w:rsidR="00C43528" w:rsidRPr="009C52C4">
        <w:rPr>
          <w:rFonts w:ascii="Times New Roman" w:hAnsi="Times New Roman" w:cs="Times New Roman"/>
          <w:color w:val="auto"/>
          <w:sz w:val="24"/>
          <w:szCs w:val="24"/>
          <w:lang w:eastAsia="en-US"/>
        </w:rPr>
        <w:t xml:space="preserve"> (sukladno podacima prikazanim u Prilogu 18)</w:t>
      </w:r>
      <w:r w:rsidRPr="009C52C4">
        <w:rPr>
          <w:rFonts w:ascii="Times New Roman" w:hAnsi="Times New Roman" w:cs="Times New Roman"/>
          <w:color w:val="auto"/>
          <w:sz w:val="24"/>
          <w:szCs w:val="24"/>
          <w:lang w:eastAsia="en-US"/>
        </w:rPr>
        <w:t>.</w:t>
      </w:r>
      <w:r w:rsidR="00C327EC" w:rsidRPr="009C52C4">
        <w:rPr>
          <w:rFonts w:ascii="Times New Roman" w:hAnsi="Times New Roman" w:cs="Times New Roman"/>
          <w:color w:val="auto"/>
          <w:sz w:val="24"/>
          <w:szCs w:val="24"/>
          <w:lang w:eastAsia="en-US"/>
        </w:rPr>
        <w:t xml:space="preserve"> </w:t>
      </w:r>
    </w:p>
    <w:p w14:paraId="35AC688A" w14:textId="77777777" w:rsidR="00853BC8" w:rsidRPr="009C52C4" w:rsidRDefault="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323337B2" w14:textId="77777777" w:rsidR="004E6F69" w:rsidRPr="009C52C4" w:rsidRDefault="00853BC8" w:rsidP="004F09F1">
      <w:pPr>
        <w:pStyle w:val="Heading2"/>
        <w:numPr>
          <w:ilvl w:val="1"/>
          <w:numId w:val="39"/>
        </w:numPr>
        <w:spacing w:line="276" w:lineRule="auto"/>
        <w:ind w:left="284" w:firstLine="0"/>
        <w:rPr>
          <w:rFonts w:ascii="Times New Roman" w:hAnsi="Times New Roman" w:cs="Times New Roman"/>
          <w:sz w:val="24"/>
          <w:szCs w:val="24"/>
        </w:rPr>
      </w:pPr>
      <w:bookmarkStart w:id="225" w:name="_Toc3277937"/>
      <w:r w:rsidRPr="009C52C4">
        <w:rPr>
          <w:rFonts w:ascii="Times New Roman" w:hAnsi="Times New Roman" w:cs="Times New Roman"/>
          <w:sz w:val="24"/>
          <w:szCs w:val="24"/>
        </w:rPr>
        <w:lastRenderedPageBreak/>
        <w:t>Potencijali i ograničenja građevinske industrije u Hrvatskoj</w:t>
      </w:r>
      <w:bookmarkEnd w:id="225"/>
    </w:p>
    <w:p w14:paraId="71EC7F07" w14:textId="77777777" w:rsidR="004E6F69" w:rsidRPr="009C52C4" w:rsidRDefault="004E6F69">
      <w:pPr>
        <w:rPr>
          <w:rFonts w:ascii="Times New Roman" w:hAnsi="Times New Roman" w:cs="Times New Roman"/>
          <w:sz w:val="24"/>
          <w:szCs w:val="24"/>
        </w:rPr>
      </w:pPr>
    </w:p>
    <w:p w14:paraId="18D227CE"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Izravan učinak programa obnove nacionalnog fonda zgrada na zapošljavanje u građevinarstvu do (uključivo i) 2020. mogao bi iznositi i do 2</w:t>
      </w:r>
      <w:r w:rsidR="00E60C88" w:rsidRPr="009C52C4">
        <w:rPr>
          <w:rFonts w:ascii="Times New Roman" w:hAnsi="Times New Roman" w:cs="Times New Roman"/>
          <w:color w:val="auto"/>
          <w:sz w:val="24"/>
          <w:szCs w:val="24"/>
          <w:lang w:eastAsia="en-US"/>
        </w:rPr>
        <w:t>6</w:t>
      </w:r>
      <w:r w:rsidRPr="009C52C4">
        <w:rPr>
          <w:rFonts w:ascii="Times New Roman" w:hAnsi="Times New Roman" w:cs="Times New Roman"/>
          <w:color w:val="auto"/>
          <w:sz w:val="24"/>
          <w:szCs w:val="24"/>
          <w:lang w:eastAsia="en-US"/>
        </w:rPr>
        <w:t xml:space="preserve"> 000 novih radnih mjesta. To je veliko povećanje u odnosu na trenutni broj zaposlenih. U tvrtkama registriranima u građevinarstvu potkraj 2016. bila su 68 653 zaposlena</w:t>
      </w:r>
      <w:r w:rsidRPr="009C52C4">
        <w:rPr>
          <w:rFonts w:ascii="Times New Roman" w:hAnsi="Times New Roman" w:cs="Times New Roman"/>
          <w:color w:val="auto"/>
          <w:sz w:val="24"/>
          <w:szCs w:val="24"/>
          <w:vertAlign w:val="superscript"/>
          <w:lang w:eastAsia="en-US"/>
        </w:rPr>
        <w:footnoteReference w:id="78"/>
      </w:r>
      <w:r w:rsidRPr="009C52C4">
        <w:rPr>
          <w:rFonts w:ascii="Times New Roman" w:hAnsi="Times New Roman" w:cs="Times New Roman"/>
          <w:color w:val="auto"/>
          <w:sz w:val="24"/>
          <w:szCs w:val="24"/>
          <w:lang w:eastAsia="en-US"/>
        </w:rPr>
        <w:t xml:space="preserve">. Međutim, upitno je koliko se sve tvrtke kojima je građevinarstvo glavna registrirana djelatnost bave jedino ili isključivo </w:t>
      </w:r>
      <w:r w:rsidR="00E60C88" w:rsidRPr="009C52C4">
        <w:rPr>
          <w:rFonts w:ascii="Times New Roman" w:hAnsi="Times New Roman" w:cs="Times New Roman"/>
          <w:color w:val="auto"/>
          <w:sz w:val="24"/>
          <w:szCs w:val="24"/>
          <w:lang w:eastAsia="en-US"/>
        </w:rPr>
        <w:t>tom djelatnošću</w:t>
      </w:r>
      <w:r w:rsidRPr="009C52C4">
        <w:rPr>
          <w:rFonts w:ascii="Times New Roman" w:hAnsi="Times New Roman" w:cs="Times New Roman"/>
          <w:color w:val="auto"/>
          <w:sz w:val="24"/>
          <w:szCs w:val="24"/>
          <w:lang w:eastAsia="en-US"/>
        </w:rPr>
        <w:t>. Prema posebnom izvještaju DZS-a o građevinarstvu</w:t>
      </w:r>
      <w:r w:rsidRPr="009C52C4">
        <w:rPr>
          <w:rFonts w:ascii="Times New Roman" w:hAnsi="Times New Roman" w:cs="Times New Roman"/>
          <w:color w:val="auto"/>
          <w:sz w:val="24"/>
          <w:szCs w:val="24"/>
          <w:vertAlign w:val="superscript"/>
          <w:lang w:eastAsia="en-US"/>
        </w:rPr>
        <w:footnoteReference w:id="79"/>
      </w:r>
      <w:r w:rsidRPr="009C52C4">
        <w:rPr>
          <w:rFonts w:ascii="Times New Roman" w:hAnsi="Times New Roman" w:cs="Times New Roman"/>
          <w:color w:val="auto"/>
          <w:sz w:val="24"/>
          <w:szCs w:val="24"/>
          <w:lang w:eastAsia="en-US"/>
        </w:rPr>
        <w:t xml:space="preserve">, prosječni broj radnika na gradilištima u 2015. godini iznosio je 41 037 i još uvijek se nalazio u padu u odnosu na ranije godine. Iako program obnove nacionalnog fonda zgrada ne mobilizira samo radnike na gradilištima, već i projektante, inženjere, menadžere i administrativno osoblje, iz </w:t>
      </w:r>
      <w:r w:rsidR="00E60C88" w:rsidRPr="009C52C4">
        <w:rPr>
          <w:rFonts w:ascii="Times New Roman" w:hAnsi="Times New Roman" w:cs="Times New Roman"/>
          <w:color w:val="auto"/>
          <w:sz w:val="24"/>
          <w:szCs w:val="24"/>
          <w:lang w:eastAsia="en-US"/>
        </w:rPr>
        <w:t xml:space="preserve">ovih </w:t>
      </w:r>
      <w:r w:rsidRPr="009C52C4">
        <w:rPr>
          <w:rFonts w:ascii="Times New Roman" w:hAnsi="Times New Roman" w:cs="Times New Roman"/>
          <w:color w:val="auto"/>
          <w:sz w:val="24"/>
          <w:szCs w:val="24"/>
          <w:lang w:eastAsia="en-US"/>
        </w:rPr>
        <w:t>brojki je jasno da je riječ o velikoj mobilizaciji resursa, osobito rada u graditeljstvu. Potencijal mobilizacije može se grubo procijeniti na 40-50% trenutnog angažmana resursa u građevinarstvu.</w:t>
      </w:r>
    </w:p>
    <w:p w14:paraId="514DD1D7" w14:textId="77777777" w:rsidR="00853BC8" w:rsidRPr="009C52C4" w:rsidRDefault="00853BC8" w:rsidP="00853BC8">
      <w:pPr>
        <w:rPr>
          <w:rFonts w:ascii="Times New Roman" w:hAnsi="Times New Roman" w:cs="Times New Roman"/>
          <w:color w:val="auto"/>
          <w:sz w:val="24"/>
          <w:szCs w:val="24"/>
          <w:lang w:eastAsia="en-US"/>
        </w:rPr>
      </w:pPr>
    </w:p>
    <w:p w14:paraId="3178144D" w14:textId="7100687E"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Vrijednosni pokazatelji još zornije prikazuju snagu porasta aktivnosti ako se realizira plan ulaganja u obnovu nacionalnog fonda zgrada. </w:t>
      </w:r>
      <w:r w:rsidR="00E60C88" w:rsidRPr="009C52C4">
        <w:rPr>
          <w:rFonts w:ascii="Times New Roman" w:hAnsi="Times New Roman" w:cs="Times New Roman"/>
          <w:color w:val="auto"/>
          <w:sz w:val="24"/>
          <w:szCs w:val="24"/>
          <w:lang w:eastAsia="en-US"/>
        </w:rPr>
        <w:t>Naime, v</w:t>
      </w:r>
      <w:r w:rsidRPr="009C52C4">
        <w:rPr>
          <w:rFonts w:ascii="Times New Roman" w:hAnsi="Times New Roman" w:cs="Times New Roman"/>
          <w:color w:val="auto"/>
          <w:sz w:val="24"/>
          <w:szCs w:val="24"/>
          <w:lang w:eastAsia="en-US"/>
        </w:rPr>
        <w:t>rijednost izvršenih građevinskih radova jedva je prelazila 15 milijardi kuna 2015. (</w:t>
      </w:r>
      <w:r w:rsidR="00462D0B" w:rsidRPr="009C52C4">
        <w:rPr>
          <w:rFonts w:ascii="Times New Roman" w:hAnsi="Times New Roman" w:cs="Times New Roman"/>
          <w:color w:val="auto"/>
          <w:sz w:val="24"/>
          <w:szCs w:val="24"/>
          <w:lang w:eastAsia="en-US"/>
        </w:rPr>
        <w:fldChar w:fldCharType="begin"/>
      </w:r>
      <w:r w:rsidR="00462D0B" w:rsidRPr="009C52C4">
        <w:rPr>
          <w:rFonts w:ascii="Times New Roman" w:hAnsi="Times New Roman" w:cs="Times New Roman"/>
          <w:color w:val="auto"/>
          <w:sz w:val="24"/>
          <w:szCs w:val="24"/>
          <w:lang w:eastAsia="en-US"/>
        </w:rPr>
        <w:instrText xml:space="preserve"> REF _Ref483404837 \h </w:instrText>
      </w:r>
      <w:r w:rsidR="00873572" w:rsidRPr="009C52C4">
        <w:rPr>
          <w:rFonts w:ascii="Times New Roman" w:hAnsi="Times New Roman" w:cs="Times New Roman"/>
          <w:color w:val="auto"/>
          <w:sz w:val="24"/>
          <w:szCs w:val="24"/>
          <w:lang w:eastAsia="en-US"/>
        </w:rPr>
        <w:instrText xml:space="preserve"> \* MERGEFORMAT </w:instrText>
      </w:r>
      <w:r w:rsidR="00462D0B" w:rsidRPr="009C52C4">
        <w:rPr>
          <w:rFonts w:ascii="Times New Roman" w:hAnsi="Times New Roman" w:cs="Times New Roman"/>
          <w:color w:val="auto"/>
          <w:sz w:val="24"/>
          <w:szCs w:val="24"/>
          <w:lang w:eastAsia="en-US"/>
        </w:rPr>
      </w:r>
      <w:r w:rsidR="00462D0B"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8</w:t>
      </w:r>
      <w:r w:rsidR="00462D0B"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xml:space="preserve">). Premda veća nego 2014., ta razina aktivnosti bila </w:t>
      </w:r>
      <w:r w:rsidR="00E60C88" w:rsidRPr="009C52C4">
        <w:rPr>
          <w:rFonts w:ascii="Times New Roman" w:hAnsi="Times New Roman" w:cs="Times New Roman"/>
          <w:color w:val="auto"/>
          <w:sz w:val="24"/>
          <w:szCs w:val="24"/>
          <w:lang w:eastAsia="en-US"/>
        </w:rPr>
        <w:t xml:space="preserve">je </w:t>
      </w:r>
      <w:r w:rsidRPr="009C52C4">
        <w:rPr>
          <w:rFonts w:ascii="Times New Roman" w:hAnsi="Times New Roman" w:cs="Times New Roman"/>
          <w:color w:val="auto"/>
          <w:sz w:val="24"/>
          <w:szCs w:val="24"/>
          <w:lang w:eastAsia="en-US"/>
        </w:rPr>
        <w:t xml:space="preserve">znatno niža nego 2010. </w:t>
      </w:r>
      <w:r w:rsidR="00E60C88" w:rsidRPr="009C52C4">
        <w:rPr>
          <w:rFonts w:ascii="Times New Roman" w:hAnsi="Times New Roman" w:cs="Times New Roman"/>
          <w:color w:val="auto"/>
          <w:sz w:val="24"/>
          <w:szCs w:val="24"/>
          <w:lang w:eastAsia="en-US"/>
        </w:rPr>
        <w:t>godine, kada je izvršeno građevinskih radova u vrijednosti od 17,9 milijardi kuna</w:t>
      </w:r>
      <w:r w:rsidRPr="009C52C4">
        <w:rPr>
          <w:rFonts w:ascii="Times New Roman" w:hAnsi="Times New Roman" w:cs="Times New Roman"/>
          <w:color w:val="auto"/>
          <w:sz w:val="24"/>
          <w:szCs w:val="24"/>
          <w:lang w:eastAsia="en-US"/>
        </w:rPr>
        <w:t xml:space="preserve">. Osobito je bila niža nego na cikličkom vrhuncu prije krize 2008., kada je vrijednost izvršenih radova iznosila 27,8 milijardi kuna, od čega na zgradama 14,6 milijardi. Kako prosječno potreban godišnji iznos novih ulaganja u razdoblju </w:t>
      </w:r>
      <w:r w:rsidR="00E60C88" w:rsidRPr="009C52C4">
        <w:rPr>
          <w:rFonts w:ascii="Times New Roman" w:hAnsi="Times New Roman" w:cs="Times New Roman"/>
          <w:color w:val="auto"/>
          <w:sz w:val="24"/>
          <w:szCs w:val="24"/>
          <w:lang w:eastAsia="en-US"/>
        </w:rPr>
        <w:t xml:space="preserve">od </w:t>
      </w:r>
      <w:r w:rsidRPr="009C52C4">
        <w:rPr>
          <w:rFonts w:ascii="Times New Roman" w:hAnsi="Times New Roman" w:cs="Times New Roman"/>
          <w:color w:val="auto"/>
          <w:sz w:val="24"/>
          <w:szCs w:val="24"/>
          <w:lang w:eastAsia="en-US"/>
        </w:rPr>
        <w:t>2017.</w:t>
      </w:r>
      <w:r w:rsidR="00E60C88" w:rsidRPr="009C52C4">
        <w:rPr>
          <w:rFonts w:ascii="Times New Roman" w:hAnsi="Times New Roman" w:cs="Times New Roman"/>
          <w:color w:val="auto"/>
          <w:sz w:val="24"/>
          <w:szCs w:val="24"/>
          <w:lang w:eastAsia="en-US"/>
        </w:rPr>
        <w:t xml:space="preserve"> do </w:t>
      </w:r>
      <w:r w:rsidRPr="009C52C4">
        <w:rPr>
          <w:rFonts w:ascii="Times New Roman" w:hAnsi="Times New Roman" w:cs="Times New Roman"/>
          <w:color w:val="auto"/>
          <w:sz w:val="24"/>
          <w:szCs w:val="24"/>
          <w:lang w:eastAsia="en-US"/>
        </w:rPr>
        <w:t>20</w:t>
      </w:r>
      <w:r w:rsidR="00E60C88" w:rsidRPr="009C52C4">
        <w:rPr>
          <w:rFonts w:ascii="Times New Roman" w:hAnsi="Times New Roman" w:cs="Times New Roman"/>
          <w:color w:val="auto"/>
          <w:sz w:val="24"/>
          <w:szCs w:val="24"/>
          <w:lang w:eastAsia="en-US"/>
        </w:rPr>
        <w:t>19</w:t>
      </w:r>
      <w:r w:rsidRPr="009C52C4">
        <w:rPr>
          <w:rFonts w:ascii="Times New Roman" w:hAnsi="Times New Roman" w:cs="Times New Roman"/>
          <w:color w:val="auto"/>
          <w:sz w:val="24"/>
          <w:szCs w:val="24"/>
          <w:lang w:eastAsia="en-US"/>
        </w:rPr>
        <w:t xml:space="preserve">. </w:t>
      </w:r>
      <w:r w:rsidR="00E60C88" w:rsidRPr="009C52C4">
        <w:rPr>
          <w:rFonts w:ascii="Times New Roman" w:hAnsi="Times New Roman" w:cs="Times New Roman"/>
          <w:color w:val="auto"/>
          <w:sz w:val="24"/>
          <w:szCs w:val="24"/>
          <w:lang w:eastAsia="en-US"/>
        </w:rPr>
        <w:t xml:space="preserve">godine </w:t>
      </w:r>
      <w:r w:rsidRPr="009C52C4">
        <w:rPr>
          <w:rFonts w:ascii="Times New Roman" w:hAnsi="Times New Roman" w:cs="Times New Roman"/>
          <w:color w:val="auto"/>
          <w:sz w:val="24"/>
          <w:szCs w:val="24"/>
          <w:lang w:eastAsia="en-US"/>
        </w:rPr>
        <w:t xml:space="preserve">iznosi </w:t>
      </w:r>
      <w:r w:rsidR="00E60C88" w:rsidRPr="009C52C4">
        <w:rPr>
          <w:rFonts w:ascii="Times New Roman" w:hAnsi="Times New Roman" w:cs="Times New Roman"/>
          <w:color w:val="auto"/>
          <w:sz w:val="24"/>
          <w:szCs w:val="24"/>
          <w:lang w:eastAsia="en-US"/>
        </w:rPr>
        <w:t xml:space="preserve">oko </w:t>
      </w:r>
      <w:r w:rsidRPr="009C52C4">
        <w:rPr>
          <w:rFonts w:ascii="Times New Roman" w:hAnsi="Times New Roman" w:cs="Times New Roman"/>
          <w:color w:val="auto"/>
          <w:sz w:val="24"/>
          <w:szCs w:val="24"/>
          <w:lang w:eastAsia="en-US"/>
        </w:rPr>
        <w:t>1</w:t>
      </w:r>
      <w:r w:rsidR="00E60C88" w:rsidRPr="009C52C4">
        <w:rPr>
          <w:rFonts w:ascii="Times New Roman" w:hAnsi="Times New Roman" w:cs="Times New Roman"/>
          <w:color w:val="auto"/>
          <w:sz w:val="24"/>
          <w:szCs w:val="24"/>
          <w:lang w:eastAsia="en-US"/>
        </w:rPr>
        <w:t>1</w:t>
      </w:r>
      <w:r w:rsidRPr="009C52C4">
        <w:rPr>
          <w:rFonts w:ascii="Times New Roman" w:hAnsi="Times New Roman" w:cs="Times New Roman"/>
          <w:color w:val="auto"/>
          <w:sz w:val="24"/>
          <w:szCs w:val="24"/>
          <w:lang w:eastAsia="en-US"/>
        </w:rPr>
        <w:t>,</w:t>
      </w:r>
      <w:r w:rsidR="00E60C88" w:rsidRPr="009C52C4">
        <w:rPr>
          <w:rFonts w:ascii="Times New Roman" w:hAnsi="Times New Roman" w:cs="Times New Roman"/>
          <w:color w:val="auto"/>
          <w:sz w:val="24"/>
          <w:szCs w:val="24"/>
          <w:lang w:eastAsia="en-US"/>
        </w:rPr>
        <w:t>5</w:t>
      </w:r>
      <w:r w:rsidRPr="009C52C4">
        <w:rPr>
          <w:rFonts w:ascii="Times New Roman" w:hAnsi="Times New Roman" w:cs="Times New Roman"/>
          <w:color w:val="auto"/>
          <w:sz w:val="24"/>
          <w:szCs w:val="24"/>
          <w:lang w:eastAsia="en-US"/>
        </w:rPr>
        <w:t xml:space="preserve"> milijardi kuna, brojke u sljedećoj tablici pokazuju da bi takav prirast vrijednosti izvršenih radova </w:t>
      </w:r>
      <w:r w:rsidR="00E60C88" w:rsidRPr="009C52C4">
        <w:rPr>
          <w:rFonts w:ascii="Times New Roman" w:hAnsi="Times New Roman" w:cs="Times New Roman"/>
          <w:color w:val="auto"/>
          <w:sz w:val="24"/>
          <w:szCs w:val="24"/>
          <w:lang w:eastAsia="en-US"/>
        </w:rPr>
        <w:t xml:space="preserve">približno </w:t>
      </w:r>
      <w:r w:rsidRPr="009C52C4">
        <w:rPr>
          <w:rFonts w:ascii="Times New Roman" w:hAnsi="Times New Roman" w:cs="Times New Roman"/>
          <w:color w:val="auto"/>
          <w:sz w:val="24"/>
          <w:szCs w:val="24"/>
          <w:lang w:eastAsia="en-US"/>
        </w:rPr>
        <w:t>značio povratak cjelokupnog građevinskog sektora na vrijednosno iskazanu razinu aktivnosti prije krize, 2008. Pritom bi aktivnost u samom zgradarstvu znatno premašila tadašnju razinu aktivnosti koja je bila više orijentirana na izgradnju infrastrukture.</w:t>
      </w:r>
    </w:p>
    <w:p w14:paraId="66AF96BA" w14:textId="77777777" w:rsidR="00853BC8" w:rsidRPr="009C52C4" w:rsidRDefault="00853BC8" w:rsidP="00853BC8">
      <w:pPr>
        <w:rPr>
          <w:rFonts w:ascii="Times New Roman" w:hAnsi="Times New Roman" w:cs="Times New Roman"/>
          <w:b/>
          <w:bCs/>
          <w:color w:val="auto"/>
          <w:sz w:val="24"/>
          <w:szCs w:val="24"/>
          <w:lang w:eastAsia="en-US"/>
        </w:rPr>
      </w:pPr>
      <w:bookmarkStart w:id="226" w:name="_Ref483212159"/>
      <w:bookmarkStart w:id="227" w:name="_Toc483224035"/>
    </w:p>
    <w:p w14:paraId="793645B8" w14:textId="0C2E52E2" w:rsidR="00853BC8" w:rsidRPr="009C52C4" w:rsidRDefault="00462D0B" w:rsidP="00462D0B">
      <w:pPr>
        <w:pStyle w:val="Caption"/>
        <w:rPr>
          <w:rFonts w:ascii="Times New Roman" w:hAnsi="Times New Roman" w:cs="Times New Roman"/>
          <w:b w:val="0"/>
          <w:bCs w:val="0"/>
          <w:sz w:val="24"/>
          <w:szCs w:val="24"/>
          <w:lang w:eastAsia="en-US"/>
        </w:rPr>
      </w:pPr>
      <w:bookmarkStart w:id="228" w:name="_Ref483404837"/>
      <w:bookmarkStart w:id="229" w:name="_Toc2681335"/>
      <w:bookmarkEnd w:id="226"/>
      <w:bookmarkEnd w:id="227"/>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8</w:t>
      </w:r>
      <w:r w:rsidR="00B6149D" w:rsidRPr="009C52C4">
        <w:rPr>
          <w:rFonts w:ascii="Times New Roman" w:hAnsi="Times New Roman" w:cs="Times New Roman"/>
          <w:noProof/>
          <w:sz w:val="24"/>
          <w:szCs w:val="24"/>
        </w:rPr>
        <w:fldChar w:fldCharType="end"/>
      </w:r>
      <w:bookmarkEnd w:id="228"/>
      <w:r w:rsidRPr="009C52C4">
        <w:rPr>
          <w:rFonts w:ascii="Times New Roman" w:hAnsi="Times New Roman" w:cs="Times New Roman"/>
          <w:b w:val="0"/>
          <w:bCs w:val="0"/>
          <w:sz w:val="24"/>
          <w:szCs w:val="24"/>
          <w:lang w:eastAsia="en-US"/>
        </w:rPr>
        <w:t xml:space="preserve"> Vrijednost i struktura građevinskih radova u RH 2010.-2015.</w:t>
      </w:r>
      <w:bookmarkEnd w:id="229"/>
    </w:p>
    <w:tbl>
      <w:tblPr>
        <w:tblStyle w:val="TableGrid"/>
        <w:tblW w:w="9077" w:type="dxa"/>
        <w:tblLayout w:type="fixed"/>
        <w:tblLook w:val="04A0" w:firstRow="1" w:lastRow="0" w:firstColumn="1" w:lastColumn="0" w:noHBand="0" w:noVBand="1"/>
      </w:tblPr>
      <w:tblGrid>
        <w:gridCol w:w="1701"/>
        <w:gridCol w:w="1012"/>
        <w:gridCol w:w="1156"/>
        <w:gridCol w:w="1012"/>
        <w:gridCol w:w="1012"/>
        <w:gridCol w:w="1013"/>
        <w:gridCol w:w="1013"/>
        <w:gridCol w:w="1158"/>
      </w:tblGrid>
      <w:tr w:rsidR="00E60C88" w:rsidRPr="009C52C4" w14:paraId="6BCDF6AB" w14:textId="77777777" w:rsidTr="00A26C32">
        <w:trPr>
          <w:trHeight w:val="850"/>
        </w:trPr>
        <w:tc>
          <w:tcPr>
            <w:tcW w:w="1701" w:type="dxa"/>
            <w:tcBorders>
              <w:bottom w:val="single" w:sz="4" w:space="0" w:color="auto"/>
            </w:tcBorders>
            <w:shd w:val="clear" w:color="auto" w:fill="C2D69B" w:themeFill="accent3" w:themeFillTint="99"/>
            <w:vAlign w:val="center"/>
          </w:tcPr>
          <w:p w14:paraId="321D901E" w14:textId="77777777" w:rsidR="00E60C88" w:rsidRPr="009C52C4" w:rsidRDefault="00E60C88" w:rsidP="00E60C88">
            <w:pPr>
              <w:jc w:val="center"/>
              <w:rPr>
                <w:rFonts w:ascii="Times New Roman" w:hAnsi="Times New Roman"/>
                <w:b/>
                <w:iCs/>
                <w:color w:val="000000"/>
                <w:sz w:val="24"/>
                <w:szCs w:val="24"/>
              </w:rPr>
            </w:pPr>
            <w:r w:rsidRPr="009C52C4">
              <w:rPr>
                <w:rFonts w:ascii="Times New Roman" w:hAnsi="Times New Roman"/>
                <w:b/>
                <w:iCs/>
                <w:color w:val="000000"/>
                <w:sz w:val="24"/>
                <w:szCs w:val="24"/>
              </w:rPr>
              <w:t>mil HRK</w:t>
            </w:r>
          </w:p>
        </w:tc>
        <w:tc>
          <w:tcPr>
            <w:tcW w:w="1012" w:type="dxa"/>
            <w:tcBorders>
              <w:bottom w:val="single" w:sz="4" w:space="0" w:color="auto"/>
            </w:tcBorders>
            <w:shd w:val="clear" w:color="auto" w:fill="C2D69B" w:themeFill="accent3" w:themeFillTint="99"/>
            <w:vAlign w:val="center"/>
          </w:tcPr>
          <w:p w14:paraId="332E9482"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2010.</w:t>
            </w:r>
          </w:p>
        </w:tc>
        <w:tc>
          <w:tcPr>
            <w:tcW w:w="1156" w:type="dxa"/>
            <w:tcBorders>
              <w:bottom w:val="single" w:sz="4" w:space="0" w:color="auto"/>
            </w:tcBorders>
            <w:shd w:val="clear" w:color="auto" w:fill="C2D69B" w:themeFill="accent3" w:themeFillTint="99"/>
            <w:vAlign w:val="center"/>
          </w:tcPr>
          <w:p w14:paraId="1D040F41"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2011.</w:t>
            </w:r>
          </w:p>
        </w:tc>
        <w:tc>
          <w:tcPr>
            <w:tcW w:w="1012" w:type="dxa"/>
            <w:tcBorders>
              <w:bottom w:val="single" w:sz="4" w:space="0" w:color="auto"/>
            </w:tcBorders>
            <w:shd w:val="clear" w:color="auto" w:fill="C2D69B" w:themeFill="accent3" w:themeFillTint="99"/>
            <w:vAlign w:val="center"/>
          </w:tcPr>
          <w:p w14:paraId="3FC9E3CA"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2012.</w:t>
            </w:r>
          </w:p>
        </w:tc>
        <w:tc>
          <w:tcPr>
            <w:tcW w:w="1012" w:type="dxa"/>
            <w:tcBorders>
              <w:bottom w:val="single" w:sz="4" w:space="0" w:color="auto"/>
            </w:tcBorders>
            <w:shd w:val="clear" w:color="auto" w:fill="C2D69B" w:themeFill="accent3" w:themeFillTint="99"/>
            <w:vAlign w:val="center"/>
          </w:tcPr>
          <w:p w14:paraId="3F34988C"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2013.</w:t>
            </w:r>
          </w:p>
        </w:tc>
        <w:tc>
          <w:tcPr>
            <w:tcW w:w="1013" w:type="dxa"/>
            <w:tcBorders>
              <w:bottom w:val="single" w:sz="4" w:space="0" w:color="auto"/>
            </w:tcBorders>
            <w:shd w:val="clear" w:color="auto" w:fill="C2D69B" w:themeFill="accent3" w:themeFillTint="99"/>
            <w:vAlign w:val="center"/>
          </w:tcPr>
          <w:p w14:paraId="5FCCF65E"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2014.</w:t>
            </w:r>
          </w:p>
        </w:tc>
        <w:tc>
          <w:tcPr>
            <w:tcW w:w="1013" w:type="dxa"/>
            <w:tcBorders>
              <w:bottom w:val="single" w:sz="4" w:space="0" w:color="auto"/>
            </w:tcBorders>
            <w:shd w:val="clear" w:color="auto" w:fill="C2D69B" w:themeFill="accent3" w:themeFillTint="99"/>
            <w:vAlign w:val="center"/>
          </w:tcPr>
          <w:p w14:paraId="5514673D" w14:textId="77777777" w:rsidR="00E60C88" w:rsidRPr="009C52C4" w:rsidRDefault="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2015.</w:t>
            </w:r>
          </w:p>
        </w:tc>
        <w:tc>
          <w:tcPr>
            <w:tcW w:w="1155" w:type="dxa"/>
            <w:tcBorders>
              <w:bottom w:val="single" w:sz="4" w:space="0" w:color="auto"/>
            </w:tcBorders>
            <w:shd w:val="clear" w:color="auto" w:fill="C2D69B" w:themeFill="accent3" w:themeFillTint="99"/>
            <w:vAlign w:val="center"/>
          </w:tcPr>
          <w:p w14:paraId="0AC96901" w14:textId="77777777" w:rsidR="00E60C88" w:rsidRPr="009C52C4" w:rsidRDefault="00E60C88" w:rsidP="00E60C88">
            <w:pPr>
              <w:jc w:val="center"/>
              <w:rPr>
                <w:rFonts w:ascii="Times New Roman" w:hAnsi="Times New Roman"/>
                <w:b/>
                <w:bCs/>
                <w:color w:val="000000"/>
                <w:sz w:val="24"/>
                <w:szCs w:val="24"/>
              </w:rPr>
            </w:pPr>
            <w:r w:rsidRPr="009C52C4">
              <w:rPr>
                <w:rFonts w:ascii="Times New Roman" w:hAnsi="Times New Roman"/>
                <w:b/>
                <w:bCs/>
                <w:color w:val="000000"/>
                <w:sz w:val="24"/>
                <w:szCs w:val="24"/>
              </w:rPr>
              <w:t>2015./2014. (indeks)</w:t>
            </w:r>
          </w:p>
        </w:tc>
      </w:tr>
      <w:tr w:rsidR="00E60C88" w:rsidRPr="009C52C4" w14:paraId="712448AC" w14:textId="77777777" w:rsidTr="00A26C32">
        <w:trPr>
          <w:trHeight w:val="278"/>
        </w:trPr>
        <w:tc>
          <w:tcPr>
            <w:tcW w:w="9077" w:type="dxa"/>
            <w:gridSpan w:val="8"/>
            <w:tcBorders>
              <w:bottom w:val="single" w:sz="4" w:space="0" w:color="auto"/>
            </w:tcBorders>
            <w:shd w:val="clear" w:color="auto" w:fill="D6E3BC" w:themeFill="accent3" w:themeFillTint="66"/>
            <w:vAlign w:val="bottom"/>
          </w:tcPr>
          <w:p w14:paraId="577CFDDF" w14:textId="77777777" w:rsidR="00E60C88" w:rsidRPr="009C52C4" w:rsidRDefault="00E60C88" w:rsidP="001D275B">
            <w:pPr>
              <w:rPr>
                <w:rFonts w:ascii="Times New Roman" w:hAnsi="Times New Roman"/>
                <w:sz w:val="24"/>
                <w:szCs w:val="24"/>
                <w:lang w:eastAsia="en-US"/>
              </w:rPr>
            </w:pPr>
            <w:r w:rsidRPr="009C52C4">
              <w:rPr>
                <w:rFonts w:ascii="Times New Roman" w:hAnsi="Times New Roman"/>
                <w:sz w:val="24"/>
                <w:szCs w:val="24"/>
                <w:lang w:eastAsia="en-US"/>
              </w:rPr>
              <w:t>Vrijednost građevinskih radova</w:t>
            </w:r>
          </w:p>
        </w:tc>
      </w:tr>
      <w:tr w:rsidR="00E60C88" w:rsidRPr="009C52C4" w14:paraId="79E0F1AF" w14:textId="77777777" w:rsidTr="00A26C32">
        <w:trPr>
          <w:trHeight w:val="278"/>
        </w:trPr>
        <w:tc>
          <w:tcPr>
            <w:tcW w:w="1701" w:type="dxa"/>
            <w:tcBorders>
              <w:top w:val="single" w:sz="4" w:space="0" w:color="auto"/>
              <w:bottom w:val="single" w:sz="4" w:space="0" w:color="auto"/>
            </w:tcBorders>
            <w:vAlign w:val="bottom"/>
          </w:tcPr>
          <w:p w14:paraId="1804E792" w14:textId="77777777" w:rsidR="00E60C88" w:rsidRPr="009C52C4" w:rsidRDefault="00E60C88">
            <w:pPr>
              <w:rPr>
                <w:rFonts w:ascii="Times New Roman" w:hAnsi="Times New Roman"/>
                <w:color w:val="000000"/>
                <w:sz w:val="24"/>
                <w:szCs w:val="24"/>
              </w:rPr>
            </w:pPr>
            <w:r w:rsidRPr="009C52C4">
              <w:rPr>
                <w:rFonts w:ascii="Times New Roman" w:hAnsi="Times New Roman"/>
                <w:color w:val="000000"/>
                <w:sz w:val="24"/>
                <w:szCs w:val="24"/>
              </w:rPr>
              <w:t>Zgrade</w:t>
            </w:r>
          </w:p>
        </w:tc>
        <w:tc>
          <w:tcPr>
            <w:tcW w:w="1012" w:type="dxa"/>
            <w:tcBorders>
              <w:top w:val="single" w:sz="4" w:space="0" w:color="auto"/>
            </w:tcBorders>
            <w:vAlign w:val="center"/>
          </w:tcPr>
          <w:p w14:paraId="0F3493E6"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9.320</w:t>
            </w:r>
          </w:p>
        </w:tc>
        <w:tc>
          <w:tcPr>
            <w:tcW w:w="1156" w:type="dxa"/>
            <w:tcBorders>
              <w:top w:val="single" w:sz="4" w:space="0" w:color="auto"/>
            </w:tcBorders>
            <w:vAlign w:val="center"/>
          </w:tcPr>
          <w:p w14:paraId="6F1A9972"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8.252</w:t>
            </w:r>
          </w:p>
        </w:tc>
        <w:tc>
          <w:tcPr>
            <w:tcW w:w="1012" w:type="dxa"/>
            <w:tcBorders>
              <w:top w:val="single" w:sz="4" w:space="0" w:color="auto"/>
            </w:tcBorders>
            <w:vAlign w:val="center"/>
          </w:tcPr>
          <w:p w14:paraId="6A7DA1C6"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7.169</w:t>
            </w:r>
          </w:p>
        </w:tc>
        <w:tc>
          <w:tcPr>
            <w:tcW w:w="1012" w:type="dxa"/>
            <w:tcBorders>
              <w:top w:val="single" w:sz="4" w:space="0" w:color="auto"/>
            </w:tcBorders>
            <w:vAlign w:val="center"/>
          </w:tcPr>
          <w:p w14:paraId="70B41067"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6.263</w:t>
            </w:r>
          </w:p>
        </w:tc>
        <w:tc>
          <w:tcPr>
            <w:tcW w:w="1013" w:type="dxa"/>
            <w:tcBorders>
              <w:top w:val="single" w:sz="4" w:space="0" w:color="auto"/>
            </w:tcBorders>
            <w:vAlign w:val="center"/>
          </w:tcPr>
          <w:p w14:paraId="46E639B3"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6.530</w:t>
            </w:r>
          </w:p>
        </w:tc>
        <w:tc>
          <w:tcPr>
            <w:tcW w:w="1013" w:type="dxa"/>
            <w:tcBorders>
              <w:top w:val="single" w:sz="4" w:space="0" w:color="auto"/>
            </w:tcBorders>
            <w:vAlign w:val="center"/>
          </w:tcPr>
          <w:p w14:paraId="094072A7"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7.241</w:t>
            </w:r>
          </w:p>
        </w:tc>
        <w:tc>
          <w:tcPr>
            <w:tcW w:w="1155" w:type="dxa"/>
            <w:tcBorders>
              <w:top w:val="single" w:sz="4" w:space="0" w:color="auto"/>
            </w:tcBorders>
            <w:vAlign w:val="center"/>
          </w:tcPr>
          <w:p w14:paraId="087B365B"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111</w:t>
            </w:r>
          </w:p>
        </w:tc>
      </w:tr>
      <w:tr w:rsidR="00E60C88" w:rsidRPr="009C52C4" w14:paraId="5FCA90DF" w14:textId="77777777" w:rsidTr="00A26C32">
        <w:trPr>
          <w:trHeight w:val="556"/>
        </w:trPr>
        <w:tc>
          <w:tcPr>
            <w:tcW w:w="1701" w:type="dxa"/>
            <w:tcBorders>
              <w:top w:val="single" w:sz="4" w:space="0" w:color="auto"/>
              <w:bottom w:val="single" w:sz="4" w:space="0" w:color="auto"/>
            </w:tcBorders>
            <w:vAlign w:val="bottom"/>
          </w:tcPr>
          <w:p w14:paraId="45A4C25B" w14:textId="77777777" w:rsidR="00E60C88" w:rsidRPr="009C52C4" w:rsidRDefault="00E60C88">
            <w:pPr>
              <w:rPr>
                <w:rFonts w:ascii="Times New Roman" w:hAnsi="Times New Roman"/>
                <w:color w:val="000000"/>
                <w:sz w:val="24"/>
                <w:szCs w:val="24"/>
              </w:rPr>
            </w:pPr>
            <w:r w:rsidRPr="009C52C4">
              <w:rPr>
                <w:rFonts w:ascii="Times New Roman" w:hAnsi="Times New Roman"/>
                <w:color w:val="000000"/>
                <w:sz w:val="24"/>
                <w:szCs w:val="24"/>
              </w:rPr>
              <w:t>Ostale građevine</w:t>
            </w:r>
          </w:p>
        </w:tc>
        <w:tc>
          <w:tcPr>
            <w:tcW w:w="1012" w:type="dxa"/>
            <w:vAlign w:val="center"/>
          </w:tcPr>
          <w:p w14:paraId="5CC0F998"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8.564</w:t>
            </w:r>
          </w:p>
        </w:tc>
        <w:tc>
          <w:tcPr>
            <w:tcW w:w="1156" w:type="dxa"/>
            <w:vAlign w:val="center"/>
          </w:tcPr>
          <w:p w14:paraId="72342291"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8.532</w:t>
            </w:r>
          </w:p>
        </w:tc>
        <w:tc>
          <w:tcPr>
            <w:tcW w:w="1012" w:type="dxa"/>
            <w:vAlign w:val="center"/>
          </w:tcPr>
          <w:p w14:paraId="551F1986"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8.807</w:t>
            </w:r>
          </w:p>
        </w:tc>
        <w:tc>
          <w:tcPr>
            <w:tcW w:w="1012" w:type="dxa"/>
            <w:vAlign w:val="center"/>
          </w:tcPr>
          <w:p w14:paraId="25230578"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8.829</w:t>
            </w:r>
          </w:p>
        </w:tc>
        <w:tc>
          <w:tcPr>
            <w:tcW w:w="1013" w:type="dxa"/>
            <w:vAlign w:val="center"/>
          </w:tcPr>
          <w:p w14:paraId="4B9593A0"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7.561</w:t>
            </w:r>
          </w:p>
        </w:tc>
        <w:tc>
          <w:tcPr>
            <w:tcW w:w="1013" w:type="dxa"/>
            <w:vAlign w:val="center"/>
          </w:tcPr>
          <w:p w14:paraId="444D4275"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7.907</w:t>
            </w:r>
          </w:p>
        </w:tc>
        <w:tc>
          <w:tcPr>
            <w:tcW w:w="1155" w:type="dxa"/>
            <w:vAlign w:val="center"/>
          </w:tcPr>
          <w:p w14:paraId="62FB5A78"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105</w:t>
            </w:r>
          </w:p>
        </w:tc>
      </w:tr>
      <w:tr w:rsidR="00E60C88" w:rsidRPr="009C52C4" w14:paraId="71B7A1CD" w14:textId="77777777" w:rsidTr="00A26C32">
        <w:trPr>
          <w:trHeight w:val="293"/>
        </w:trPr>
        <w:tc>
          <w:tcPr>
            <w:tcW w:w="1701" w:type="dxa"/>
            <w:tcBorders>
              <w:top w:val="single" w:sz="4" w:space="0" w:color="auto"/>
              <w:bottom w:val="single" w:sz="4" w:space="0" w:color="auto"/>
            </w:tcBorders>
            <w:vAlign w:val="bottom"/>
          </w:tcPr>
          <w:p w14:paraId="7924AEB3" w14:textId="77777777" w:rsidR="00E60C88" w:rsidRPr="009C52C4" w:rsidRDefault="00E60C88">
            <w:pPr>
              <w:rPr>
                <w:rFonts w:ascii="Times New Roman" w:hAnsi="Times New Roman"/>
                <w:color w:val="000000"/>
                <w:sz w:val="24"/>
                <w:szCs w:val="24"/>
              </w:rPr>
            </w:pPr>
            <w:r w:rsidRPr="009C52C4">
              <w:rPr>
                <w:rFonts w:ascii="Times New Roman" w:hAnsi="Times New Roman"/>
                <w:color w:val="000000"/>
                <w:sz w:val="24"/>
                <w:szCs w:val="24"/>
              </w:rPr>
              <w:t>UKUPNO</w:t>
            </w:r>
          </w:p>
        </w:tc>
        <w:tc>
          <w:tcPr>
            <w:tcW w:w="1012" w:type="dxa"/>
            <w:tcBorders>
              <w:bottom w:val="single" w:sz="4" w:space="0" w:color="auto"/>
            </w:tcBorders>
            <w:vAlign w:val="center"/>
          </w:tcPr>
          <w:p w14:paraId="0F4EF441"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17.884</w:t>
            </w:r>
          </w:p>
        </w:tc>
        <w:tc>
          <w:tcPr>
            <w:tcW w:w="1156" w:type="dxa"/>
            <w:tcBorders>
              <w:bottom w:val="single" w:sz="4" w:space="0" w:color="auto"/>
            </w:tcBorders>
            <w:vAlign w:val="center"/>
          </w:tcPr>
          <w:p w14:paraId="62FD1264"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16.784</w:t>
            </w:r>
          </w:p>
        </w:tc>
        <w:tc>
          <w:tcPr>
            <w:tcW w:w="1012" w:type="dxa"/>
            <w:tcBorders>
              <w:bottom w:val="single" w:sz="4" w:space="0" w:color="auto"/>
            </w:tcBorders>
            <w:vAlign w:val="center"/>
          </w:tcPr>
          <w:p w14:paraId="21B769AF"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15.976</w:t>
            </w:r>
          </w:p>
        </w:tc>
        <w:tc>
          <w:tcPr>
            <w:tcW w:w="1012" w:type="dxa"/>
            <w:tcBorders>
              <w:bottom w:val="single" w:sz="4" w:space="0" w:color="auto"/>
            </w:tcBorders>
            <w:vAlign w:val="center"/>
          </w:tcPr>
          <w:p w14:paraId="145E32DF"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15.092</w:t>
            </w:r>
          </w:p>
        </w:tc>
        <w:tc>
          <w:tcPr>
            <w:tcW w:w="1013" w:type="dxa"/>
            <w:tcBorders>
              <w:bottom w:val="single" w:sz="4" w:space="0" w:color="auto"/>
            </w:tcBorders>
            <w:vAlign w:val="center"/>
          </w:tcPr>
          <w:p w14:paraId="7CD255BF"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14.091</w:t>
            </w:r>
          </w:p>
        </w:tc>
        <w:tc>
          <w:tcPr>
            <w:tcW w:w="1013" w:type="dxa"/>
            <w:tcBorders>
              <w:bottom w:val="single" w:sz="4" w:space="0" w:color="auto"/>
            </w:tcBorders>
            <w:vAlign w:val="center"/>
          </w:tcPr>
          <w:p w14:paraId="2C307E31"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15.148</w:t>
            </w:r>
          </w:p>
        </w:tc>
        <w:tc>
          <w:tcPr>
            <w:tcW w:w="1155" w:type="dxa"/>
            <w:tcBorders>
              <w:bottom w:val="single" w:sz="4" w:space="0" w:color="auto"/>
            </w:tcBorders>
            <w:vAlign w:val="center"/>
          </w:tcPr>
          <w:p w14:paraId="5B65F6BD"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108</w:t>
            </w:r>
          </w:p>
        </w:tc>
      </w:tr>
      <w:tr w:rsidR="00E60C88" w:rsidRPr="009C52C4" w14:paraId="6D3B6F71" w14:textId="77777777" w:rsidTr="00A26C32">
        <w:trPr>
          <w:trHeight w:val="278"/>
        </w:trPr>
        <w:tc>
          <w:tcPr>
            <w:tcW w:w="9077" w:type="dxa"/>
            <w:gridSpan w:val="8"/>
            <w:tcBorders>
              <w:top w:val="single" w:sz="4" w:space="0" w:color="auto"/>
              <w:bottom w:val="single" w:sz="4" w:space="0" w:color="auto"/>
            </w:tcBorders>
            <w:shd w:val="clear" w:color="auto" w:fill="D6E3BC" w:themeFill="accent3" w:themeFillTint="66"/>
            <w:vAlign w:val="center"/>
          </w:tcPr>
          <w:p w14:paraId="2CC719F4" w14:textId="77777777" w:rsidR="00E60C88" w:rsidRPr="009C52C4" w:rsidRDefault="00E60C88" w:rsidP="001D275B">
            <w:pPr>
              <w:rPr>
                <w:rFonts w:ascii="Times New Roman" w:hAnsi="Times New Roman"/>
                <w:sz w:val="24"/>
                <w:szCs w:val="24"/>
                <w:lang w:eastAsia="en-US"/>
              </w:rPr>
            </w:pPr>
            <w:r w:rsidRPr="009C52C4">
              <w:rPr>
                <w:rFonts w:ascii="Times New Roman" w:hAnsi="Times New Roman"/>
                <w:sz w:val="24"/>
                <w:szCs w:val="24"/>
                <w:lang w:eastAsia="en-US"/>
              </w:rPr>
              <w:t>Struktura građevinskih radova</w:t>
            </w:r>
          </w:p>
        </w:tc>
      </w:tr>
      <w:tr w:rsidR="00E60C88" w:rsidRPr="009C52C4" w14:paraId="57A8ADFF" w14:textId="77777777" w:rsidTr="00A26C32">
        <w:trPr>
          <w:trHeight w:val="278"/>
        </w:trPr>
        <w:tc>
          <w:tcPr>
            <w:tcW w:w="1701" w:type="dxa"/>
            <w:tcBorders>
              <w:top w:val="single" w:sz="4" w:space="0" w:color="auto"/>
              <w:bottom w:val="single" w:sz="4" w:space="0" w:color="auto"/>
            </w:tcBorders>
            <w:vAlign w:val="bottom"/>
          </w:tcPr>
          <w:p w14:paraId="1C2F3F09" w14:textId="77777777" w:rsidR="00E60C88" w:rsidRPr="009C52C4" w:rsidRDefault="00E60C88">
            <w:pPr>
              <w:rPr>
                <w:rFonts w:ascii="Times New Roman" w:hAnsi="Times New Roman"/>
                <w:color w:val="000000"/>
                <w:sz w:val="24"/>
                <w:szCs w:val="24"/>
              </w:rPr>
            </w:pPr>
            <w:r w:rsidRPr="009C52C4">
              <w:rPr>
                <w:rFonts w:ascii="Times New Roman" w:hAnsi="Times New Roman"/>
                <w:color w:val="000000"/>
                <w:sz w:val="24"/>
                <w:szCs w:val="24"/>
              </w:rPr>
              <w:t>Zgrade</w:t>
            </w:r>
          </w:p>
        </w:tc>
        <w:tc>
          <w:tcPr>
            <w:tcW w:w="1012" w:type="dxa"/>
            <w:tcBorders>
              <w:top w:val="single" w:sz="4" w:space="0" w:color="auto"/>
            </w:tcBorders>
            <w:vAlign w:val="center"/>
          </w:tcPr>
          <w:p w14:paraId="5B91EED8"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52,1%</w:t>
            </w:r>
          </w:p>
        </w:tc>
        <w:tc>
          <w:tcPr>
            <w:tcW w:w="1156" w:type="dxa"/>
            <w:tcBorders>
              <w:top w:val="single" w:sz="4" w:space="0" w:color="auto"/>
            </w:tcBorders>
            <w:vAlign w:val="center"/>
          </w:tcPr>
          <w:p w14:paraId="0884C59D"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49,2%</w:t>
            </w:r>
          </w:p>
        </w:tc>
        <w:tc>
          <w:tcPr>
            <w:tcW w:w="1012" w:type="dxa"/>
            <w:tcBorders>
              <w:top w:val="single" w:sz="4" w:space="0" w:color="auto"/>
            </w:tcBorders>
            <w:vAlign w:val="center"/>
          </w:tcPr>
          <w:p w14:paraId="689DD626"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44,9%</w:t>
            </w:r>
          </w:p>
        </w:tc>
        <w:tc>
          <w:tcPr>
            <w:tcW w:w="1012" w:type="dxa"/>
            <w:tcBorders>
              <w:top w:val="single" w:sz="4" w:space="0" w:color="auto"/>
            </w:tcBorders>
            <w:vAlign w:val="center"/>
          </w:tcPr>
          <w:p w14:paraId="0A2D5FE7"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41,5%</w:t>
            </w:r>
          </w:p>
        </w:tc>
        <w:tc>
          <w:tcPr>
            <w:tcW w:w="1013" w:type="dxa"/>
            <w:tcBorders>
              <w:top w:val="single" w:sz="4" w:space="0" w:color="auto"/>
            </w:tcBorders>
            <w:vAlign w:val="center"/>
          </w:tcPr>
          <w:p w14:paraId="09C4CA35"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46,3%</w:t>
            </w:r>
          </w:p>
        </w:tc>
        <w:tc>
          <w:tcPr>
            <w:tcW w:w="1013" w:type="dxa"/>
            <w:tcBorders>
              <w:top w:val="single" w:sz="4" w:space="0" w:color="auto"/>
            </w:tcBorders>
            <w:vAlign w:val="center"/>
          </w:tcPr>
          <w:p w14:paraId="5D8E09F3"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47,8%</w:t>
            </w:r>
          </w:p>
        </w:tc>
        <w:tc>
          <w:tcPr>
            <w:tcW w:w="1155" w:type="dxa"/>
            <w:tcBorders>
              <w:top w:val="single" w:sz="4" w:space="0" w:color="auto"/>
            </w:tcBorders>
            <w:vAlign w:val="center"/>
          </w:tcPr>
          <w:p w14:paraId="2D20A00C" w14:textId="77777777" w:rsidR="00E60C88" w:rsidRPr="009C52C4" w:rsidRDefault="00E60C88" w:rsidP="00921090">
            <w:pPr>
              <w:jc w:val="center"/>
              <w:rPr>
                <w:rFonts w:ascii="Times New Roman" w:hAnsi="Times New Roman"/>
                <w:sz w:val="24"/>
                <w:szCs w:val="24"/>
              </w:rPr>
            </w:pPr>
          </w:p>
        </w:tc>
      </w:tr>
      <w:tr w:rsidR="00E60C88" w:rsidRPr="009C52C4" w14:paraId="3D84009B" w14:textId="77777777" w:rsidTr="00A26C32">
        <w:trPr>
          <w:trHeight w:val="556"/>
        </w:trPr>
        <w:tc>
          <w:tcPr>
            <w:tcW w:w="1701" w:type="dxa"/>
            <w:tcBorders>
              <w:top w:val="single" w:sz="4" w:space="0" w:color="auto"/>
              <w:bottom w:val="single" w:sz="4" w:space="0" w:color="auto"/>
            </w:tcBorders>
            <w:vAlign w:val="bottom"/>
          </w:tcPr>
          <w:p w14:paraId="7D27EDF8" w14:textId="77777777" w:rsidR="00E60C88" w:rsidRPr="009C52C4" w:rsidRDefault="00E60C88">
            <w:pPr>
              <w:rPr>
                <w:rFonts w:ascii="Times New Roman" w:hAnsi="Times New Roman"/>
                <w:color w:val="000000"/>
                <w:sz w:val="24"/>
                <w:szCs w:val="24"/>
              </w:rPr>
            </w:pPr>
            <w:r w:rsidRPr="009C52C4">
              <w:rPr>
                <w:rFonts w:ascii="Times New Roman" w:hAnsi="Times New Roman"/>
                <w:color w:val="000000"/>
                <w:sz w:val="24"/>
                <w:szCs w:val="24"/>
              </w:rPr>
              <w:t>Ostale građevine</w:t>
            </w:r>
          </w:p>
        </w:tc>
        <w:tc>
          <w:tcPr>
            <w:tcW w:w="1012" w:type="dxa"/>
            <w:tcBorders>
              <w:bottom w:val="single" w:sz="4" w:space="0" w:color="auto"/>
            </w:tcBorders>
            <w:vAlign w:val="center"/>
          </w:tcPr>
          <w:p w14:paraId="7FE1373B"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47,9%</w:t>
            </w:r>
          </w:p>
        </w:tc>
        <w:tc>
          <w:tcPr>
            <w:tcW w:w="1156" w:type="dxa"/>
            <w:tcBorders>
              <w:bottom w:val="single" w:sz="4" w:space="0" w:color="auto"/>
            </w:tcBorders>
            <w:vAlign w:val="center"/>
          </w:tcPr>
          <w:p w14:paraId="7E10C140"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50,8%</w:t>
            </w:r>
          </w:p>
        </w:tc>
        <w:tc>
          <w:tcPr>
            <w:tcW w:w="1012" w:type="dxa"/>
            <w:tcBorders>
              <w:bottom w:val="single" w:sz="4" w:space="0" w:color="auto"/>
            </w:tcBorders>
            <w:vAlign w:val="center"/>
          </w:tcPr>
          <w:p w14:paraId="63D2A6F7"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55,1%</w:t>
            </w:r>
          </w:p>
        </w:tc>
        <w:tc>
          <w:tcPr>
            <w:tcW w:w="1012" w:type="dxa"/>
            <w:tcBorders>
              <w:bottom w:val="single" w:sz="4" w:space="0" w:color="auto"/>
            </w:tcBorders>
            <w:vAlign w:val="center"/>
          </w:tcPr>
          <w:p w14:paraId="235C2F2B"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58,5%</w:t>
            </w:r>
          </w:p>
        </w:tc>
        <w:tc>
          <w:tcPr>
            <w:tcW w:w="1013" w:type="dxa"/>
            <w:tcBorders>
              <w:bottom w:val="single" w:sz="4" w:space="0" w:color="auto"/>
            </w:tcBorders>
            <w:vAlign w:val="center"/>
          </w:tcPr>
          <w:p w14:paraId="228A4B81"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53,7%</w:t>
            </w:r>
          </w:p>
        </w:tc>
        <w:tc>
          <w:tcPr>
            <w:tcW w:w="1013" w:type="dxa"/>
            <w:tcBorders>
              <w:bottom w:val="single" w:sz="4" w:space="0" w:color="auto"/>
            </w:tcBorders>
            <w:vAlign w:val="center"/>
          </w:tcPr>
          <w:p w14:paraId="2E7F6743" w14:textId="77777777" w:rsidR="00E60C88" w:rsidRPr="009C52C4" w:rsidRDefault="00E60C88" w:rsidP="00921090">
            <w:pPr>
              <w:jc w:val="center"/>
              <w:rPr>
                <w:rFonts w:ascii="Times New Roman" w:hAnsi="Times New Roman"/>
                <w:color w:val="000000"/>
                <w:sz w:val="24"/>
                <w:szCs w:val="24"/>
              </w:rPr>
            </w:pPr>
            <w:r w:rsidRPr="009C52C4">
              <w:rPr>
                <w:rFonts w:ascii="Times New Roman" w:hAnsi="Times New Roman"/>
                <w:color w:val="000000"/>
                <w:sz w:val="24"/>
                <w:szCs w:val="24"/>
              </w:rPr>
              <w:t>52,2%</w:t>
            </w:r>
          </w:p>
        </w:tc>
        <w:tc>
          <w:tcPr>
            <w:tcW w:w="1155" w:type="dxa"/>
            <w:tcBorders>
              <w:bottom w:val="single" w:sz="4" w:space="0" w:color="auto"/>
            </w:tcBorders>
            <w:vAlign w:val="center"/>
          </w:tcPr>
          <w:p w14:paraId="68A92F2F" w14:textId="77777777" w:rsidR="00E60C88" w:rsidRPr="009C52C4" w:rsidRDefault="00E60C88" w:rsidP="00921090">
            <w:pPr>
              <w:jc w:val="center"/>
              <w:rPr>
                <w:rFonts w:ascii="Times New Roman" w:hAnsi="Times New Roman"/>
                <w:sz w:val="24"/>
                <w:szCs w:val="24"/>
              </w:rPr>
            </w:pPr>
          </w:p>
        </w:tc>
      </w:tr>
    </w:tbl>
    <w:p w14:paraId="0C180EAE"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Izvor: DZS, statistička izvješća Građevinarstvo, razni brojevi</w:t>
      </w:r>
    </w:p>
    <w:p w14:paraId="11F7F0EC" w14:textId="77777777" w:rsidR="00853BC8" w:rsidRPr="009C52C4" w:rsidRDefault="00853BC8" w:rsidP="00853BC8">
      <w:pPr>
        <w:rPr>
          <w:rFonts w:ascii="Times New Roman" w:hAnsi="Times New Roman" w:cs="Times New Roman"/>
          <w:color w:val="auto"/>
          <w:sz w:val="24"/>
          <w:szCs w:val="24"/>
          <w:lang w:eastAsia="en-US"/>
        </w:rPr>
      </w:pPr>
    </w:p>
    <w:p w14:paraId="6FE23AB0" w14:textId="37B5ABC6" w:rsidR="00853BC8" w:rsidRPr="009C52C4" w:rsidRDefault="00E60C8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Treba imati u vidu da su</w:t>
      </w:r>
      <w:r w:rsidR="00853BC8" w:rsidRPr="009C52C4">
        <w:rPr>
          <w:rFonts w:ascii="Times New Roman" w:hAnsi="Times New Roman" w:cs="Times New Roman"/>
          <w:color w:val="auto"/>
          <w:sz w:val="24"/>
          <w:szCs w:val="24"/>
          <w:lang w:eastAsia="en-US"/>
        </w:rPr>
        <w:t xml:space="preserve"> građevinske aktivnosti na zgradama i dalje koncentrirane u novogradnji. Prema podacima u sljedećoj tablici (</w:t>
      </w:r>
      <w:r w:rsidR="00611565" w:rsidRPr="009C52C4">
        <w:rPr>
          <w:rFonts w:ascii="Times New Roman" w:hAnsi="Times New Roman" w:cs="Times New Roman"/>
          <w:color w:val="auto"/>
          <w:sz w:val="24"/>
          <w:szCs w:val="24"/>
          <w:lang w:eastAsia="en-US"/>
        </w:rPr>
        <w:fldChar w:fldCharType="begin"/>
      </w:r>
      <w:r w:rsidR="00611565" w:rsidRPr="009C52C4">
        <w:rPr>
          <w:rFonts w:ascii="Times New Roman" w:hAnsi="Times New Roman" w:cs="Times New Roman"/>
          <w:color w:val="auto"/>
          <w:sz w:val="24"/>
          <w:szCs w:val="24"/>
          <w:lang w:eastAsia="en-US"/>
        </w:rPr>
        <w:instrText xml:space="preserve"> REF _Ref483404862 \h </w:instrText>
      </w:r>
      <w:r w:rsidR="00873572" w:rsidRPr="009C52C4">
        <w:rPr>
          <w:rFonts w:ascii="Times New Roman" w:hAnsi="Times New Roman" w:cs="Times New Roman"/>
          <w:color w:val="auto"/>
          <w:sz w:val="24"/>
          <w:szCs w:val="24"/>
          <w:lang w:eastAsia="en-US"/>
        </w:rPr>
        <w:instrText xml:space="preserve"> \* MERGEFORMAT </w:instrText>
      </w:r>
      <w:r w:rsidR="00611565" w:rsidRPr="009C52C4">
        <w:rPr>
          <w:rFonts w:ascii="Times New Roman" w:hAnsi="Times New Roman" w:cs="Times New Roman"/>
          <w:color w:val="auto"/>
          <w:sz w:val="24"/>
          <w:szCs w:val="24"/>
          <w:lang w:eastAsia="en-US"/>
        </w:rPr>
      </w:r>
      <w:r w:rsidR="00611565"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9</w:t>
      </w:r>
      <w:r w:rsidR="00611565" w:rsidRPr="009C52C4">
        <w:rPr>
          <w:rFonts w:ascii="Times New Roman" w:hAnsi="Times New Roman" w:cs="Times New Roman"/>
          <w:color w:val="auto"/>
          <w:sz w:val="24"/>
          <w:szCs w:val="24"/>
          <w:lang w:eastAsia="en-US"/>
        </w:rPr>
        <w:fldChar w:fldCharType="end"/>
      </w:r>
      <w:r w:rsidR="00853BC8" w:rsidRPr="009C52C4">
        <w:rPr>
          <w:rFonts w:ascii="Times New Roman" w:hAnsi="Times New Roman" w:cs="Times New Roman"/>
          <w:color w:val="auto"/>
          <w:sz w:val="24"/>
          <w:szCs w:val="24"/>
          <w:lang w:eastAsia="en-US"/>
        </w:rPr>
        <w:t xml:space="preserve">), vrijednost izvršenih radova u novogradnji još uvijek je oko 70% veća od vrijednosti izvršenih radova u rekonstrukcijama, adaptacijama i velikim popravcima. Doduše, aktivnost u tom dijelu raste brže nego u </w:t>
      </w:r>
      <w:r w:rsidR="00853BC8" w:rsidRPr="009C52C4">
        <w:rPr>
          <w:rFonts w:ascii="Times New Roman" w:hAnsi="Times New Roman" w:cs="Times New Roman"/>
          <w:color w:val="auto"/>
          <w:sz w:val="24"/>
          <w:szCs w:val="24"/>
          <w:lang w:eastAsia="en-US"/>
        </w:rPr>
        <w:lastRenderedPageBreak/>
        <w:t>novogradnjama zadnjih godina, što je prirodna posljedica smanjenja broja i starenja stanovništva (smanjenje potražnje za novogradnjama), kao i početka programa obnove stambenog fonda. Međutim, kako se gotovo cjelokupan iznos novih ulaganja predviđen programom obnove nacionalnog fonda stambenih zgrada odnosi na rekonstrukcije, adaptacije i velike popravke, u ovom segmentu treba doći do približno peterostrukog povećanja aktivnosti u dugom roku. Radi se o veoma velikoj mobilizaciji resursa koja se neće dogoditi ako bude prepuštena spontanim tržišnim procesima. Neophodne su koordinirane mjere koje će na strani potražnje stvoriti poticaje za ulaganja u obnovu zgrada, a na strani ponude poticaje za premještanje resursa u građevinske aktivnosti u zgradarstvu.</w:t>
      </w:r>
    </w:p>
    <w:p w14:paraId="6BBF91DA" w14:textId="77777777" w:rsidR="00A26C32" w:rsidRPr="009C52C4" w:rsidRDefault="00A26C32" w:rsidP="00853BC8">
      <w:pPr>
        <w:rPr>
          <w:rFonts w:ascii="Times New Roman" w:hAnsi="Times New Roman" w:cs="Times New Roman"/>
          <w:color w:val="auto"/>
          <w:sz w:val="24"/>
          <w:szCs w:val="24"/>
          <w:lang w:eastAsia="en-US"/>
        </w:rPr>
      </w:pPr>
    </w:p>
    <w:p w14:paraId="54F2718A" w14:textId="0A2C57F3" w:rsidR="00517C27" w:rsidRPr="009C52C4" w:rsidRDefault="00611565" w:rsidP="00517C27">
      <w:pPr>
        <w:pStyle w:val="Caption"/>
        <w:rPr>
          <w:rFonts w:ascii="Times New Roman" w:hAnsi="Times New Roman" w:cs="Times New Roman"/>
          <w:b w:val="0"/>
          <w:bCs w:val="0"/>
          <w:sz w:val="24"/>
          <w:szCs w:val="24"/>
          <w:lang w:eastAsia="en-US"/>
        </w:rPr>
      </w:pPr>
      <w:bookmarkStart w:id="230" w:name="_Ref483404862"/>
      <w:bookmarkStart w:id="231" w:name="_Toc2681336"/>
      <w:r w:rsidRPr="009C52C4">
        <w:rPr>
          <w:rFonts w:ascii="Times New Roman" w:hAnsi="Times New Roman" w:cs="Times New Roman"/>
          <w:sz w:val="24"/>
          <w:szCs w:val="24"/>
        </w:rPr>
        <w:t xml:space="preserve">Tablica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07694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Tablica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9</w:t>
      </w:r>
      <w:r w:rsidR="00B6149D" w:rsidRPr="009C52C4">
        <w:rPr>
          <w:rFonts w:ascii="Times New Roman" w:hAnsi="Times New Roman" w:cs="Times New Roman"/>
          <w:noProof/>
          <w:sz w:val="24"/>
          <w:szCs w:val="24"/>
        </w:rPr>
        <w:fldChar w:fldCharType="end"/>
      </w:r>
      <w:bookmarkEnd w:id="230"/>
      <w:r w:rsidRPr="009C52C4">
        <w:rPr>
          <w:rFonts w:ascii="Times New Roman" w:hAnsi="Times New Roman" w:cs="Times New Roman"/>
          <w:bCs w:val="0"/>
          <w:sz w:val="24"/>
          <w:szCs w:val="24"/>
          <w:lang w:eastAsia="en-US"/>
        </w:rPr>
        <w:t xml:space="preserve"> </w:t>
      </w:r>
      <w:r w:rsidRPr="009C52C4">
        <w:rPr>
          <w:rFonts w:ascii="Times New Roman" w:hAnsi="Times New Roman" w:cs="Times New Roman"/>
          <w:b w:val="0"/>
          <w:bCs w:val="0"/>
          <w:sz w:val="24"/>
          <w:szCs w:val="24"/>
          <w:lang w:eastAsia="en-US"/>
        </w:rPr>
        <w:t>Vrijednost izvršenih građevinskih radova na zgradama 2013.-2015., pravne osobe s više od pet zaposlenih</w:t>
      </w:r>
      <w:bookmarkEnd w:id="231"/>
    </w:p>
    <w:tbl>
      <w:tblPr>
        <w:tblStyle w:val="TableGrid"/>
        <w:tblW w:w="9062" w:type="dxa"/>
        <w:tblLayout w:type="fixed"/>
        <w:tblLook w:val="04A0" w:firstRow="1" w:lastRow="0" w:firstColumn="1" w:lastColumn="0" w:noHBand="0" w:noVBand="1"/>
      </w:tblPr>
      <w:tblGrid>
        <w:gridCol w:w="3552"/>
        <w:gridCol w:w="1272"/>
        <w:gridCol w:w="1270"/>
        <w:gridCol w:w="1272"/>
        <w:gridCol w:w="1696"/>
      </w:tblGrid>
      <w:tr w:rsidR="00517C27" w:rsidRPr="009C52C4" w14:paraId="55939999" w14:textId="77777777" w:rsidTr="00A26C32">
        <w:trPr>
          <w:trHeight w:val="957"/>
        </w:trPr>
        <w:tc>
          <w:tcPr>
            <w:tcW w:w="3552" w:type="dxa"/>
            <w:tcBorders>
              <w:bottom w:val="single" w:sz="4" w:space="0" w:color="auto"/>
            </w:tcBorders>
            <w:shd w:val="clear" w:color="auto" w:fill="C2D69B" w:themeFill="accent3" w:themeFillTint="99"/>
            <w:vAlign w:val="center"/>
          </w:tcPr>
          <w:p w14:paraId="73FAA1DB" w14:textId="77777777" w:rsidR="00517C27" w:rsidRPr="009C52C4" w:rsidRDefault="00517C27" w:rsidP="001D275B">
            <w:pPr>
              <w:jc w:val="center"/>
              <w:rPr>
                <w:rFonts w:ascii="Times New Roman" w:hAnsi="Times New Roman"/>
                <w:b/>
                <w:iCs/>
                <w:color w:val="000000"/>
                <w:sz w:val="24"/>
                <w:szCs w:val="24"/>
              </w:rPr>
            </w:pPr>
            <w:r w:rsidRPr="009C52C4">
              <w:rPr>
                <w:rFonts w:ascii="Times New Roman" w:hAnsi="Times New Roman"/>
                <w:b/>
                <w:iCs/>
                <w:color w:val="000000"/>
                <w:sz w:val="24"/>
                <w:szCs w:val="24"/>
              </w:rPr>
              <w:t>mil HRK</w:t>
            </w:r>
          </w:p>
        </w:tc>
        <w:tc>
          <w:tcPr>
            <w:tcW w:w="1272" w:type="dxa"/>
            <w:tcBorders>
              <w:bottom w:val="single" w:sz="4" w:space="0" w:color="auto"/>
            </w:tcBorders>
            <w:shd w:val="clear" w:color="auto" w:fill="C2D69B" w:themeFill="accent3" w:themeFillTint="99"/>
            <w:vAlign w:val="center"/>
          </w:tcPr>
          <w:p w14:paraId="71204FE2" w14:textId="77777777" w:rsidR="00517C27" w:rsidRPr="009C52C4" w:rsidRDefault="00517C27" w:rsidP="001D275B">
            <w:pPr>
              <w:jc w:val="center"/>
              <w:rPr>
                <w:rFonts w:ascii="Times New Roman" w:hAnsi="Times New Roman"/>
                <w:b/>
                <w:bCs/>
                <w:color w:val="000000"/>
                <w:sz w:val="24"/>
                <w:szCs w:val="24"/>
              </w:rPr>
            </w:pPr>
            <w:r w:rsidRPr="009C52C4">
              <w:rPr>
                <w:rFonts w:ascii="Times New Roman" w:hAnsi="Times New Roman"/>
                <w:b/>
                <w:bCs/>
                <w:color w:val="000000"/>
                <w:sz w:val="24"/>
                <w:szCs w:val="24"/>
              </w:rPr>
              <w:t>2013.</w:t>
            </w:r>
          </w:p>
        </w:tc>
        <w:tc>
          <w:tcPr>
            <w:tcW w:w="1270" w:type="dxa"/>
            <w:tcBorders>
              <w:bottom w:val="single" w:sz="4" w:space="0" w:color="auto"/>
            </w:tcBorders>
            <w:shd w:val="clear" w:color="auto" w:fill="C2D69B" w:themeFill="accent3" w:themeFillTint="99"/>
            <w:vAlign w:val="center"/>
          </w:tcPr>
          <w:p w14:paraId="7FA57EB8" w14:textId="77777777" w:rsidR="00517C27" w:rsidRPr="009C52C4" w:rsidRDefault="00517C27" w:rsidP="001D275B">
            <w:pPr>
              <w:jc w:val="center"/>
              <w:rPr>
                <w:rFonts w:ascii="Times New Roman" w:hAnsi="Times New Roman"/>
                <w:b/>
                <w:bCs/>
                <w:color w:val="000000"/>
                <w:sz w:val="24"/>
                <w:szCs w:val="24"/>
              </w:rPr>
            </w:pPr>
            <w:r w:rsidRPr="009C52C4">
              <w:rPr>
                <w:rFonts w:ascii="Times New Roman" w:hAnsi="Times New Roman"/>
                <w:b/>
                <w:bCs/>
                <w:color w:val="000000"/>
                <w:sz w:val="24"/>
                <w:szCs w:val="24"/>
              </w:rPr>
              <w:t>2014.</w:t>
            </w:r>
          </w:p>
        </w:tc>
        <w:tc>
          <w:tcPr>
            <w:tcW w:w="1272" w:type="dxa"/>
            <w:tcBorders>
              <w:bottom w:val="single" w:sz="4" w:space="0" w:color="auto"/>
            </w:tcBorders>
            <w:shd w:val="clear" w:color="auto" w:fill="C2D69B" w:themeFill="accent3" w:themeFillTint="99"/>
            <w:vAlign w:val="center"/>
          </w:tcPr>
          <w:p w14:paraId="0AFB4F29" w14:textId="77777777" w:rsidR="00517C27" w:rsidRPr="009C52C4" w:rsidRDefault="00517C27" w:rsidP="001D275B">
            <w:pPr>
              <w:jc w:val="center"/>
              <w:rPr>
                <w:rFonts w:ascii="Times New Roman" w:hAnsi="Times New Roman"/>
                <w:b/>
                <w:bCs/>
                <w:color w:val="000000"/>
                <w:sz w:val="24"/>
                <w:szCs w:val="24"/>
              </w:rPr>
            </w:pPr>
            <w:r w:rsidRPr="009C52C4">
              <w:rPr>
                <w:rFonts w:ascii="Times New Roman" w:hAnsi="Times New Roman"/>
                <w:b/>
                <w:bCs/>
                <w:color w:val="000000"/>
                <w:sz w:val="24"/>
                <w:szCs w:val="24"/>
              </w:rPr>
              <w:t>2015.</w:t>
            </w:r>
          </w:p>
        </w:tc>
        <w:tc>
          <w:tcPr>
            <w:tcW w:w="1695" w:type="dxa"/>
            <w:tcBorders>
              <w:bottom w:val="single" w:sz="4" w:space="0" w:color="auto"/>
            </w:tcBorders>
            <w:shd w:val="clear" w:color="auto" w:fill="C2D69B" w:themeFill="accent3" w:themeFillTint="99"/>
            <w:vAlign w:val="center"/>
          </w:tcPr>
          <w:p w14:paraId="6618842D" w14:textId="77777777" w:rsidR="00517C27" w:rsidRPr="009C52C4" w:rsidRDefault="00517C27" w:rsidP="001D275B">
            <w:pPr>
              <w:jc w:val="center"/>
              <w:rPr>
                <w:rFonts w:ascii="Times New Roman" w:hAnsi="Times New Roman"/>
                <w:b/>
                <w:bCs/>
                <w:color w:val="000000"/>
                <w:sz w:val="24"/>
                <w:szCs w:val="24"/>
              </w:rPr>
            </w:pPr>
            <w:r w:rsidRPr="009C52C4">
              <w:rPr>
                <w:rFonts w:ascii="Times New Roman" w:hAnsi="Times New Roman"/>
                <w:b/>
                <w:bCs/>
                <w:color w:val="000000"/>
                <w:sz w:val="24"/>
                <w:szCs w:val="24"/>
              </w:rPr>
              <w:t>2015./2014. (indeks)</w:t>
            </w:r>
          </w:p>
        </w:tc>
      </w:tr>
      <w:tr w:rsidR="00517C27" w:rsidRPr="009C52C4" w14:paraId="183918FE" w14:textId="77777777" w:rsidTr="00A26C32">
        <w:trPr>
          <w:trHeight w:val="313"/>
        </w:trPr>
        <w:tc>
          <w:tcPr>
            <w:tcW w:w="9062" w:type="dxa"/>
            <w:gridSpan w:val="5"/>
            <w:tcBorders>
              <w:bottom w:val="single" w:sz="4" w:space="0" w:color="auto"/>
            </w:tcBorders>
            <w:shd w:val="clear" w:color="auto" w:fill="D6E3BC" w:themeFill="accent3" w:themeFillTint="66"/>
            <w:vAlign w:val="bottom"/>
          </w:tcPr>
          <w:p w14:paraId="1A7867F6" w14:textId="77777777" w:rsidR="00517C27" w:rsidRPr="009C52C4" w:rsidRDefault="00517C27" w:rsidP="001D275B">
            <w:pPr>
              <w:rPr>
                <w:rFonts w:ascii="Times New Roman" w:hAnsi="Times New Roman"/>
                <w:sz w:val="24"/>
                <w:szCs w:val="24"/>
                <w:lang w:eastAsia="en-US"/>
              </w:rPr>
            </w:pPr>
            <w:r w:rsidRPr="009C52C4">
              <w:rPr>
                <w:rFonts w:ascii="Times New Roman" w:hAnsi="Times New Roman"/>
                <w:sz w:val="24"/>
                <w:szCs w:val="24"/>
                <w:lang w:eastAsia="en-US"/>
              </w:rPr>
              <w:t>Vrijednost građevinskih radova</w:t>
            </w:r>
          </w:p>
        </w:tc>
      </w:tr>
      <w:tr w:rsidR="00517C27" w:rsidRPr="009C52C4" w14:paraId="53C31C6C" w14:textId="77777777" w:rsidTr="00A26C32">
        <w:trPr>
          <w:trHeight w:val="313"/>
        </w:trPr>
        <w:tc>
          <w:tcPr>
            <w:tcW w:w="3552" w:type="dxa"/>
            <w:tcBorders>
              <w:top w:val="single" w:sz="4" w:space="0" w:color="auto"/>
              <w:bottom w:val="single" w:sz="4" w:space="0" w:color="auto"/>
            </w:tcBorders>
            <w:vAlign w:val="bottom"/>
          </w:tcPr>
          <w:p w14:paraId="61808CD5" w14:textId="77777777" w:rsidR="00517C27" w:rsidRPr="009C52C4" w:rsidRDefault="00517C27">
            <w:pPr>
              <w:rPr>
                <w:rFonts w:ascii="Times New Roman" w:hAnsi="Times New Roman"/>
                <w:color w:val="000000"/>
                <w:sz w:val="24"/>
                <w:szCs w:val="24"/>
              </w:rPr>
            </w:pPr>
            <w:r w:rsidRPr="009C52C4">
              <w:rPr>
                <w:rFonts w:ascii="Times New Roman" w:hAnsi="Times New Roman"/>
                <w:color w:val="000000"/>
                <w:sz w:val="24"/>
                <w:szCs w:val="24"/>
              </w:rPr>
              <w:t>Novogradnja</w:t>
            </w:r>
          </w:p>
        </w:tc>
        <w:tc>
          <w:tcPr>
            <w:tcW w:w="1272" w:type="dxa"/>
            <w:tcBorders>
              <w:top w:val="single" w:sz="4" w:space="0" w:color="auto"/>
            </w:tcBorders>
            <w:vAlign w:val="center"/>
          </w:tcPr>
          <w:p w14:paraId="1BA7A8F0"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3.944</w:t>
            </w:r>
          </w:p>
        </w:tc>
        <w:tc>
          <w:tcPr>
            <w:tcW w:w="1270" w:type="dxa"/>
            <w:tcBorders>
              <w:top w:val="single" w:sz="4" w:space="0" w:color="auto"/>
            </w:tcBorders>
            <w:vAlign w:val="center"/>
          </w:tcPr>
          <w:p w14:paraId="0A08C5B3"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3.960</w:t>
            </w:r>
          </w:p>
        </w:tc>
        <w:tc>
          <w:tcPr>
            <w:tcW w:w="1272" w:type="dxa"/>
            <w:tcBorders>
              <w:top w:val="single" w:sz="4" w:space="0" w:color="auto"/>
            </w:tcBorders>
            <w:vAlign w:val="center"/>
          </w:tcPr>
          <w:p w14:paraId="0D951496"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4.287</w:t>
            </w:r>
          </w:p>
        </w:tc>
        <w:tc>
          <w:tcPr>
            <w:tcW w:w="1695" w:type="dxa"/>
            <w:tcBorders>
              <w:top w:val="single" w:sz="4" w:space="0" w:color="auto"/>
            </w:tcBorders>
            <w:vAlign w:val="center"/>
          </w:tcPr>
          <w:p w14:paraId="2B436695"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108</w:t>
            </w:r>
          </w:p>
        </w:tc>
      </w:tr>
      <w:tr w:rsidR="00517C27" w:rsidRPr="009C52C4" w14:paraId="479BCC54" w14:textId="77777777" w:rsidTr="00A26C32">
        <w:trPr>
          <w:trHeight w:val="957"/>
        </w:trPr>
        <w:tc>
          <w:tcPr>
            <w:tcW w:w="3552" w:type="dxa"/>
            <w:tcBorders>
              <w:top w:val="single" w:sz="4" w:space="0" w:color="auto"/>
              <w:bottom w:val="single" w:sz="4" w:space="0" w:color="auto"/>
            </w:tcBorders>
            <w:vAlign w:val="bottom"/>
          </w:tcPr>
          <w:p w14:paraId="7F264135" w14:textId="77777777" w:rsidR="00517C27" w:rsidRPr="009C52C4" w:rsidRDefault="00517C27">
            <w:pPr>
              <w:rPr>
                <w:rFonts w:ascii="Times New Roman" w:hAnsi="Times New Roman"/>
                <w:color w:val="000000"/>
                <w:sz w:val="24"/>
                <w:szCs w:val="24"/>
              </w:rPr>
            </w:pPr>
            <w:r w:rsidRPr="009C52C4">
              <w:rPr>
                <w:rFonts w:ascii="Times New Roman" w:hAnsi="Times New Roman"/>
                <w:color w:val="000000"/>
                <w:sz w:val="24"/>
                <w:szCs w:val="24"/>
              </w:rPr>
              <w:t>Rekonstrukcije, adaptacije i veliki popravci</w:t>
            </w:r>
          </w:p>
        </w:tc>
        <w:tc>
          <w:tcPr>
            <w:tcW w:w="1272" w:type="dxa"/>
            <w:vAlign w:val="center"/>
          </w:tcPr>
          <w:p w14:paraId="79A0969F"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1.878</w:t>
            </w:r>
          </w:p>
        </w:tc>
        <w:tc>
          <w:tcPr>
            <w:tcW w:w="1270" w:type="dxa"/>
            <w:vAlign w:val="center"/>
          </w:tcPr>
          <w:p w14:paraId="20BF4215"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2.152</w:t>
            </w:r>
          </w:p>
        </w:tc>
        <w:tc>
          <w:tcPr>
            <w:tcW w:w="1272" w:type="dxa"/>
            <w:vAlign w:val="center"/>
          </w:tcPr>
          <w:p w14:paraId="6456DDE4"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2.510</w:t>
            </w:r>
          </w:p>
        </w:tc>
        <w:tc>
          <w:tcPr>
            <w:tcW w:w="1695" w:type="dxa"/>
            <w:vAlign w:val="center"/>
          </w:tcPr>
          <w:p w14:paraId="738B71DB"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117</w:t>
            </w:r>
          </w:p>
        </w:tc>
      </w:tr>
      <w:tr w:rsidR="00517C27" w:rsidRPr="009C52C4" w14:paraId="70CED645" w14:textId="77777777" w:rsidTr="00A26C32">
        <w:trPr>
          <w:trHeight w:val="626"/>
        </w:trPr>
        <w:tc>
          <w:tcPr>
            <w:tcW w:w="3552" w:type="dxa"/>
            <w:tcBorders>
              <w:top w:val="single" w:sz="4" w:space="0" w:color="auto"/>
              <w:bottom w:val="single" w:sz="4" w:space="0" w:color="auto"/>
            </w:tcBorders>
            <w:vAlign w:val="bottom"/>
          </w:tcPr>
          <w:p w14:paraId="3EFA9067" w14:textId="77777777" w:rsidR="00517C27" w:rsidRPr="009C52C4" w:rsidRDefault="00517C27">
            <w:pPr>
              <w:rPr>
                <w:rFonts w:ascii="Times New Roman" w:hAnsi="Times New Roman"/>
                <w:color w:val="000000"/>
                <w:sz w:val="24"/>
                <w:szCs w:val="24"/>
              </w:rPr>
            </w:pPr>
            <w:r w:rsidRPr="009C52C4">
              <w:rPr>
                <w:rFonts w:ascii="Times New Roman" w:hAnsi="Times New Roman"/>
                <w:color w:val="000000"/>
                <w:sz w:val="24"/>
                <w:szCs w:val="24"/>
              </w:rPr>
              <w:t>Održavanje i manji popravci</w:t>
            </w:r>
          </w:p>
        </w:tc>
        <w:tc>
          <w:tcPr>
            <w:tcW w:w="1272" w:type="dxa"/>
            <w:tcBorders>
              <w:bottom w:val="single" w:sz="4" w:space="0" w:color="auto"/>
            </w:tcBorders>
            <w:vAlign w:val="center"/>
          </w:tcPr>
          <w:p w14:paraId="2D8289C0"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439</w:t>
            </w:r>
          </w:p>
        </w:tc>
        <w:tc>
          <w:tcPr>
            <w:tcW w:w="1270" w:type="dxa"/>
            <w:tcBorders>
              <w:bottom w:val="single" w:sz="4" w:space="0" w:color="auto"/>
            </w:tcBorders>
            <w:vAlign w:val="center"/>
          </w:tcPr>
          <w:p w14:paraId="03EB456C"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418</w:t>
            </w:r>
          </w:p>
        </w:tc>
        <w:tc>
          <w:tcPr>
            <w:tcW w:w="1272" w:type="dxa"/>
            <w:tcBorders>
              <w:bottom w:val="single" w:sz="4" w:space="0" w:color="auto"/>
            </w:tcBorders>
            <w:vAlign w:val="center"/>
          </w:tcPr>
          <w:p w14:paraId="73D2FC53"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444</w:t>
            </w:r>
          </w:p>
        </w:tc>
        <w:tc>
          <w:tcPr>
            <w:tcW w:w="1695" w:type="dxa"/>
            <w:tcBorders>
              <w:bottom w:val="single" w:sz="4" w:space="0" w:color="auto"/>
            </w:tcBorders>
            <w:vAlign w:val="center"/>
          </w:tcPr>
          <w:p w14:paraId="0026EFEC" w14:textId="77777777" w:rsidR="00517C27" w:rsidRPr="009C52C4" w:rsidRDefault="00517C27" w:rsidP="00517C27">
            <w:pPr>
              <w:jc w:val="center"/>
              <w:rPr>
                <w:rFonts w:ascii="Times New Roman" w:hAnsi="Times New Roman"/>
                <w:color w:val="000000"/>
                <w:sz w:val="24"/>
                <w:szCs w:val="24"/>
              </w:rPr>
            </w:pPr>
            <w:r w:rsidRPr="009C52C4">
              <w:rPr>
                <w:rFonts w:ascii="Times New Roman" w:hAnsi="Times New Roman"/>
                <w:color w:val="000000"/>
                <w:sz w:val="24"/>
                <w:szCs w:val="24"/>
              </w:rPr>
              <w:t>106</w:t>
            </w:r>
          </w:p>
        </w:tc>
      </w:tr>
    </w:tbl>
    <w:p w14:paraId="49FF1558"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Izvor: DZS, SI 1563, Građevinarstvo u 2015.</w:t>
      </w:r>
    </w:p>
    <w:p w14:paraId="59E2B7FE" w14:textId="77777777" w:rsidR="00853BC8" w:rsidRPr="009C52C4" w:rsidRDefault="00853BC8" w:rsidP="00853BC8">
      <w:pPr>
        <w:rPr>
          <w:rFonts w:ascii="Times New Roman" w:hAnsi="Times New Roman" w:cs="Times New Roman"/>
          <w:color w:val="auto"/>
          <w:sz w:val="24"/>
          <w:szCs w:val="24"/>
          <w:lang w:eastAsia="en-US"/>
        </w:rPr>
      </w:pPr>
    </w:p>
    <w:p w14:paraId="69B9821C" w14:textId="77777777" w:rsidR="00A7635A" w:rsidRPr="009C52C4" w:rsidRDefault="00A7635A">
      <w:pPr>
        <w:rPr>
          <w:rFonts w:ascii="Times New Roman" w:hAnsi="Times New Roman" w:cs="Times New Roman"/>
          <w:b/>
          <w:sz w:val="24"/>
          <w:szCs w:val="24"/>
        </w:rPr>
      </w:pPr>
      <w:bookmarkStart w:id="232" w:name="_Toc483223936"/>
      <w:r w:rsidRPr="009C52C4">
        <w:rPr>
          <w:rFonts w:ascii="Times New Roman" w:hAnsi="Times New Roman" w:cs="Times New Roman"/>
          <w:sz w:val="24"/>
          <w:szCs w:val="24"/>
        </w:rPr>
        <w:br w:type="page"/>
      </w:r>
    </w:p>
    <w:p w14:paraId="0CC14929" w14:textId="77777777" w:rsidR="004E6F69" w:rsidRPr="009C52C4" w:rsidRDefault="00853BC8" w:rsidP="004F09F1">
      <w:pPr>
        <w:pStyle w:val="Heading2"/>
        <w:numPr>
          <w:ilvl w:val="1"/>
          <w:numId w:val="39"/>
        </w:numPr>
        <w:spacing w:line="276" w:lineRule="auto"/>
        <w:ind w:left="142" w:firstLine="142"/>
        <w:rPr>
          <w:rFonts w:ascii="Times New Roman" w:hAnsi="Times New Roman" w:cs="Times New Roman"/>
          <w:sz w:val="24"/>
          <w:szCs w:val="24"/>
        </w:rPr>
      </w:pPr>
      <w:bookmarkStart w:id="233" w:name="_Toc3277938"/>
      <w:r w:rsidRPr="009C52C4">
        <w:rPr>
          <w:rFonts w:ascii="Times New Roman" w:hAnsi="Times New Roman" w:cs="Times New Roman"/>
          <w:sz w:val="24"/>
          <w:szCs w:val="24"/>
        </w:rPr>
        <w:lastRenderedPageBreak/>
        <w:t xml:space="preserve">Ostale koristi od provedbe </w:t>
      </w:r>
      <w:r w:rsidR="00A7635A" w:rsidRPr="009C52C4">
        <w:rPr>
          <w:rFonts w:ascii="Times New Roman" w:hAnsi="Times New Roman" w:cs="Times New Roman"/>
          <w:sz w:val="24"/>
          <w:szCs w:val="24"/>
        </w:rPr>
        <w:t>Dugoročne s</w:t>
      </w:r>
      <w:r w:rsidRPr="009C52C4">
        <w:rPr>
          <w:rFonts w:ascii="Times New Roman" w:hAnsi="Times New Roman" w:cs="Times New Roman"/>
          <w:sz w:val="24"/>
          <w:szCs w:val="24"/>
        </w:rPr>
        <w:t xml:space="preserve">trategije </w:t>
      </w:r>
      <w:r w:rsidR="00D11E23" w:rsidRPr="009C52C4">
        <w:rPr>
          <w:rFonts w:ascii="Times New Roman" w:hAnsi="Times New Roman" w:cs="Times New Roman"/>
          <w:sz w:val="24"/>
          <w:szCs w:val="24"/>
        </w:rPr>
        <w:t xml:space="preserve">za </w:t>
      </w:r>
      <w:r w:rsidRPr="009C52C4">
        <w:rPr>
          <w:rFonts w:ascii="Times New Roman" w:hAnsi="Times New Roman" w:cs="Times New Roman"/>
          <w:sz w:val="24"/>
          <w:szCs w:val="24"/>
        </w:rPr>
        <w:t>poticanja obnove nacionalnog fonda zgrada</w:t>
      </w:r>
      <w:bookmarkEnd w:id="232"/>
      <w:r w:rsidR="00A7635A" w:rsidRPr="009C52C4">
        <w:rPr>
          <w:rFonts w:ascii="Times New Roman" w:hAnsi="Times New Roman" w:cs="Times New Roman"/>
          <w:sz w:val="24"/>
          <w:szCs w:val="24"/>
        </w:rPr>
        <w:t xml:space="preserve"> Republike Hrvatske</w:t>
      </w:r>
      <w:bookmarkEnd w:id="233"/>
    </w:p>
    <w:p w14:paraId="6E206D54" w14:textId="77777777" w:rsidR="004E6F69" w:rsidRPr="009C52C4" w:rsidRDefault="004E6F69">
      <w:pPr>
        <w:rPr>
          <w:rFonts w:ascii="Times New Roman" w:hAnsi="Times New Roman" w:cs="Times New Roman"/>
          <w:sz w:val="24"/>
          <w:szCs w:val="24"/>
        </w:rPr>
      </w:pPr>
    </w:p>
    <w:p w14:paraId="6D0F1BA2"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Dodatno opravdanje za primjenu koordiniranih mjera </w:t>
      </w:r>
      <w:r w:rsidR="00A65E24" w:rsidRPr="009C52C4">
        <w:rPr>
          <w:rFonts w:ascii="Times New Roman" w:hAnsi="Times New Roman" w:cs="Times New Roman"/>
          <w:color w:val="auto"/>
          <w:sz w:val="24"/>
          <w:szCs w:val="24"/>
          <w:lang w:eastAsia="en-US"/>
        </w:rPr>
        <w:t xml:space="preserve">poticanja ponude i potražnje </w:t>
      </w:r>
      <w:r w:rsidRPr="009C52C4">
        <w:rPr>
          <w:rFonts w:ascii="Times New Roman" w:hAnsi="Times New Roman" w:cs="Times New Roman"/>
          <w:color w:val="auto"/>
          <w:sz w:val="24"/>
          <w:szCs w:val="24"/>
          <w:lang w:eastAsia="en-US"/>
        </w:rPr>
        <w:t>proizlazi iz ostalih uzgrednih koristi (tzv. pozitivnih eksternalija) koje djeluju povrh energetskih ušteda, smanjenih emisija štetnih plinova, novih ulaganja i njihovih multiplikativnih učinaka na BDP, zaposlenost i prihode proračuna opće države. Ostale uzgredne koristi nije moguće egzaktno procijeniti, ali ih se može opisati u vezi s očuvanjem i rastom vrijednosti nekretnina, uzgrednim estetskim koristima za druge gospodarske aktivnosti (npr. turizam), pozitivnim učincima na zdravlje ljudi, smanjenje energetskog siromaštva i energetsku sigurnost.</w:t>
      </w:r>
    </w:p>
    <w:p w14:paraId="77A41A3F" w14:textId="77777777" w:rsidR="00853BC8" w:rsidRPr="009C52C4" w:rsidRDefault="00853BC8" w:rsidP="00853BC8">
      <w:pPr>
        <w:rPr>
          <w:rFonts w:ascii="Times New Roman" w:hAnsi="Times New Roman" w:cs="Times New Roman"/>
          <w:color w:val="auto"/>
          <w:sz w:val="24"/>
          <w:szCs w:val="24"/>
          <w:lang w:eastAsia="en-US"/>
        </w:rPr>
      </w:pPr>
    </w:p>
    <w:p w14:paraId="6D8FE197" w14:textId="77777777" w:rsidR="00853BC8" w:rsidRPr="009C52C4" w:rsidRDefault="00853BC8" w:rsidP="00853BC8">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Vrijednost nekretnina i estetski eksterni učinci</w:t>
      </w:r>
    </w:p>
    <w:p w14:paraId="43CE3DB0" w14:textId="77777777" w:rsidR="00853BC8" w:rsidRPr="009C52C4" w:rsidRDefault="00853BC8" w:rsidP="00853BC8">
      <w:pPr>
        <w:rPr>
          <w:rFonts w:ascii="Times New Roman" w:hAnsi="Times New Roman" w:cs="Times New Roman"/>
          <w:color w:val="auto"/>
          <w:sz w:val="24"/>
          <w:szCs w:val="24"/>
          <w:lang w:eastAsia="en-US"/>
        </w:rPr>
      </w:pPr>
    </w:p>
    <w:p w14:paraId="5A216F10" w14:textId="2C868A96" w:rsidR="00853BC8" w:rsidRPr="009C52C4" w:rsidRDefault="00853BC8" w:rsidP="00A7635A">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Cijene nekretnina u Hrvatskoj oporavljaju </w:t>
      </w:r>
      <w:r w:rsidR="007F6253" w:rsidRPr="009C52C4">
        <w:rPr>
          <w:rFonts w:ascii="Times New Roman" w:hAnsi="Times New Roman" w:cs="Times New Roman"/>
          <w:color w:val="auto"/>
          <w:sz w:val="24"/>
          <w:szCs w:val="24"/>
          <w:lang w:eastAsia="en-US"/>
        </w:rPr>
        <w:t xml:space="preserve">se </w:t>
      </w:r>
      <w:r w:rsidRPr="009C52C4">
        <w:rPr>
          <w:rFonts w:ascii="Times New Roman" w:hAnsi="Times New Roman" w:cs="Times New Roman"/>
          <w:color w:val="auto"/>
          <w:sz w:val="24"/>
          <w:szCs w:val="24"/>
          <w:lang w:eastAsia="en-US"/>
        </w:rPr>
        <w:t>od krize (</w:t>
      </w:r>
      <w:r w:rsidR="00611565" w:rsidRPr="009C52C4">
        <w:rPr>
          <w:rFonts w:ascii="Times New Roman" w:hAnsi="Times New Roman" w:cs="Times New Roman"/>
          <w:color w:val="auto"/>
          <w:sz w:val="24"/>
          <w:szCs w:val="24"/>
          <w:lang w:eastAsia="en-US"/>
        </w:rPr>
        <w:fldChar w:fldCharType="begin"/>
      </w:r>
      <w:r w:rsidR="00611565" w:rsidRPr="009C52C4">
        <w:rPr>
          <w:rFonts w:ascii="Times New Roman" w:hAnsi="Times New Roman" w:cs="Times New Roman"/>
          <w:color w:val="auto"/>
          <w:sz w:val="24"/>
          <w:szCs w:val="24"/>
          <w:lang w:eastAsia="en-US"/>
        </w:rPr>
        <w:instrText xml:space="preserve"> REF _Ref483404900 \h </w:instrText>
      </w:r>
      <w:r w:rsidR="00A7635A" w:rsidRPr="009C52C4">
        <w:rPr>
          <w:rFonts w:ascii="Times New Roman" w:hAnsi="Times New Roman" w:cs="Times New Roman"/>
          <w:color w:val="auto"/>
          <w:sz w:val="24"/>
          <w:szCs w:val="24"/>
          <w:lang w:eastAsia="en-US"/>
        </w:rPr>
        <w:instrText xml:space="preserve"> \* MERGEFORMAT </w:instrText>
      </w:r>
      <w:r w:rsidR="00611565" w:rsidRPr="009C52C4">
        <w:rPr>
          <w:rFonts w:ascii="Times New Roman" w:hAnsi="Times New Roman" w:cs="Times New Roman"/>
          <w:color w:val="auto"/>
          <w:sz w:val="24"/>
          <w:szCs w:val="24"/>
          <w:lang w:eastAsia="en-US"/>
        </w:rPr>
      </w:r>
      <w:r w:rsidR="00611565"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Slika 6.2</w:t>
      </w:r>
      <w:r w:rsidR="00611565"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 xml:space="preserve">). </w:t>
      </w:r>
      <w:r w:rsidR="007F6253" w:rsidRPr="009C52C4">
        <w:rPr>
          <w:rFonts w:ascii="Times New Roman" w:hAnsi="Times New Roman" w:cs="Times New Roman"/>
          <w:color w:val="auto"/>
          <w:sz w:val="24"/>
          <w:szCs w:val="24"/>
          <w:lang w:eastAsia="en-US"/>
        </w:rPr>
        <w:t>O</w:t>
      </w:r>
      <w:r w:rsidRPr="009C52C4">
        <w:rPr>
          <w:rFonts w:ascii="Times New Roman" w:hAnsi="Times New Roman" w:cs="Times New Roman"/>
          <w:color w:val="auto"/>
          <w:sz w:val="24"/>
          <w:szCs w:val="24"/>
          <w:lang w:eastAsia="en-US"/>
        </w:rPr>
        <w:t xml:space="preserve">poravak koji je nastupio 2016. </w:t>
      </w:r>
      <w:r w:rsidR="007F6253" w:rsidRPr="009C52C4">
        <w:rPr>
          <w:rFonts w:ascii="Times New Roman" w:hAnsi="Times New Roman" w:cs="Times New Roman"/>
          <w:color w:val="auto"/>
          <w:sz w:val="24"/>
          <w:szCs w:val="24"/>
          <w:lang w:eastAsia="en-US"/>
        </w:rPr>
        <w:t>polako</w:t>
      </w:r>
      <w:r w:rsidRPr="009C52C4">
        <w:rPr>
          <w:rFonts w:ascii="Times New Roman" w:hAnsi="Times New Roman" w:cs="Times New Roman"/>
          <w:color w:val="auto"/>
          <w:sz w:val="24"/>
          <w:szCs w:val="24"/>
          <w:lang w:eastAsia="en-US"/>
        </w:rPr>
        <w:t xml:space="preserve"> zahva</w:t>
      </w:r>
      <w:r w:rsidR="007F6253" w:rsidRPr="009C52C4">
        <w:rPr>
          <w:rFonts w:ascii="Times New Roman" w:hAnsi="Times New Roman" w:cs="Times New Roman"/>
          <w:color w:val="auto"/>
          <w:sz w:val="24"/>
          <w:szCs w:val="24"/>
          <w:lang w:eastAsia="en-US"/>
        </w:rPr>
        <w:t>ća i</w:t>
      </w:r>
      <w:r w:rsidRPr="009C52C4">
        <w:rPr>
          <w:rFonts w:ascii="Times New Roman" w:hAnsi="Times New Roman" w:cs="Times New Roman"/>
          <w:color w:val="auto"/>
          <w:sz w:val="24"/>
          <w:szCs w:val="24"/>
          <w:lang w:eastAsia="en-US"/>
        </w:rPr>
        <w:t xml:space="preserve"> novogradnju čije su se cijene nastavile prilagođavati prema dolje. To je očekivano, s obzirom na demografske trendove. Naznaka disperziranog oporavka koja se vidi u podacima za 2016. naglašava pogrešnu alokaciju građevinske aktivnosti koja se u strukturi treba okrenuti od novogradnji ka adaptacijama, rekons</w:t>
      </w:r>
      <w:r w:rsidR="00A65E24" w:rsidRPr="009C52C4">
        <w:rPr>
          <w:rFonts w:ascii="Times New Roman" w:hAnsi="Times New Roman" w:cs="Times New Roman"/>
          <w:color w:val="auto"/>
          <w:sz w:val="24"/>
          <w:szCs w:val="24"/>
          <w:lang w:eastAsia="en-US"/>
        </w:rPr>
        <w:t>trukcijama i velikim popravcima.</w:t>
      </w:r>
      <w:r w:rsidRPr="009C52C4">
        <w:rPr>
          <w:rFonts w:ascii="Times New Roman" w:hAnsi="Times New Roman" w:cs="Times New Roman"/>
          <w:color w:val="auto"/>
          <w:sz w:val="24"/>
          <w:szCs w:val="24"/>
          <w:lang w:eastAsia="en-US"/>
        </w:rPr>
        <w:t xml:space="preserve"> </w:t>
      </w:r>
      <w:r w:rsidR="00A65E24" w:rsidRPr="009C52C4">
        <w:rPr>
          <w:rFonts w:ascii="Times New Roman" w:hAnsi="Times New Roman" w:cs="Times New Roman"/>
          <w:color w:val="auto"/>
          <w:sz w:val="24"/>
          <w:szCs w:val="24"/>
          <w:lang w:eastAsia="en-US"/>
        </w:rPr>
        <w:t>P</w:t>
      </w:r>
      <w:r w:rsidRPr="009C52C4">
        <w:rPr>
          <w:rFonts w:ascii="Times New Roman" w:hAnsi="Times New Roman" w:cs="Times New Roman"/>
          <w:color w:val="auto"/>
          <w:sz w:val="24"/>
          <w:szCs w:val="24"/>
          <w:lang w:eastAsia="en-US"/>
        </w:rPr>
        <w:t xml:space="preserve">rogram obnove nacionalnog fonda zgrada </w:t>
      </w:r>
      <w:r w:rsidR="00A65E24" w:rsidRPr="009C52C4">
        <w:rPr>
          <w:rFonts w:ascii="Times New Roman" w:hAnsi="Times New Roman" w:cs="Times New Roman"/>
          <w:color w:val="auto"/>
          <w:sz w:val="24"/>
          <w:szCs w:val="24"/>
          <w:lang w:eastAsia="en-US"/>
        </w:rPr>
        <w:t xml:space="preserve">u tome </w:t>
      </w:r>
      <w:r w:rsidRPr="009C52C4">
        <w:rPr>
          <w:rFonts w:ascii="Times New Roman" w:hAnsi="Times New Roman" w:cs="Times New Roman"/>
          <w:color w:val="auto"/>
          <w:sz w:val="24"/>
          <w:szCs w:val="24"/>
          <w:lang w:eastAsia="en-US"/>
        </w:rPr>
        <w:t>može i</w:t>
      </w:r>
      <w:r w:rsidR="00A65E24" w:rsidRPr="009C52C4">
        <w:rPr>
          <w:rFonts w:ascii="Times New Roman" w:hAnsi="Times New Roman" w:cs="Times New Roman"/>
          <w:color w:val="auto"/>
          <w:sz w:val="24"/>
          <w:szCs w:val="24"/>
          <w:lang w:eastAsia="en-US"/>
        </w:rPr>
        <w:t>m</w:t>
      </w:r>
      <w:r w:rsidRPr="009C52C4">
        <w:rPr>
          <w:rFonts w:ascii="Times New Roman" w:hAnsi="Times New Roman" w:cs="Times New Roman"/>
          <w:color w:val="auto"/>
          <w:sz w:val="24"/>
          <w:szCs w:val="24"/>
          <w:lang w:eastAsia="en-US"/>
        </w:rPr>
        <w:t>ati ulogu katalizatora.</w:t>
      </w:r>
    </w:p>
    <w:p w14:paraId="4FAEA8C1" w14:textId="77777777" w:rsidR="00853BC8" w:rsidRPr="009C52C4" w:rsidRDefault="00853BC8" w:rsidP="00853BC8">
      <w:pPr>
        <w:rPr>
          <w:rFonts w:ascii="Times New Roman" w:hAnsi="Times New Roman" w:cs="Times New Roman"/>
          <w:color w:val="auto"/>
          <w:sz w:val="24"/>
          <w:szCs w:val="24"/>
          <w:lang w:eastAsia="en-US"/>
        </w:rPr>
      </w:pPr>
    </w:p>
    <w:p w14:paraId="7A8CDC2F" w14:textId="77777777" w:rsidR="00853BC8" w:rsidRPr="009C52C4" w:rsidRDefault="00853BC8" w:rsidP="00853BC8">
      <w:pPr>
        <w:jc w:val="cente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w:drawing>
          <wp:inline distT="0" distB="0" distL="0" distR="0" wp14:anchorId="6DBFDF3E" wp14:editId="74E441CF">
            <wp:extent cx="4039263" cy="2775005"/>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E802BF" w14:textId="5A484F69" w:rsidR="00853BC8" w:rsidRPr="009C52C4" w:rsidRDefault="00611565" w:rsidP="00611565">
      <w:pPr>
        <w:pStyle w:val="Caption"/>
        <w:jc w:val="center"/>
        <w:rPr>
          <w:rFonts w:ascii="Times New Roman" w:hAnsi="Times New Roman" w:cs="Times New Roman"/>
          <w:b w:val="0"/>
          <w:bCs w:val="0"/>
          <w:sz w:val="24"/>
          <w:szCs w:val="24"/>
          <w:lang w:eastAsia="en-US"/>
        </w:rPr>
      </w:pPr>
      <w:bookmarkStart w:id="234" w:name="_Ref483404900"/>
      <w:bookmarkStart w:id="235" w:name="_Toc2681282"/>
      <w:r w:rsidRPr="009C52C4">
        <w:rPr>
          <w:rFonts w:ascii="Times New Roman" w:hAnsi="Times New Roman" w:cs="Times New Roman"/>
          <w:sz w:val="24"/>
          <w:szCs w:val="24"/>
        </w:rPr>
        <w:t xml:space="preserve">Slika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4F09F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Slika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2</w:t>
      </w:r>
      <w:r w:rsidR="00B6149D" w:rsidRPr="009C52C4">
        <w:rPr>
          <w:rFonts w:ascii="Times New Roman" w:hAnsi="Times New Roman" w:cs="Times New Roman"/>
          <w:noProof/>
          <w:sz w:val="24"/>
          <w:szCs w:val="24"/>
        </w:rPr>
        <w:fldChar w:fldCharType="end"/>
      </w:r>
      <w:bookmarkEnd w:id="234"/>
      <w:r w:rsidRPr="009C52C4">
        <w:rPr>
          <w:rFonts w:ascii="Times New Roman" w:hAnsi="Times New Roman" w:cs="Times New Roman"/>
          <w:b w:val="0"/>
          <w:bCs w:val="0"/>
          <w:sz w:val="24"/>
          <w:szCs w:val="24"/>
          <w:lang w:eastAsia="en-US"/>
        </w:rPr>
        <w:t xml:space="preserve"> Bazni indeks cijena nekretnina, 2010. = 100</w:t>
      </w:r>
      <w:bookmarkEnd w:id="235"/>
    </w:p>
    <w:p w14:paraId="47BDFCAE" w14:textId="77777777" w:rsidR="00853BC8" w:rsidRPr="009C52C4" w:rsidRDefault="00A65E24" w:rsidP="00A65E24">
      <w:pPr>
        <w:jc w:val="cente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Izvor: Hrvatska narodna banka, Statistika, Tablica J3</w:t>
      </w:r>
    </w:p>
    <w:p w14:paraId="5E9367E4" w14:textId="77777777" w:rsidR="00A65E24" w:rsidRPr="009C52C4" w:rsidRDefault="00A65E24" w:rsidP="00A65E24">
      <w:pPr>
        <w:jc w:val="center"/>
        <w:rPr>
          <w:rFonts w:ascii="Times New Roman" w:hAnsi="Times New Roman" w:cs="Times New Roman"/>
          <w:color w:val="auto"/>
          <w:sz w:val="24"/>
          <w:szCs w:val="24"/>
          <w:lang w:eastAsia="en-US"/>
        </w:rPr>
      </w:pPr>
    </w:p>
    <w:p w14:paraId="58057702"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Energetska obnova zgrada dovodi do troškovnih ušteda, povećanja estetske vrijednosti i općenitog zadovoljstva stanovanjem i kvalitetom života. To pronalazi odraza u vrijednosti nekretnina. Stoga se dug i dubok pad vrijednosti nekretnina osim fundamentalnim (demografskim i ekonomskim) faktorima treba objasniti izostankom </w:t>
      </w:r>
      <w:r w:rsidR="00A65E24" w:rsidRPr="009C52C4">
        <w:rPr>
          <w:rFonts w:ascii="Times New Roman" w:hAnsi="Times New Roman" w:cs="Times New Roman"/>
          <w:color w:val="auto"/>
          <w:sz w:val="24"/>
          <w:szCs w:val="24"/>
          <w:lang w:eastAsia="en-US"/>
        </w:rPr>
        <w:t>ambicioz</w:t>
      </w:r>
      <w:r w:rsidRPr="009C52C4">
        <w:rPr>
          <w:rFonts w:ascii="Times New Roman" w:hAnsi="Times New Roman" w:cs="Times New Roman"/>
          <w:color w:val="auto"/>
          <w:sz w:val="24"/>
          <w:szCs w:val="24"/>
          <w:lang w:eastAsia="en-US"/>
        </w:rPr>
        <w:t>nijeg programa obnove zgrada.</w:t>
      </w:r>
    </w:p>
    <w:p w14:paraId="64B3781E" w14:textId="77777777" w:rsidR="00853BC8" w:rsidRPr="009C52C4" w:rsidRDefault="00853BC8" w:rsidP="00853BC8">
      <w:pPr>
        <w:rPr>
          <w:rFonts w:ascii="Times New Roman" w:hAnsi="Times New Roman" w:cs="Times New Roman"/>
          <w:color w:val="auto"/>
          <w:sz w:val="24"/>
          <w:szCs w:val="24"/>
          <w:lang w:eastAsia="en-US"/>
        </w:rPr>
      </w:pPr>
    </w:p>
    <w:p w14:paraId="5414026B"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Program obnove koji dovodi do rasta vrijednosti nekretnina ima i uzgredne ekonomske učinke koji djeluju na dva načina. Prvo, rast vrijednosti nekretnina preko tzv. efekta bogatstva utječe na povećanje potrošnje, a kroz to i na rast BDP-a i prihode državnog proračuna. Efekt </w:t>
      </w:r>
      <w:r w:rsidRPr="009C52C4">
        <w:rPr>
          <w:rFonts w:ascii="Times New Roman" w:hAnsi="Times New Roman" w:cs="Times New Roman"/>
          <w:color w:val="auto"/>
          <w:sz w:val="24"/>
          <w:szCs w:val="24"/>
          <w:lang w:eastAsia="en-US"/>
        </w:rPr>
        <w:lastRenderedPageBreak/>
        <w:t>bogatstva djeluje s parametrom od oko 0,1,</w:t>
      </w:r>
      <w:r w:rsidRPr="009C52C4">
        <w:rPr>
          <w:rFonts w:ascii="Times New Roman" w:hAnsi="Times New Roman" w:cs="Times New Roman"/>
          <w:color w:val="auto"/>
          <w:sz w:val="24"/>
          <w:szCs w:val="24"/>
          <w:vertAlign w:val="superscript"/>
          <w:lang w:eastAsia="en-US"/>
        </w:rPr>
        <w:footnoteReference w:id="80"/>
      </w:r>
      <w:r w:rsidRPr="009C52C4">
        <w:rPr>
          <w:rFonts w:ascii="Times New Roman" w:hAnsi="Times New Roman" w:cs="Times New Roman"/>
          <w:color w:val="auto"/>
          <w:sz w:val="24"/>
          <w:szCs w:val="24"/>
          <w:lang w:eastAsia="en-US"/>
        </w:rPr>
        <w:t xml:space="preserve"> što znači da 10%-tno povećanje vrijednosti nekretnina povećava ukupnu osobnu potrošnju za 1%. </w:t>
      </w:r>
      <w:r w:rsidR="00A65E24" w:rsidRPr="009C52C4">
        <w:rPr>
          <w:rFonts w:ascii="Times New Roman" w:hAnsi="Times New Roman" w:cs="Times New Roman"/>
          <w:color w:val="auto"/>
          <w:sz w:val="24"/>
          <w:szCs w:val="24"/>
          <w:lang w:eastAsia="en-US"/>
        </w:rPr>
        <w:t>U</w:t>
      </w:r>
      <w:r w:rsidRPr="009C52C4">
        <w:rPr>
          <w:rFonts w:ascii="Times New Roman" w:hAnsi="Times New Roman" w:cs="Times New Roman"/>
          <w:color w:val="auto"/>
          <w:sz w:val="24"/>
          <w:szCs w:val="24"/>
          <w:lang w:eastAsia="en-US"/>
        </w:rPr>
        <w:t xml:space="preserve">kupan učinak na BDP </w:t>
      </w:r>
      <w:r w:rsidR="00A65E24" w:rsidRPr="009C52C4">
        <w:rPr>
          <w:rFonts w:ascii="Times New Roman" w:hAnsi="Times New Roman" w:cs="Times New Roman"/>
          <w:color w:val="auto"/>
          <w:sz w:val="24"/>
          <w:szCs w:val="24"/>
          <w:lang w:eastAsia="en-US"/>
        </w:rPr>
        <w:t>treba uzeti u obzir</w:t>
      </w:r>
      <w:r w:rsidRPr="009C52C4">
        <w:rPr>
          <w:rFonts w:ascii="Times New Roman" w:hAnsi="Times New Roman" w:cs="Times New Roman"/>
          <w:color w:val="auto"/>
          <w:sz w:val="24"/>
          <w:szCs w:val="24"/>
          <w:lang w:eastAsia="en-US"/>
        </w:rPr>
        <w:t xml:space="preserve"> i pozitivan utjecaj na investicije</w:t>
      </w:r>
      <w:r w:rsidR="004A0DD6" w:rsidRPr="009C52C4">
        <w:rPr>
          <w:rFonts w:ascii="Times New Roman" w:hAnsi="Times New Roman" w:cs="Times New Roman"/>
          <w:color w:val="auto"/>
          <w:sz w:val="24"/>
          <w:szCs w:val="24"/>
          <w:lang w:eastAsia="en-US"/>
        </w:rPr>
        <w:t xml:space="preserve"> povezan s rastom BDP-a</w:t>
      </w:r>
      <w:r w:rsidRPr="009C52C4">
        <w:rPr>
          <w:rFonts w:ascii="Times New Roman" w:hAnsi="Times New Roman" w:cs="Times New Roman"/>
          <w:color w:val="auto"/>
          <w:sz w:val="24"/>
          <w:szCs w:val="24"/>
          <w:lang w:eastAsia="en-US"/>
        </w:rPr>
        <w:t>. Drugo, pozitivne estetske eksternalije mogu se prelijevati na širu društvenu zajednicu, osobito u krajevima koji žive od turizma, gdje opći dojam o zgradama također može funkcionirati kao faktor atrakcije. Jasno</w:t>
      </w:r>
      <w:r w:rsidR="004A0DD6" w:rsidRPr="009C52C4">
        <w:rPr>
          <w:rFonts w:ascii="Times New Roman" w:hAnsi="Times New Roman" w:cs="Times New Roman"/>
          <w:color w:val="auto"/>
          <w:sz w:val="24"/>
          <w:szCs w:val="24"/>
          <w:lang w:eastAsia="en-US"/>
        </w:rPr>
        <w:t xml:space="preserve"> je da</w:t>
      </w:r>
      <w:r w:rsidRPr="009C52C4">
        <w:rPr>
          <w:rFonts w:ascii="Times New Roman" w:hAnsi="Times New Roman" w:cs="Times New Roman"/>
          <w:color w:val="auto"/>
          <w:sz w:val="24"/>
          <w:szCs w:val="24"/>
          <w:lang w:eastAsia="en-US"/>
        </w:rPr>
        <w:t xml:space="preserve"> vrijednosne i estetske učinke </w:t>
      </w:r>
      <w:r w:rsidR="004A0DD6" w:rsidRPr="009C52C4">
        <w:rPr>
          <w:rFonts w:ascii="Times New Roman" w:hAnsi="Times New Roman" w:cs="Times New Roman"/>
          <w:color w:val="auto"/>
          <w:sz w:val="24"/>
          <w:szCs w:val="24"/>
          <w:lang w:eastAsia="en-US"/>
        </w:rPr>
        <w:t xml:space="preserve">vezano uz nekretnine </w:t>
      </w:r>
      <w:r w:rsidRPr="009C52C4">
        <w:rPr>
          <w:rFonts w:ascii="Times New Roman" w:hAnsi="Times New Roman" w:cs="Times New Roman"/>
          <w:color w:val="auto"/>
          <w:sz w:val="24"/>
          <w:szCs w:val="24"/>
          <w:lang w:eastAsia="en-US"/>
        </w:rPr>
        <w:t>nije moguće pouzdano procijeniti</w:t>
      </w:r>
      <w:r w:rsidR="004A0DD6" w:rsidRPr="009C52C4">
        <w:rPr>
          <w:rFonts w:ascii="Times New Roman" w:hAnsi="Times New Roman" w:cs="Times New Roman"/>
          <w:color w:val="auto"/>
          <w:sz w:val="24"/>
          <w:szCs w:val="24"/>
          <w:lang w:eastAsia="en-US"/>
        </w:rPr>
        <w:t>, ali</w:t>
      </w:r>
      <w:r w:rsidRPr="009C52C4">
        <w:rPr>
          <w:rFonts w:ascii="Times New Roman" w:hAnsi="Times New Roman" w:cs="Times New Roman"/>
          <w:color w:val="auto"/>
          <w:sz w:val="24"/>
          <w:szCs w:val="24"/>
          <w:lang w:eastAsia="en-US"/>
        </w:rPr>
        <w:t xml:space="preserve"> je sigurno da nisu veliki kao učinci koji su izravno vezani uz investicijske aktivno</w:t>
      </w:r>
      <w:r w:rsidR="004A0DD6" w:rsidRPr="009C52C4">
        <w:rPr>
          <w:rFonts w:ascii="Times New Roman" w:hAnsi="Times New Roman" w:cs="Times New Roman"/>
          <w:color w:val="auto"/>
          <w:sz w:val="24"/>
          <w:szCs w:val="24"/>
          <w:lang w:eastAsia="en-US"/>
        </w:rPr>
        <w:t>sti. Bez obzira na to, vrijedi ih</w:t>
      </w:r>
      <w:r w:rsidRPr="009C52C4">
        <w:rPr>
          <w:rFonts w:ascii="Times New Roman" w:hAnsi="Times New Roman" w:cs="Times New Roman"/>
          <w:color w:val="auto"/>
          <w:sz w:val="24"/>
          <w:szCs w:val="24"/>
          <w:lang w:eastAsia="en-US"/>
        </w:rPr>
        <w:t xml:space="preserve"> spomenuti.</w:t>
      </w:r>
    </w:p>
    <w:p w14:paraId="1EADB5D0" w14:textId="77777777" w:rsidR="00853BC8" w:rsidRPr="009C52C4" w:rsidRDefault="00853BC8" w:rsidP="00853BC8">
      <w:pPr>
        <w:rPr>
          <w:rFonts w:ascii="Times New Roman" w:hAnsi="Times New Roman" w:cs="Times New Roman"/>
          <w:b/>
          <w:i/>
          <w:color w:val="auto"/>
          <w:sz w:val="24"/>
          <w:szCs w:val="24"/>
          <w:lang w:eastAsia="en-US"/>
        </w:rPr>
      </w:pPr>
    </w:p>
    <w:p w14:paraId="0924B878" w14:textId="77777777" w:rsidR="00853BC8" w:rsidRPr="009C52C4" w:rsidRDefault="00853BC8" w:rsidP="00853BC8">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Smanjenje rizika zdravlja, siromaštva i dobave energije</w:t>
      </w:r>
    </w:p>
    <w:p w14:paraId="60C58725" w14:textId="77777777" w:rsidR="00853BC8" w:rsidRPr="009C52C4" w:rsidRDefault="00853BC8" w:rsidP="00853BC8">
      <w:pPr>
        <w:rPr>
          <w:rFonts w:ascii="Times New Roman" w:hAnsi="Times New Roman" w:cs="Times New Roman"/>
          <w:color w:val="auto"/>
          <w:sz w:val="24"/>
          <w:szCs w:val="24"/>
          <w:lang w:eastAsia="en-US"/>
        </w:rPr>
      </w:pPr>
    </w:p>
    <w:p w14:paraId="14DE6F16"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U skupinu učinaka koje je teško procijeniti, ali ih treba spomenuti, spadaju i smanjenje rizika zdravlja, energetskog siromaštva i dobave energije. Potonji učinak je osobito važan za Hrvatsku koja uvozi do polovice potrebne energije, tako da smanjenje potrošnje koje je povezano s povećanjem energetske efikasnosti popravlja saldo tekućeg računa platne bilance i parametre međunarodne financijske stabilnosti. </w:t>
      </w:r>
    </w:p>
    <w:p w14:paraId="34584DE6" w14:textId="77777777" w:rsidR="00853BC8" w:rsidRPr="009C52C4" w:rsidRDefault="00853BC8" w:rsidP="00853BC8">
      <w:pPr>
        <w:rPr>
          <w:rFonts w:ascii="Times New Roman" w:hAnsi="Times New Roman" w:cs="Times New Roman"/>
          <w:color w:val="auto"/>
          <w:sz w:val="24"/>
          <w:szCs w:val="24"/>
          <w:lang w:eastAsia="en-US"/>
        </w:rPr>
      </w:pPr>
    </w:p>
    <w:p w14:paraId="3AB13F28" w14:textId="77777777"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Vrijednosne učinke poboljšanja zdravlja ljudi nije moguće procijeniti, no svakako ih vrijedi spomenuti s obzirom na dugoročni trend smanjenja broja stanovnika i potrebe aktiviranja neaktivnog dijela radno sposobnog stanovništva. </w:t>
      </w:r>
    </w:p>
    <w:p w14:paraId="3CD0A9C3" w14:textId="77777777" w:rsidR="00853BC8" w:rsidRPr="009C52C4" w:rsidRDefault="00853BC8" w:rsidP="00853BC8">
      <w:pPr>
        <w:rPr>
          <w:rFonts w:ascii="Times New Roman" w:hAnsi="Times New Roman" w:cs="Times New Roman"/>
          <w:color w:val="auto"/>
          <w:sz w:val="24"/>
          <w:szCs w:val="24"/>
          <w:lang w:eastAsia="en-US"/>
        </w:rPr>
      </w:pPr>
    </w:p>
    <w:p w14:paraId="2C0D7B94" w14:textId="01A82ADD" w:rsidR="00853BC8" w:rsidRPr="009C52C4" w:rsidRDefault="00853BC8"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Kada je riječ o energetskom siromaštvu, obnova zgrada ima veliki potencijal ušteda koje su relativno veće za siromašnija kućanstva. Prema pokazateljima siromaštva 2015., 9,9% osoba u Hrvatskoj živi u kućanstvima koja imaju problem s adekvatnim grijanjem, a 28,7% osoba živi u kućanstvima koja kasne s plaćanjem računa za režije. Energenti imaju važnu ulogu u tome, jer je prosječni godišnji izdatak kućanstva za električnu energiju, plin i ostala goriva prema Anketi o potrošnji kućanstava 2014. iznosio 8</w:t>
      </w:r>
      <w:r w:rsidR="006E3ED8"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lang w:eastAsia="en-US"/>
        </w:rPr>
        <w:t>569 HRK, što je činilo oko 10,5% godišnjih novčanih izdataka. Pritom treba imati u vidu da je taj udjel 2-3 puta veći u kućanstvima smještenima u donjim decilima distribucije dohotka spram udjela u kućanstvima koja su smještena u gornjim dijelovima distribucije dohotka. Stoga program obnove nacionalnog stambenog fonda ima velik potencijal smanjenja energetskog siromaštva, ali je očito da kućanstva koja žive u stanju materijalne deprivacije imaju skučene vremenske horizonte i manje potencijale za sudjelovanje u investicijskim izdacima. Mjere poticanja obnove i tu činjenicu moraju uzeti u obzir.</w:t>
      </w:r>
      <w:r w:rsidR="00A7635A" w:rsidRPr="009C52C4">
        <w:rPr>
          <w:rFonts w:ascii="Times New Roman" w:hAnsi="Times New Roman" w:cs="Times New Roman"/>
          <w:color w:val="auto"/>
          <w:sz w:val="24"/>
          <w:szCs w:val="24"/>
          <w:lang w:eastAsia="en-US"/>
        </w:rPr>
        <w:t xml:space="preserve"> Sl</w:t>
      </w:r>
      <w:r w:rsidRPr="009C52C4">
        <w:rPr>
          <w:rFonts w:ascii="Times New Roman" w:hAnsi="Times New Roman" w:cs="Times New Roman"/>
          <w:color w:val="auto"/>
          <w:sz w:val="24"/>
          <w:szCs w:val="24"/>
          <w:lang w:eastAsia="en-US"/>
        </w:rPr>
        <w:t>jedeća slika shematski prikazuje klasifikaciju procijenjenih i spomenutih učinaka obnove nacionalnog fonda zgrada (</w:t>
      </w:r>
      <w:r w:rsidR="00611565" w:rsidRPr="009C52C4">
        <w:rPr>
          <w:rFonts w:ascii="Times New Roman" w:hAnsi="Times New Roman" w:cs="Times New Roman"/>
          <w:color w:val="auto"/>
          <w:sz w:val="24"/>
          <w:szCs w:val="24"/>
          <w:lang w:eastAsia="en-US"/>
        </w:rPr>
        <w:fldChar w:fldCharType="begin"/>
      </w:r>
      <w:r w:rsidR="00611565" w:rsidRPr="009C52C4">
        <w:rPr>
          <w:rFonts w:ascii="Times New Roman" w:hAnsi="Times New Roman" w:cs="Times New Roman"/>
          <w:color w:val="auto"/>
          <w:sz w:val="24"/>
          <w:szCs w:val="24"/>
          <w:lang w:eastAsia="en-US"/>
        </w:rPr>
        <w:instrText xml:space="preserve"> REF _Ref483404944 \h </w:instrText>
      </w:r>
      <w:r w:rsidR="00873572" w:rsidRPr="009C52C4">
        <w:rPr>
          <w:rFonts w:ascii="Times New Roman" w:hAnsi="Times New Roman" w:cs="Times New Roman"/>
          <w:color w:val="auto"/>
          <w:sz w:val="24"/>
          <w:szCs w:val="24"/>
          <w:lang w:eastAsia="en-US"/>
        </w:rPr>
        <w:instrText xml:space="preserve"> \* MERGEFORMAT </w:instrText>
      </w:r>
      <w:r w:rsidR="00611565" w:rsidRPr="009C52C4">
        <w:rPr>
          <w:rFonts w:ascii="Times New Roman" w:hAnsi="Times New Roman" w:cs="Times New Roman"/>
          <w:color w:val="auto"/>
          <w:sz w:val="24"/>
          <w:szCs w:val="24"/>
          <w:lang w:eastAsia="en-US"/>
        </w:rPr>
      </w:r>
      <w:r w:rsidR="00611565"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Slika </w:t>
      </w:r>
      <w:r w:rsidR="009D1A7F" w:rsidRPr="009C52C4">
        <w:rPr>
          <w:rFonts w:ascii="Times New Roman" w:hAnsi="Times New Roman" w:cs="Times New Roman"/>
          <w:noProof/>
          <w:sz w:val="24"/>
          <w:szCs w:val="24"/>
        </w:rPr>
        <w:t>6</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3</w:t>
      </w:r>
      <w:r w:rsidR="00611565" w:rsidRPr="009C52C4">
        <w:rPr>
          <w:rFonts w:ascii="Times New Roman" w:hAnsi="Times New Roman" w:cs="Times New Roman"/>
          <w:color w:val="auto"/>
          <w:sz w:val="24"/>
          <w:szCs w:val="24"/>
          <w:lang w:eastAsia="en-US"/>
        </w:rPr>
        <w:fldChar w:fldCharType="end"/>
      </w:r>
      <w:r w:rsidRPr="009C52C4">
        <w:rPr>
          <w:rFonts w:ascii="Times New Roman" w:hAnsi="Times New Roman" w:cs="Times New Roman"/>
          <w:color w:val="auto"/>
          <w:sz w:val="24"/>
          <w:szCs w:val="24"/>
          <w:lang w:eastAsia="en-US"/>
        </w:rPr>
        <w:t>).</w:t>
      </w:r>
    </w:p>
    <w:p w14:paraId="1C4A9929" w14:textId="77777777" w:rsidR="00853BC8" w:rsidRPr="009C52C4" w:rsidRDefault="00853BC8" w:rsidP="00853BC8">
      <w:pPr>
        <w:rPr>
          <w:rFonts w:ascii="Times New Roman" w:hAnsi="Times New Roman" w:cs="Times New Roman"/>
          <w:color w:val="auto"/>
          <w:sz w:val="24"/>
          <w:szCs w:val="24"/>
          <w:lang w:eastAsia="en-US"/>
        </w:rPr>
      </w:pPr>
    </w:p>
    <w:p w14:paraId="74E27CCD" w14:textId="77777777" w:rsidR="00853BC8" w:rsidRPr="009C52C4" w:rsidRDefault="00853BC8" w:rsidP="00853BC8">
      <w:pPr>
        <w:jc w:val="center"/>
        <w:rPr>
          <w:rFonts w:ascii="Times New Roman" w:hAnsi="Times New Roman" w:cs="Times New Roman"/>
          <w:color w:val="auto"/>
          <w:sz w:val="24"/>
          <w:szCs w:val="24"/>
          <w:lang w:eastAsia="en-US"/>
        </w:rPr>
      </w:pPr>
      <w:r w:rsidRPr="009C52C4">
        <w:rPr>
          <w:rFonts w:ascii="Times New Roman" w:hAnsi="Times New Roman" w:cs="Times New Roman"/>
          <w:noProof/>
          <w:color w:val="auto"/>
          <w:sz w:val="24"/>
          <w:szCs w:val="24"/>
        </w:rPr>
        <w:lastRenderedPageBreak/>
        <w:drawing>
          <wp:inline distT="0" distB="0" distL="0" distR="0" wp14:anchorId="73BD9ECD" wp14:editId="4C82215F">
            <wp:extent cx="3932955" cy="2949934"/>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5006" cy="2958973"/>
                    </a:xfrm>
                    <a:prstGeom prst="rect">
                      <a:avLst/>
                    </a:prstGeom>
                  </pic:spPr>
                </pic:pic>
              </a:graphicData>
            </a:graphic>
          </wp:inline>
        </w:drawing>
      </w:r>
    </w:p>
    <w:p w14:paraId="2FDACC8B" w14:textId="01064756" w:rsidR="00853BC8" w:rsidRPr="009C52C4" w:rsidRDefault="00611565" w:rsidP="00611565">
      <w:pPr>
        <w:pStyle w:val="Caption"/>
        <w:jc w:val="center"/>
        <w:rPr>
          <w:rFonts w:ascii="Times New Roman" w:hAnsi="Times New Roman" w:cs="Times New Roman"/>
          <w:b w:val="0"/>
          <w:bCs w:val="0"/>
          <w:sz w:val="24"/>
          <w:szCs w:val="24"/>
          <w:lang w:eastAsia="en-US"/>
        </w:rPr>
      </w:pPr>
      <w:bookmarkStart w:id="236" w:name="_Ref483404944"/>
      <w:bookmarkStart w:id="237" w:name="_Toc2681283"/>
      <w:r w:rsidRPr="009C52C4">
        <w:rPr>
          <w:rFonts w:ascii="Times New Roman" w:hAnsi="Times New Roman" w:cs="Times New Roman"/>
          <w:sz w:val="24"/>
          <w:szCs w:val="24"/>
        </w:rPr>
        <w:t xml:space="preserve">Slika </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STYLEREF 1 \s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6</w:t>
      </w:r>
      <w:r w:rsidR="00B6149D" w:rsidRPr="009C52C4">
        <w:rPr>
          <w:rFonts w:ascii="Times New Roman" w:hAnsi="Times New Roman" w:cs="Times New Roman"/>
          <w:noProof/>
          <w:sz w:val="24"/>
          <w:szCs w:val="24"/>
        </w:rPr>
        <w:fldChar w:fldCharType="end"/>
      </w:r>
      <w:r w:rsidR="004F09F1" w:rsidRPr="009C52C4">
        <w:rPr>
          <w:rFonts w:ascii="Times New Roman" w:hAnsi="Times New Roman" w:cs="Times New Roman"/>
          <w:sz w:val="24"/>
          <w:szCs w:val="24"/>
        </w:rPr>
        <w:t>.</w:t>
      </w:r>
      <w:r w:rsidR="00B6149D" w:rsidRPr="009C52C4">
        <w:rPr>
          <w:rFonts w:ascii="Times New Roman" w:hAnsi="Times New Roman" w:cs="Times New Roman"/>
          <w:noProof/>
          <w:sz w:val="24"/>
          <w:szCs w:val="24"/>
        </w:rPr>
        <w:fldChar w:fldCharType="begin"/>
      </w:r>
      <w:r w:rsidR="00B6149D" w:rsidRPr="009C52C4">
        <w:rPr>
          <w:rFonts w:ascii="Times New Roman" w:hAnsi="Times New Roman" w:cs="Times New Roman"/>
          <w:noProof/>
          <w:sz w:val="24"/>
          <w:szCs w:val="24"/>
        </w:rPr>
        <w:instrText xml:space="preserve"> SEQ Slika \* ARABIC \s 1 </w:instrText>
      </w:r>
      <w:r w:rsidR="00B6149D" w:rsidRPr="009C52C4">
        <w:rPr>
          <w:rFonts w:ascii="Times New Roman" w:hAnsi="Times New Roman" w:cs="Times New Roman"/>
          <w:noProof/>
          <w:sz w:val="24"/>
          <w:szCs w:val="24"/>
        </w:rPr>
        <w:fldChar w:fldCharType="separate"/>
      </w:r>
      <w:r w:rsidR="009D1A7F" w:rsidRPr="009C52C4">
        <w:rPr>
          <w:rFonts w:ascii="Times New Roman" w:hAnsi="Times New Roman" w:cs="Times New Roman"/>
          <w:noProof/>
          <w:sz w:val="24"/>
          <w:szCs w:val="24"/>
        </w:rPr>
        <w:t>3</w:t>
      </w:r>
      <w:r w:rsidR="00B6149D" w:rsidRPr="009C52C4">
        <w:rPr>
          <w:rFonts w:ascii="Times New Roman" w:hAnsi="Times New Roman" w:cs="Times New Roman"/>
          <w:noProof/>
          <w:sz w:val="24"/>
          <w:szCs w:val="24"/>
        </w:rPr>
        <w:fldChar w:fldCharType="end"/>
      </w:r>
      <w:bookmarkEnd w:id="236"/>
      <w:r w:rsidRPr="009C52C4">
        <w:rPr>
          <w:rFonts w:ascii="Times New Roman" w:hAnsi="Times New Roman" w:cs="Times New Roman"/>
          <w:b w:val="0"/>
          <w:bCs w:val="0"/>
          <w:sz w:val="24"/>
          <w:szCs w:val="24"/>
          <w:lang w:eastAsia="en-US"/>
        </w:rPr>
        <w:t xml:space="preserve"> Shematski prikaz svih potencijalnih učinaka energetske obnove zgrada</w:t>
      </w:r>
      <w:bookmarkEnd w:id="237"/>
    </w:p>
    <w:p w14:paraId="77E5C4F0" w14:textId="77777777" w:rsidR="00853BC8" w:rsidRPr="009C52C4" w:rsidRDefault="00853BC8" w:rsidP="00853BC8">
      <w:pPr>
        <w:rPr>
          <w:rFonts w:ascii="Times New Roman" w:hAnsi="Times New Roman" w:cs="Times New Roman"/>
          <w:b/>
          <w:i/>
          <w:color w:val="auto"/>
          <w:sz w:val="24"/>
          <w:szCs w:val="24"/>
          <w:lang w:eastAsia="en-US"/>
        </w:rPr>
      </w:pPr>
    </w:p>
    <w:p w14:paraId="44C1203A" w14:textId="77777777" w:rsidR="00EB67B0" w:rsidRPr="009C52C4" w:rsidRDefault="00EB67B0" w:rsidP="00EB67B0">
      <w:pPr>
        <w:rPr>
          <w:rFonts w:ascii="Times New Roman" w:hAnsi="Times New Roman" w:cs="Times New Roman"/>
          <w:b/>
          <w:i/>
          <w:color w:val="auto"/>
          <w:sz w:val="24"/>
          <w:szCs w:val="24"/>
          <w:lang w:eastAsia="en-US"/>
        </w:rPr>
      </w:pPr>
      <w:r w:rsidRPr="009C52C4">
        <w:rPr>
          <w:rFonts w:ascii="Times New Roman" w:hAnsi="Times New Roman" w:cs="Times New Roman"/>
          <w:b/>
          <w:i/>
          <w:color w:val="auto"/>
          <w:sz w:val="24"/>
          <w:szCs w:val="24"/>
          <w:lang w:eastAsia="en-US"/>
        </w:rPr>
        <w:t>Smanjenje emisija CO</w:t>
      </w:r>
      <w:r w:rsidRPr="009C52C4">
        <w:rPr>
          <w:rFonts w:ascii="Times New Roman" w:hAnsi="Times New Roman" w:cs="Times New Roman"/>
          <w:b/>
          <w:i/>
          <w:color w:val="auto"/>
          <w:sz w:val="24"/>
          <w:szCs w:val="24"/>
          <w:vertAlign w:val="subscript"/>
          <w:lang w:eastAsia="en-US"/>
        </w:rPr>
        <w:t>2</w:t>
      </w:r>
    </w:p>
    <w:p w14:paraId="3FFE206B" w14:textId="77777777" w:rsidR="00A7635A" w:rsidRPr="009C52C4" w:rsidRDefault="00A7635A" w:rsidP="00853BC8">
      <w:pPr>
        <w:rPr>
          <w:rFonts w:ascii="Times New Roman" w:hAnsi="Times New Roman" w:cs="Times New Roman"/>
          <w:color w:val="auto"/>
          <w:sz w:val="24"/>
          <w:szCs w:val="24"/>
          <w:lang w:eastAsia="en-US"/>
        </w:rPr>
      </w:pPr>
    </w:p>
    <w:p w14:paraId="132E906D" w14:textId="74F5018A" w:rsidR="009E48F5" w:rsidRPr="009C52C4" w:rsidRDefault="009E48F5"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Sukladno provedenoj analizi energetskih ušteda kao rezultata integralne energetske obnove fonda zgrada prema zahtjevima </w:t>
      </w:r>
      <w:r w:rsidRPr="009C52C4">
        <w:rPr>
          <w:rFonts w:ascii="Times New Roman" w:hAnsi="Times New Roman" w:cs="Times New Roman"/>
          <w:i/>
          <w:color w:val="auto"/>
          <w:sz w:val="24"/>
          <w:szCs w:val="24"/>
          <w:lang w:eastAsia="en-US"/>
        </w:rPr>
        <w:t>Tehničkog propisa</w:t>
      </w:r>
      <w:r w:rsidRPr="009C52C4">
        <w:rPr>
          <w:rFonts w:ascii="Times New Roman" w:hAnsi="Times New Roman" w:cs="Times New Roman"/>
          <w:color w:val="auto"/>
          <w:sz w:val="24"/>
          <w:szCs w:val="24"/>
          <w:lang w:eastAsia="en-US"/>
        </w:rPr>
        <w:t xml:space="preserve"> za veliku rekonstrukciju, a na temelju obuhvaćenog fonda zgrada i primjene mjera povećanja energetske učinkovitosti i uvođenja obnovljivih sustava energije, procijenjeni učinak programa integralne obnove na smanjenje emisija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do 2030. godine kreće se oko 3.197 kt, dok do 2050. godine iznosi oko 6.277 kt (sukladno podacima prikazanim u Prilogu 18). Za izračun uštede emisija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korišteni su specifični faktori emisije 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 xml:space="preserve"> po energetskoj jedinici goriva (kgCO</w:t>
      </w:r>
      <w:r w:rsidRPr="009C52C4">
        <w:rPr>
          <w:rFonts w:ascii="Times New Roman" w:hAnsi="Times New Roman" w:cs="Times New Roman"/>
          <w:color w:val="auto"/>
          <w:sz w:val="24"/>
          <w:szCs w:val="24"/>
          <w:vertAlign w:val="subscript"/>
          <w:lang w:eastAsia="en-US"/>
        </w:rPr>
        <w:t>2</w:t>
      </w:r>
      <w:r w:rsidRPr="009C52C4">
        <w:rPr>
          <w:rFonts w:ascii="Times New Roman" w:hAnsi="Times New Roman" w:cs="Times New Roman"/>
          <w:color w:val="auto"/>
          <w:sz w:val="24"/>
          <w:szCs w:val="24"/>
          <w:lang w:eastAsia="en-US"/>
        </w:rPr>
        <w:t>/kWh), preuzeti sa službene stranice Ministarstva graditeljstva i prostornog</w:t>
      </w:r>
      <w:r w:rsidR="006E3ED8" w:rsidRPr="009C52C4">
        <w:rPr>
          <w:rFonts w:ascii="Times New Roman" w:hAnsi="Times New Roman" w:cs="Times New Roman"/>
          <w:color w:val="auto"/>
          <w:sz w:val="24"/>
          <w:szCs w:val="24"/>
          <w:lang w:eastAsia="en-US"/>
        </w:rPr>
        <w:t>a</w:t>
      </w:r>
      <w:r w:rsidRPr="009C52C4">
        <w:rPr>
          <w:rFonts w:ascii="Times New Roman" w:hAnsi="Times New Roman" w:cs="Times New Roman"/>
          <w:color w:val="auto"/>
          <w:sz w:val="24"/>
          <w:szCs w:val="24"/>
          <w:lang w:eastAsia="en-US"/>
        </w:rPr>
        <w:t xml:space="preserve"> uređenja. Dobiveni podaci odgovaraju energetskim uštedama pojedinih kategorija zgrada te su u skladu s distribucijom energenata u potrošnji energije baziranih na podacima baze podataka </w:t>
      </w:r>
      <w:r w:rsidRPr="009C52C4">
        <w:rPr>
          <w:rFonts w:ascii="Times New Roman" w:hAnsi="Times New Roman" w:cs="Times New Roman"/>
          <w:i/>
          <w:color w:val="auto"/>
          <w:sz w:val="24"/>
          <w:szCs w:val="24"/>
          <w:lang w:eastAsia="en-US"/>
        </w:rPr>
        <w:t xml:space="preserve">International Energy Agency </w:t>
      </w:r>
      <w:r w:rsidRPr="009C52C4">
        <w:rPr>
          <w:rFonts w:ascii="Times New Roman" w:hAnsi="Times New Roman" w:cs="Times New Roman"/>
          <w:color w:val="auto"/>
          <w:sz w:val="24"/>
          <w:szCs w:val="24"/>
          <w:lang w:eastAsia="en-US"/>
        </w:rPr>
        <w:t xml:space="preserve">- </w:t>
      </w:r>
      <w:r w:rsidRPr="009C52C4">
        <w:rPr>
          <w:rFonts w:ascii="Times New Roman" w:hAnsi="Times New Roman" w:cs="Times New Roman"/>
          <w:i/>
          <w:color w:val="auto"/>
          <w:sz w:val="24"/>
          <w:szCs w:val="24"/>
          <w:lang w:eastAsia="en-US"/>
        </w:rPr>
        <w:t>IEA Statistics</w:t>
      </w:r>
      <w:r w:rsidRPr="009C52C4">
        <w:rPr>
          <w:rFonts w:ascii="Times New Roman" w:hAnsi="Times New Roman" w:cs="Times New Roman"/>
          <w:color w:val="auto"/>
          <w:sz w:val="24"/>
          <w:szCs w:val="24"/>
          <w:lang w:eastAsia="en-US"/>
        </w:rPr>
        <w:t xml:space="preserve"> u RH.</w:t>
      </w:r>
    </w:p>
    <w:p w14:paraId="7C675A1E" w14:textId="77777777" w:rsidR="009E48F5" w:rsidRPr="009C52C4" w:rsidRDefault="009E48F5" w:rsidP="00853BC8">
      <w:pPr>
        <w:rPr>
          <w:rFonts w:ascii="Times New Roman" w:hAnsi="Times New Roman" w:cs="Times New Roman"/>
          <w:color w:val="auto"/>
          <w:sz w:val="24"/>
          <w:szCs w:val="24"/>
          <w:lang w:eastAsia="en-US"/>
        </w:rPr>
      </w:pPr>
    </w:p>
    <w:p w14:paraId="23F93DC4" w14:textId="77777777" w:rsidR="00C1206E" w:rsidRPr="009C52C4" w:rsidRDefault="00C1206E">
      <w:pPr>
        <w:rPr>
          <w:rFonts w:ascii="Times New Roman" w:hAnsi="Times New Roman" w:cs="Times New Roman"/>
          <w:b/>
          <w:sz w:val="24"/>
          <w:szCs w:val="24"/>
        </w:rPr>
      </w:pPr>
      <w:r w:rsidRPr="009C52C4">
        <w:rPr>
          <w:rFonts w:ascii="Times New Roman" w:hAnsi="Times New Roman" w:cs="Times New Roman"/>
          <w:sz w:val="24"/>
          <w:szCs w:val="24"/>
        </w:rPr>
        <w:br w:type="page"/>
      </w:r>
    </w:p>
    <w:p w14:paraId="2BC34E43" w14:textId="77777777" w:rsidR="00C1206E" w:rsidRPr="009C52C4" w:rsidRDefault="00C1206E" w:rsidP="00C1206E">
      <w:pPr>
        <w:pStyle w:val="Heading1"/>
        <w:numPr>
          <w:ilvl w:val="0"/>
          <w:numId w:val="39"/>
        </w:numPr>
        <w:tabs>
          <w:tab w:val="left" w:pos="426"/>
        </w:tabs>
        <w:ind w:left="0" w:firstLine="0"/>
        <w:rPr>
          <w:rFonts w:ascii="Times New Roman" w:hAnsi="Times New Roman" w:cs="Times New Roman"/>
          <w:sz w:val="24"/>
          <w:szCs w:val="24"/>
        </w:rPr>
      </w:pPr>
      <w:bookmarkStart w:id="238" w:name="_Toc3277939"/>
      <w:r w:rsidRPr="009C52C4">
        <w:rPr>
          <w:rFonts w:ascii="Times New Roman" w:hAnsi="Times New Roman" w:cs="Times New Roman"/>
          <w:sz w:val="24"/>
          <w:szCs w:val="24"/>
        </w:rPr>
        <w:lastRenderedPageBreak/>
        <w:t>Zaključak</w:t>
      </w:r>
      <w:bookmarkEnd w:id="238"/>
    </w:p>
    <w:p w14:paraId="7E9E33CE" w14:textId="77777777" w:rsidR="00C1206E" w:rsidRPr="009C52C4" w:rsidRDefault="00C1206E" w:rsidP="00853BC8">
      <w:pPr>
        <w:rPr>
          <w:rFonts w:ascii="Times New Roman" w:hAnsi="Times New Roman" w:cs="Times New Roman"/>
          <w:color w:val="auto"/>
          <w:sz w:val="24"/>
          <w:szCs w:val="24"/>
          <w:lang w:eastAsia="en-US"/>
        </w:rPr>
      </w:pPr>
    </w:p>
    <w:p w14:paraId="16367361" w14:textId="156032D6" w:rsidR="009514BC" w:rsidRPr="009C52C4" w:rsidRDefault="009514BC" w:rsidP="00853BC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Dugoročn</w:t>
      </w:r>
      <w:r w:rsidR="006E3ED8" w:rsidRPr="009C52C4">
        <w:rPr>
          <w:rFonts w:ascii="Times New Roman" w:hAnsi="Times New Roman" w:cs="Times New Roman"/>
          <w:color w:val="auto"/>
          <w:sz w:val="24"/>
          <w:szCs w:val="24"/>
          <w:lang w:eastAsia="en-US"/>
        </w:rPr>
        <w:t>a</w:t>
      </w:r>
      <w:r w:rsidRPr="009C52C4">
        <w:rPr>
          <w:rFonts w:ascii="Times New Roman" w:hAnsi="Times New Roman" w:cs="Times New Roman"/>
          <w:color w:val="auto"/>
          <w:sz w:val="24"/>
          <w:szCs w:val="24"/>
          <w:lang w:eastAsia="en-US"/>
        </w:rPr>
        <w:t xml:space="preserve"> strategij</w:t>
      </w:r>
      <w:r w:rsidR="006E3ED8" w:rsidRPr="009C52C4">
        <w:rPr>
          <w:rFonts w:ascii="Times New Roman" w:hAnsi="Times New Roman" w:cs="Times New Roman"/>
          <w:color w:val="auto"/>
          <w:sz w:val="24"/>
          <w:szCs w:val="24"/>
          <w:lang w:eastAsia="en-US"/>
        </w:rPr>
        <w:t>a</w:t>
      </w:r>
      <w:r w:rsidRPr="009C52C4">
        <w:rPr>
          <w:rFonts w:ascii="Times New Roman" w:hAnsi="Times New Roman" w:cs="Times New Roman"/>
          <w:color w:val="auto"/>
          <w:sz w:val="24"/>
          <w:szCs w:val="24"/>
          <w:lang w:eastAsia="en-US"/>
        </w:rPr>
        <w:t xml:space="preserve"> za poticanje ulaganja u obnovu nacionalnog fonda zgrada Republike Hrvatske izrađena je u skladu sa zahtjevima </w:t>
      </w:r>
      <w:r w:rsidR="00F47A80" w:rsidRPr="009C52C4">
        <w:rPr>
          <w:rFonts w:ascii="Times New Roman" w:hAnsi="Times New Roman" w:cs="Times New Roman"/>
          <w:sz w:val="24"/>
          <w:szCs w:val="24"/>
        </w:rPr>
        <w:t>Direktive 2012/27/EU</w:t>
      </w:r>
      <w:r w:rsidR="0096324F" w:rsidRPr="009C52C4">
        <w:rPr>
          <w:rFonts w:ascii="Times New Roman" w:hAnsi="Times New Roman" w:cs="Times New Roman"/>
          <w:sz w:val="24"/>
          <w:szCs w:val="24"/>
        </w:rPr>
        <w:t xml:space="preserve"> </w:t>
      </w:r>
      <w:r w:rsidRPr="009C52C4">
        <w:rPr>
          <w:rFonts w:ascii="Times New Roman" w:hAnsi="Times New Roman" w:cs="Times New Roman"/>
          <w:color w:val="auto"/>
          <w:sz w:val="24"/>
          <w:szCs w:val="24"/>
          <w:lang w:eastAsia="en-US"/>
        </w:rPr>
        <w:t>(Članak 4.) i Zakona o energetskoj učinkovitosti (</w:t>
      </w:r>
      <w:r w:rsidR="006E3ED8" w:rsidRPr="009C52C4">
        <w:rPr>
          <w:rFonts w:ascii="Times New Roman" w:hAnsi="Times New Roman" w:cs="Times New Roman"/>
          <w:color w:val="auto"/>
          <w:sz w:val="24"/>
          <w:szCs w:val="24"/>
          <w:lang w:eastAsia="en-US"/>
        </w:rPr>
        <w:t>č</w:t>
      </w:r>
      <w:r w:rsidRPr="009C52C4">
        <w:rPr>
          <w:rFonts w:ascii="Times New Roman" w:hAnsi="Times New Roman" w:cs="Times New Roman"/>
          <w:color w:val="auto"/>
          <w:sz w:val="24"/>
          <w:szCs w:val="24"/>
          <w:lang w:eastAsia="en-US"/>
        </w:rPr>
        <w:t>lanak 10.), pri čemu su obrađene sljedeće tematske cjeline:</w:t>
      </w:r>
    </w:p>
    <w:p w14:paraId="41F5085C" w14:textId="11ED968C" w:rsidR="009514BC" w:rsidRPr="009C52C4" w:rsidRDefault="006E3ED8" w:rsidP="009514BC">
      <w:pPr>
        <w:pStyle w:val="ListParagraph"/>
        <w:numPr>
          <w:ilvl w:val="0"/>
          <w:numId w:val="58"/>
        </w:num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w:t>
      </w:r>
      <w:r w:rsidR="009514BC" w:rsidRPr="009C52C4">
        <w:rPr>
          <w:rFonts w:ascii="Times New Roman" w:hAnsi="Times New Roman" w:cs="Times New Roman"/>
          <w:color w:val="auto"/>
          <w:sz w:val="24"/>
          <w:szCs w:val="24"/>
          <w:lang w:eastAsia="en-US"/>
        </w:rPr>
        <w:t>regled nacionalnog fonda zgrada Republike Hrvatske</w:t>
      </w:r>
    </w:p>
    <w:p w14:paraId="704E8D22" w14:textId="5C69E5CA" w:rsidR="009514BC" w:rsidRPr="009C52C4" w:rsidRDefault="006E3ED8" w:rsidP="009514BC">
      <w:pPr>
        <w:pStyle w:val="ListParagraph"/>
        <w:numPr>
          <w:ilvl w:val="0"/>
          <w:numId w:val="58"/>
        </w:num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a</w:t>
      </w:r>
      <w:r w:rsidR="009514BC" w:rsidRPr="009C52C4">
        <w:rPr>
          <w:rFonts w:ascii="Times New Roman" w:hAnsi="Times New Roman" w:cs="Times New Roman"/>
          <w:color w:val="auto"/>
          <w:sz w:val="24"/>
          <w:szCs w:val="24"/>
          <w:lang w:eastAsia="en-US"/>
        </w:rPr>
        <w:t>naliza ključnih elemenata programa obnove zgrada</w:t>
      </w:r>
    </w:p>
    <w:p w14:paraId="108937C8" w14:textId="7CDF3AB7" w:rsidR="009514BC" w:rsidRPr="009C52C4" w:rsidRDefault="006E3ED8" w:rsidP="009514BC">
      <w:pPr>
        <w:pStyle w:val="ListParagraph"/>
        <w:numPr>
          <w:ilvl w:val="0"/>
          <w:numId w:val="58"/>
        </w:num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w:t>
      </w:r>
      <w:r w:rsidR="009514BC" w:rsidRPr="009C52C4">
        <w:rPr>
          <w:rFonts w:ascii="Times New Roman" w:hAnsi="Times New Roman" w:cs="Times New Roman"/>
          <w:color w:val="auto"/>
          <w:sz w:val="24"/>
          <w:szCs w:val="24"/>
          <w:lang w:eastAsia="en-US"/>
        </w:rPr>
        <w:t>olitike i mjere za poticanje troškovno učinkovite integralne obnove zgrada</w:t>
      </w:r>
    </w:p>
    <w:p w14:paraId="7B2DB2D1" w14:textId="1673A2A7" w:rsidR="009514BC" w:rsidRPr="009C52C4" w:rsidRDefault="006E3ED8" w:rsidP="009514BC">
      <w:pPr>
        <w:pStyle w:val="ListParagraph"/>
        <w:numPr>
          <w:ilvl w:val="0"/>
          <w:numId w:val="58"/>
        </w:numPr>
        <w:ind w:left="1418" w:hanging="338"/>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d</w:t>
      </w:r>
      <w:r w:rsidR="009514BC" w:rsidRPr="009C52C4">
        <w:rPr>
          <w:rFonts w:ascii="Times New Roman" w:hAnsi="Times New Roman" w:cs="Times New Roman"/>
          <w:color w:val="auto"/>
          <w:sz w:val="24"/>
          <w:szCs w:val="24"/>
          <w:lang w:eastAsia="en-US"/>
        </w:rPr>
        <w:t>ugoročna perspektiva za usmjeravanje odluka pojedinca, građevinske industrije i financijskih ulaganja do 2050. godine</w:t>
      </w:r>
    </w:p>
    <w:p w14:paraId="233200DA" w14:textId="7205DBBC" w:rsidR="009514BC" w:rsidRPr="009C52C4" w:rsidRDefault="006E3ED8" w:rsidP="009514BC">
      <w:pPr>
        <w:pStyle w:val="ListParagraph"/>
        <w:numPr>
          <w:ilvl w:val="0"/>
          <w:numId w:val="58"/>
        </w:numPr>
        <w:ind w:left="1418" w:hanging="338"/>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p</w:t>
      </w:r>
      <w:r w:rsidR="00784B28" w:rsidRPr="009C52C4">
        <w:rPr>
          <w:rFonts w:ascii="Times New Roman" w:hAnsi="Times New Roman" w:cs="Times New Roman"/>
          <w:color w:val="auto"/>
          <w:sz w:val="24"/>
          <w:szCs w:val="24"/>
          <w:lang w:eastAsia="en-US"/>
        </w:rPr>
        <w:t>rocjena očekivane uštede energije i širih koristi utemeljena na računskim i modelskim podacima</w:t>
      </w:r>
    </w:p>
    <w:p w14:paraId="505767A9" w14:textId="77777777" w:rsidR="009514BC" w:rsidRPr="009C52C4" w:rsidRDefault="009514BC" w:rsidP="00853BC8">
      <w:pPr>
        <w:rPr>
          <w:rFonts w:ascii="Times New Roman" w:hAnsi="Times New Roman" w:cs="Times New Roman"/>
          <w:color w:val="auto"/>
          <w:sz w:val="24"/>
          <w:szCs w:val="24"/>
          <w:lang w:eastAsia="en-US"/>
        </w:rPr>
      </w:pPr>
    </w:p>
    <w:p w14:paraId="4430AEA3" w14:textId="6CE30EA0" w:rsidR="00784B28" w:rsidRPr="009C52C4" w:rsidRDefault="001B17C8" w:rsidP="00784B28">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Sukladno</w:t>
      </w:r>
      <w:r w:rsidR="00784B28" w:rsidRPr="009C52C4">
        <w:rPr>
          <w:rFonts w:ascii="Times New Roman" w:hAnsi="Times New Roman" w:cs="Times New Roman"/>
          <w:color w:val="auto"/>
          <w:sz w:val="24"/>
          <w:szCs w:val="24"/>
          <w:lang w:eastAsia="en-US"/>
        </w:rPr>
        <w:t xml:space="preserve"> proveden</w:t>
      </w:r>
      <w:r w:rsidRPr="009C52C4">
        <w:rPr>
          <w:rFonts w:ascii="Times New Roman" w:hAnsi="Times New Roman" w:cs="Times New Roman"/>
          <w:color w:val="auto"/>
          <w:sz w:val="24"/>
          <w:szCs w:val="24"/>
          <w:lang w:eastAsia="en-US"/>
        </w:rPr>
        <w:t>oj</w:t>
      </w:r>
      <w:r w:rsidR="00784B28" w:rsidRPr="009C52C4">
        <w:rPr>
          <w:rFonts w:ascii="Times New Roman" w:hAnsi="Times New Roman" w:cs="Times New Roman"/>
          <w:color w:val="auto"/>
          <w:sz w:val="24"/>
          <w:szCs w:val="24"/>
          <w:lang w:eastAsia="en-US"/>
        </w:rPr>
        <w:t xml:space="preserve"> analiz</w:t>
      </w:r>
      <w:r w:rsidRPr="009C52C4">
        <w:rPr>
          <w:rFonts w:ascii="Times New Roman" w:hAnsi="Times New Roman" w:cs="Times New Roman"/>
          <w:color w:val="auto"/>
          <w:sz w:val="24"/>
          <w:szCs w:val="24"/>
          <w:lang w:eastAsia="en-US"/>
        </w:rPr>
        <w:t>i</w:t>
      </w:r>
      <w:r w:rsidR="00784B28" w:rsidRPr="009C52C4">
        <w:rPr>
          <w:rFonts w:ascii="Times New Roman" w:hAnsi="Times New Roman" w:cs="Times New Roman"/>
          <w:color w:val="auto"/>
          <w:sz w:val="24"/>
          <w:szCs w:val="24"/>
          <w:lang w:eastAsia="en-US"/>
        </w:rPr>
        <w:t xml:space="preserve"> nacionalnog fonda zgrada</w:t>
      </w:r>
      <w:r w:rsidRPr="009C52C4">
        <w:rPr>
          <w:rFonts w:ascii="Times New Roman" w:hAnsi="Times New Roman" w:cs="Times New Roman"/>
          <w:color w:val="auto"/>
          <w:sz w:val="24"/>
          <w:szCs w:val="24"/>
          <w:lang w:eastAsia="en-US"/>
        </w:rPr>
        <w:t xml:space="preserve"> u 2014. godini,</w:t>
      </w:r>
      <w:r w:rsidR="00784B28" w:rsidRPr="009C52C4">
        <w:rPr>
          <w:rFonts w:ascii="Times New Roman" w:hAnsi="Times New Roman" w:cs="Times New Roman"/>
          <w:color w:val="auto"/>
          <w:sz w:val="24"/>
          <w:szCs w:val="24"/>
          <w:lang w:eastAsia="en-US"/>
        </w:rPr>
        <w:t xml:space="preserve"> ukupni nacionalni fond zgrada Republike Hrvatske čini 887.321 zgrada, ukupne površine 192.519.039 m</w:t>
      </w:r>
      <w:r w:rsidR="00784B28" w:rsidRPr="009C52C4">
        <w:rPr>
          <w:rFonts w:ascii="Times New Roman" w:hAnsi="Times New Roman" w:cs="Times New Roman"/>
          <w:color w:val="auto"/>
          <w:sz w:val="24"/>
          <w:szCs w:val="24"/>
          <w:vertAlign w:val="superscript"/>
          <w:lang w:eastAsia="en-US"/>
        </w:rPr>
        <w:t>2</w:t>
      </w:r>
      <w:r w:rsidR="00784B28" w:rsidRPr="009C52C4">
        <w:rPr>
          <w:rFonts w:ascii="Times New Roman" w:hAnsi="Times New Roman" w:cs="Times New Roman"/>
          <w:color w:val="auto"/>
          <w:sz w:val="24"/>
          <w:szCs w:val="24"/>
          <w:lang w:eastAsia="en-US"/>
        </w:rPr>
        <w:t xml:space="preserve">. S obzirom da su unutar tri godine od izrade </w:t>
      </w:r>
      <w:r w:rsidR="004F68D2" w:rsidRPr="009C52C4">
        <w:rPr>
          <w:rFonts w:ascii="Times New Roman" w:hAnsi="Times New Roman" w:cs="Times New Roman"/>
          <w:color w:val="auto"/>
          <w:sz w:val="24"/>
          <w:szCs w:val="24"/>
          <w:lang w:eastAsia="en-US"/>
        </w:rPr>
        <w:t>Dugoročne strategije za poticanje ulaganja u obnovu nacionalnog fonda zgrada Republike Hrvatske</w:t>
      </w:r>
      <w:r w:rsidR="00784B28" w:rsidRPr="009C52C4">
        <w:rPr>
          <w:rFonts w:ascii="Times New Roman" w:hAnsi="Times New Roman" w:cs="Times New Roman"/>
          <w:color w:val="auto"/>
          <w:sz w:val="24"/>
          <w:szCs w:val="24"/>
          <w:lang w:eastAsia="en-US"/>
        </w:rPr>
        <w:t xml:space="preserve"> </w:t>
      </w:r>
      <w:r w:rsidR="006E3ED8" w:rsidRPr="009C52C4">
        <w:rPr>
          <w:rFonts w:ascii="Times New Roman" w:hAnsi="Times New Roman" w:cs="Times New Roman"/>
          <w:color w:val="auto"/>
          <w:sz w:val="24"/>
          <w:szCs w:val="24"/>
          <w:lang w:eastAsia="en-US"/>
        </w:rPr>
        <w:t xml:space="preserve">iz 2014. godine </w:t>
      </w:r>
      <w:r w:rsidR="00784B28" w:rsidRPr="009C52C4">
        <w:rPr>
          <w:rFonts w:ascii="Times New Roman" w:hAnsi="Times New Roman" w:cs="Times New Roman"/>
          <w:color w:val="auto"/>
          <w:sz w:val="24"/>
          <w:szCs w:val="24"/>
          <w:lang w:eastAsia="en-US"/>
        </w:rPr>
        <w:t>do danas provođeni programi energetske obnove zgrada</w:t>
      </w:r>
      <w:r w:rsidRPr="009C52C4">
        <w:rPr>
          <w:rFonts w:ascii="Times New Roman" w:hAnsi="Times New Roman" w:cs="Times New Roman"/>
          <w:color w:val="auto"/>
          <w:sz w:val="24"/>
          <w:szCs w:val="24"/>
          <w:lang w:eastAsia="en-US"/>
        </w:rPr>
        <w:t xml:space="preserve"> (Program energetske obnove obiteljskih kuća za razdoblje od 2014. do 2020. godine</w:t>
      </w:r>
      <w:r w:rsidR="001E716F" w:rsidRPr="009C52C4">
        <w:rPr>
          <w:rFonts w:ascii="Times New Roman" w:hAnsi="Times New Roman" w:cs="Times New Roman"/>
          <w:sz w:val="24"/>
          <w:szCs w:val="24"/>
        </w:rPr>
        <w:t xml:space="preserve"> </w:t>
      </w:r>
      <w:r w:rsidR="001E716F" w:rsidRPr="009C52C4">
        <w:rPr>
          <w:rFonts w:ascii="Times New Roman" w:hAnsi="Times New Roman" w:cs="Times New Roman"/>
          <w:color w:val="auto"/>
          <w:sz w:val="24"/>
          <w:szCs w:val="24"/>
          <w:lang w:eastAsia="en-US"/>
        </w:rPr>
        <w:t>s detaljnim planom za razdoblje od 2014. do 2016. godine</w:t>
      </w:r>
      <w:r w:rsidRPr="009C52C4">
        <w:rPr>
          <w:rFonts w:ascii="Times New Roman" w:hAnsi="Times New Roman" w:cs="Times New Roman"/>
          <w:color w:val="auto"/>
          <w:sz w:val="24"/>
          <w:szCs w:val="24"/>
          <w:lang w:eastAsia="en-US"/>
        </w:rPr>
        <w:t>, Program energetske obnove višestambenih zgrada za razdoblje od 2014. do 2020. godine</w:t>
      </w:r>
      <w:r w:rsidR="00BB1938" w:rsidRPr="009C52C4">
        <w:rPr>
          <w:rFonts w:ascii="Times New Roman" w:hAnsi="Times New Roman" w:cs="Times New Roman"/>
          <w:sz w:val="24"/>
          <w:szCs w:val="24"/>
        </w:rPr>
        <w:t xml:space="preserve"> </w:t>
      </w:r>
      <w:r w:rsidR="00BB1938" w:rsidRPr="009C52C4">
        <w:rPr>
          <w:rFonts w:ascii="Times New Roman" w:hAnsi="Times New Roman" w:cs="Times New Roman"/>
          <w:color w:val="auto"/>
          <w:sz w:val="24"/>
          <w:szCs w:val="24"/>
          <w:lang w:eastAsia="en-US"/>
        </w:rPr>
        <w:t>s detaljnim planom za razdoblje od 2014. do 2016. godine</w:t>
      </w:r>
      <w:r w:rsidRPr="009C52C4">
        <w:rPr>
          <w:rFonts w:ascii="Times New Roman" w:hAnsi="Times New Roman" w:cs="Times New Roman"/>
          <w:color w:val="auto"/>
          <w:sz w:val="24"/>
          <w:szCs w:val="24"/>
          <w:lang w:eastAsia="en-US"/>
        </w:rPr>
        <w:t>, Program energetske obnove zgrada javnog sektora za razdoblje od 2014. do 2015. godine i Program energetske obnove komercijalnih nestambenih zgrada za razdoblje od 2014. do 2020. godine)</w:t>
      </w:r>
      <w:r w:rsidR="00784B28" w:rsidRPr="009C52C4">
        <w:rPr>
          <w:rFonts w:ascii="Times New Roman" w:hAnsi="Times New Roman" w:cs="Times New Roman"/>
          <w:color w:val="auto"/>
          <w:sz w:val="24"/>
          <w:szCs w:val="24"/>
          <w:lang w:eastAsia="en-US"/>
        </w:rPr>
        <w:t>, ukupna površina nacionalnog fonda zgrada koju je potrebno obnoviti od 2017. nadalje ažurirana je sukladno Godišnjem izvješću o napretku postignutom u ostvarenju nacionalnih ciljeva energetske učinkovitosti na temelju članka 24. stavka 1. u skladu s dijelom 1. Priloga XIV. Direktive 2012/27/EU</w:t>
      </w:r>
      <w:r w:rsidR="00E06A1F" w:rsidRPr="009C52C4">
        <w:rPr>
          <w:rFonts w:ascii="Times New Roman" w:hAnsi="Times New Roman" w:cs="Times New Roman"/>
          <w:color w:val="auto"/>
          <w:sz w:val="24"/>
          <w:szCs w:val="24"/>
          <w:lang w:eastAsia="en-US"/>
        </w:rPr>
        <w:t xml:space="preserve">. </w:t>
      </w:r>
      <w:r w:rsidR="00784B28" w:rsidRPr="009C52C4">
        <w:rPr>
          <w:rFonts w:ascii="Times New Roman" w:hAnsi="Times New Roman" w:cs="Times New Roman"/>
          <w:color w:val="auto"/>
          <w:sz w:val="24"/>
          <w:szCs w:val="24"/>
          <w:lang w:eastAsia="en-US"/>
        </w:rPr>
        <w:t xml:space="preserve">Sukladno Izvješću u kojem je dan pregled ostvarenih kumulativnih ušteda u </w:t>
      </w:r>
      <w:r w:rsidR="006E3ED8" w:rsidRPr="009C52C4">
        <w:rPr>
          <w:rFonts w:ascii="Times New Roman" w:hAnsi="Times New Roman" w:cs="Times New Roman"/>
          <w:color w:val="auto"/>
          <w:sz w:val="24"/>
          <w:szCs w:val="24"/>
          <w:lang w:eastAsia="en-US"/>
        </w:rPr>
        <w:t>razdoblju</w:t>
      </w:r>
      <w:r w:rsidR="00784B28" w:rsidRPr="009C52C4">
        <w:rPr>
          <w:rFonts w:ascii="Times New Roman" w:hAnsi="Times New Roman" w:cs="Times New Roman"/>
          <w:color w:val="auto"/>
          <w:sz w:val="24"/>
          <w:szCs w:val="24"/>
          <w:lang w:eastAsia="en-US"/>
        </w:rPr>
        <w:t xml:space="preserve"> od 2014. do 2016. godine (</w:t>
      </w:r>
      <w:r w:rsidR="00784B28" w:rsidRPr="009C52C4">
        <w:rPr>
          <w:rFonts w:ascii="Times New Roman" w:hAnsi="Times New Roman" w:cs="Times New Roman"/>
          <w:iCs/>
          <w:color w:val="auto"/>
          <w:sz w:val="24"/>
          <w:szCs w:val="24"/>
          <w:lang w:eastAsia="en-US"/>
        </w:rPr>
        <w:t>1</w:t>
      </w:r>
      <w:r w:rsidR="00784B28" w:rsidRPr="009C52C4">
        <w:rPr>
          <w:rFonts w:ascii="Times New Roman" w:hAnsi="Times New Roman" w:cs="Times New Roman"/>
          <w:bCs/>
          <w:color w:val="auto"/>
          <w:sz w:val="24"/>
          <w:szCs w:val="24"/>
          <w:lang w:eastAsia="en-US"/>
        </w:rPr>
        <w:t>,72767 PJ</w:t>
      </w:r>
      <w:r w:rsidR="00784B28" w:rsidRPr="009C52C4">
        <w:rPr>
          <w:rFonts w:ascii="Times New Roman" w:hAnsi="Times New Roman" w:cs="Times New Roman"/>
          <w:color w:val="auto"/>
          <w:sz w:val="24"/>
          <w:szCs w:val="24"/>
          <w:lang w:eastAsia="en-US"/>
        </w:rPr>
        <w:t xml:space="preserve">), procijenjena je ukupna površina obnovljenog fonda zgrada programima energetske obnove u iznosu </w:t>
      </w:r>
      <w:r w:rsidRPr="009C52C4">
        <w:rPr>
          <w:rFonts w:ascii="Times New Roman" w:hAnsi="Times New Roman" w:cs="Times New Roman"/>
          <w:color w:val="auto"/>
          <w:sz w:val="24"/>
          <w:szCs w:val="24"/>
          <w:lang w:eastAsia="en-US"/>
        </w:rPr>
        <w:t>od</w:t>
      </w:r>
      <w:r w:rsidR="00784B28" w:rsidRPr="009C52C4">
        <w:rPr>
          <w:rFonts w:ascii="Times New Roman" w:hAnsi="Times New Roman" w:cs="Times New Roman"/>
          <w:color w:val="auto"/>
          <w:sz w:val="24"/>
          <w:szCs w:val="24"/>
          <w:lang w:eastAsia="en-US"/>
        </w:rPr>
        <w:t> </w:t>
      </w:r>
      <w:r w:rsidR="008467E6" w:rsidRPr="009C52C4">
        <w:rPr>
          <w:rFonts w:ascii="Times New Roman" w:hAnsi="Times New Roman" w:cs="Times New Roman"/>
          <w:color w:val="auto"/>
          <w:sz w:val="24"/>
          <w:szCs w:val="24"/>
          <w:lang w:eastAsia="en-US"/>
        </w:rPr>
        <w:t>2</w:t>
      </w:r>
      <w:r w:rsidR="00784B28" w:rsidRPr="009C52C4">
        <w:rPr>
          <w:rFonts w:ascii="Times New Roman" w:hAnsi="Times New Roman" w:cs="Times New Roman"/>
          <w:color w:val="auto"/>
          <w:sz w:val="24"/>
          <w:szCs w:val="24"/>
          <w:lang w:eastAsia="en-US"/>
        </w:rPr>
        <w:t>.</w:t>
      </w:r>
      <w:r w:rsidR="008467E6" w:rsidRPr="009C52C4">
        <w:rPr>
          <w:rFonts w:ascii="Times New Roman" w:hAnsi="Times New Roman" w:cs="Times New Roman"/>
          <w:color w:val="auto"/>
          <w:sz w:val="24"/>
          <w:szCs w:val="24"/>
          <w:lang w:eastAsia="en-US"/>
        </w:rPr>
        <w:t>172</w:t>
      </w:r>
      <w:r w:rsidR="00784B28" w:rsidRPr="009C52C4">
        <w:rPr>
          <w:rFonts w:ascii="Times New Roman" w:hAnsi="Times New Roman" w:cs="Times New Roman"/>
          <w:color w:val="auto"/>
          <w:sz w:val="24"/>
          <w:szCs w:val="24"/>
          <w:lang w:eastAsia="en-US"/>
        </w:rPr>
        <w:t>.4</w:t>
      </w:r>
      <w:r w:rsidR="008467E6" w:rsidRPr="009C52C4">
        <w:rPr>
          <w:rFonts w:ascii="Times New Roman" w:hAnsi="Times New Roman" w:cs="Times New Roman"/>
          <w:color w:val="auto"/>
          <w:sz w:val="24"/>
          <w:szCs w:val="24"/>
          <w:lang w:eastAsia="en-US"/>
        </w:rPr>
        <w:t>40</w:t>
      </w:r>
      <w:r w:rsidR="00784B28" w:rsidRPr="009C52C4">
        <w:rPr>
          <w:rFonts w:ascii="Times New Roman" w:hAnsi="Times New Roman" w:cs="Times New Roman"/>
          <w:color w:val="auto"/>
          <w:sz w:val="24"/>
          <w:szCs w:val="24"/>
          <w:lang w:eastAsia="en-US"/>
        </w:rPr>
        <w:t>,</w:t>
      </w:r>
      <w:r w:rsidR="008467E6" w:rsidRPr="009C52C4">
        <w:rPr>
          <w:rFonts w:ascii="Times New Roman" w:hAnsi="Times New Roman" w:cs="Times New Roman"/>
          <w:color w:val="auto"/>
          <w:sz w:val="24"/>
          <w:szCs w:val="24"/>
          <w:lang w:eastAsia="en-US"/>
        </w:rPr>
        <w:t>0</w:t>
      </w:r>
      <w:r w:rsidR="00784B28" w:rsidRPr="009C52C4">
        <w:rPr>
          <w:rFonts w:ascii="Times New Roman" w:hAnsi="Times New Roman" w:cs="Times New Roman"/>
          <w:color w:val="auto"/>
          <w:sz w:val="24"/>
          <w:szCs w:val="24"/>
          <w:lang w:eastAsia="en-US"/>
        </w:rPr>
        <w:t>0 m</w:t>
      </w:r>
      <w:r w:rsidR="00784B28" w:rsidRPr="009C52C4">
        <w:rPr>
          <w:rFonts w:ascii="Times New Roman" w:hAnsi="Times New Roman" w:cs="Times New Roman"/>
          <w:color w:val="auto"/>
          <w:sz w:val="24"/>
          <w:szCs w:val="24"/>
          <w:vertAlign w:val="superscript"/>
          <w:lang w:eastAsia="en-US"/>
        </w:rPr>
        <w:t>2</w:t>
      </w:r>
      <w:r w:rsidR="00784B28" w:rsidRPr="009C52C4">
        <w:rPr>
          <w:rFonts w:ascii="Times New Roman" w:hAnsi="Times New Roman" w:cs="Times New Roman"/>
          <w:color w:val="auto"/>
          <w:sz w:val="24"/>
          <w:szCs w:val="24"/>
          <w:lang w:eastAsia="en-US"/>
        </w:rPr>
        <w:t>, čime ažurirana površina nacionalnog fonda zgrada koja podliježe obnovi od 2017. godine nadalje iznosi 1</w:t>
      </w:r>
      <w:r w:rsidR="008467E6" w:rsidRPr="009C52C4">
        <w:rPr>
          <w:rFonts w:ascii="Times New Roman" w:hAnsi="Times New Roman" w:cs="Times New Roman"/>
          <w:color w:val="auto"/>
          <w:sz w:val="24"/>
          <w:szCs w:val="24"/>
          <w:lang w:eastAsia="en-US"/>
        </w:rPr>
        <w:t>9</w:t>
      </w:r>
      <w:r w:rsidR="00784B28" w:rsidRPr="009C52C4">
        <w:rPr>
          <w:rFonts w:ascii="Times New Roman" w:hAnsi="Times New Roman" w:cs="Times New Roman"/>
          <w:color w:val="auto"/>
          <w:sz w:val="24"/>
          <w:szCs w:val="24"/>
          <w:lang w:eastAsia="en-US"/>
        </w:rPr>
        <w:t>0.</w:t>
      </w:r>
      <w:r w:rsidR="008467E6" w:rsidRPr="009C52C4">
        <w:rPr>
          <w:rFonts w:ascii="Times New Roman" w:hAnsi="Times New Roman" w:cs="Times New Roman"/>
          <w:color w:val="auto"/>
          <w:sz w:val="24"/>
          <w:szCs w:val="24"/>
          <w:lang w:eastAsia="en-US"/>
        </w:rPr>
        <w:t>346</w:t>
      </w:r>
      <w:r w:rsidR="00784B28" w:rsidRPr="009C52C4">
        <w:rPr>
          <w:rFonts w:ascii="Times New Roman" w:hAnsi="Times New Roman" w:cs="Times New Roman"/>
          <w:color w:val="auto"/>
          <w:sz w:val="24"/>
          <w:szCs w:val="24"/>
          <w:lang w:eastAsia="en-US"/>
        </w:rPr>
        <w:t>.5</w:t>
      </w:r>
      <w:r w:rsidR="008467E6" w:rsidRPr="009C52C4">
        <w:rPr>
          <w:rFonts w:ascii="Times New Roman" w:hAnsi="Times New Roman" w:cs="Times New Roman"/>
          <w:color w:val="auto"/>
          <w:sz w:val="24"/>
          <w:szCs w:val="24"/>
          <w:lang w:eastAsia="en-US"/>
        </w:rPr>
        <w:t>60</w:t>
      </w:r>
      <w:r w:rsidR="00784B28" w:rsidRPr="009C52C4">
        <w:rPr>
          <w:rFonts w:ascii="Times New Roman" w:hAnsi="Times New Roman" w:cs="Times New Roman"/>
          <w:color w:val="auto"/>
          <w:sz w:val="24"/>
          <w:szCs w:val="24"/>
          <w:lang w:eastAsia="en-US"/>
        </w:rPr>
        <w:t>,40 m</w:t>
      </w:r>
      <w:r w:rsidR="00784B28" w:rsidRPr="009C52C4">
        <w:rPr>
          <w:rFonts w:ascii="Times New Roman" w:hAnsi="Times New Roman" w:cs="Times New Roman"/>
          <w:color w:val="auto"/>
          <w:sz w:val="24"/>
          <w:szCs w:val="24"/>
          <w:vertAlign w:val="superscript"/>
          <w:lang w:eastAsia="en-US"/>
        </w:rPr>
        <w:t>2</w:t>
      </w:r>
      <w:r w:rsidR="00784B28" w:rsidRPr="009C52C4">
        <w:rPr>
          <w:rFonts w:ascii="Times New Roman" w:hAnsi="Times New Roman" w:cs="Times New Roman"/>
          <w:color w:val="auto"/>
          <w:sz w:val="24"/>
          <w:szCs w:val="24"/>
          <w:lang w:eastAsia="en-US"/>
        </w:rPr>
        <w:t>.</w:t>
      </w:r>
    </w:p>
    <w:p w14:paraId="1AA880CE" w14:textId="77777777" w:rsidR="00784B28" w:rsidRPr="009C52C4" w:rsidRDefault="00784B28" w:rsidP="009514BC">
      <w:pPr>
        <w:rPr>
          <w:rFonts w:ascii="Times New Roman" w:hAnsi="Times New Roman" w:cs="Times New Roman"/>
          <w:color w:val="auto"/>
          <w:sz w:val="24"/>
          <w:szCs w:val="24"/>
          <w:lang w:eastAsia="en-US"/>
        </w:rPr>
      </w:pPr>
    </w:p>
    <w:p w14:paraId="4D620D4A" w14:textId="3165D661" w:rsidR="0076376D" w:rsidRPr="009C52C4" w:rsidRDefault="00333CF2" w:rsidP="0076376D">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Na temelju provedenih analiza godišnje isporučene energije grijanje za primorsku i kontinentalnu Hrvatsku (osobito potrebne toplinske energije za grijanje)</w:t>
      </w:r>
      <w:r w:rsidR="0076376D"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lang w:eastAsia="en-US"/>
        </w:rPr>
        <w:t xml:space="preserve"> </w:t>
      </w:r>
      <w:r w:rsidR="0076376D" w:rsidRPr="009C52C4">
        <w:rPr>
          <w:rFonts w:ascii="Times New Roman" w:hAnsi="Times New Roman" w:cs="Times New Roman"/>
          <w:color w:val="auto"/>
          <w:sz w:val="24"/>
          <w:szCs w:val="24"/>
          <w:lang w:eastAsia="en-US"/>
        </w:rPr>
        <w:t>kao ciljna skupina zgrada</w:t>
      </w:r>
      <w:r w:rsidR="001B17C8" w:rsidRPr="009C52C4">
        <w:rPr>
          <w:rFonts w:ascii="Times New Roman" w:hAnsi="Times New Roman" w:cs="Times New Roman"/>
          <w:color w:val="auto"/>
          <w:sz w:val="24"/>
          <w:szCs w:val="24"/>
          <w:lang w:eastAsia="en-US"/>
        </w:rPr>
        <w:t xml:space="preserve"> koje imaju prioritet pri obnovi</w:t>
      </w:r>
      <w:r w:rsidR="0076376D" w:rsidRPr="009C52C4">
        <w:rPr>
          <w:rFonts w:ascii="Times New Roman" w:hAnsi="Times New Roman" w:cs="Times New Roman"/>
          <w:color w:val="auto"/>
          <w:sz w:val="24"/>
          <w:szCs w:val="24"/>
          <w:lang w:eastAsia="en-US"/>
        </w:rPr>
        <w:t xml:space="preserve"> s obzirom na ukupnu površinu, stanje ovojnice grijanog prostora i energetske potrebe, odabrana je skupina zgrada izgrađenih do 1987. godine. Navedeni fond zgrada izabran je zbog najvećeg potencijala ušteda i značajnog udjela u ukupnoj površini svih zgrada. Također, s obzirom na navedene ulazne parametre u vidu potencijala energetskih ušteda</w:t>
      </w:r>
      <w:r w:rsidR="007D4915" w:rsidRPr="009C52C4">
        <w:rPr>
          <w:rFonts w:ascii="Times New Roman" w:hAnsi="Times New Roman" w:cs="Times New Roman"/>
          <w:color w:val="auto"/>
          <w:sz w:val="24"/>
          <w:szCs w:val="24"/>
          <w:lang w:eastAsia="en-US"/>
        </w:rPr>
        <w:t xml:space="preserve"> za sve četiri promatrane kategorije zgrada (zgrade javne namjene, zgrade komercijalne namjene, višestambene zgrade i obiteljske kuće)</w:t>
      </w:r>
      <w:r w:rsidR="0076376D" w:rsidRPr="009C52C4">
        <w:rPr>
          <w:rFonts w:ascii="Times New Roman" w:hAnsi="Times New Roman" w:cs="Times New Roman"/>
          <w:color w:val="auto"/>
          <w:sz w:val="24"/>
          <w:szCs w:val="24"/>
          <w:lang w:eastAsia="en-US"/>
        </w:rPr>
        <w:t xml:space="preserve">, može se zaključiti da je unutar fonda zgrada izgrađenih do 1987. godine najveći prioritet pri integralnoj obnovi potrebno dati obiteljskim kućama (potencijal specifične energetske uštede </w:t>
      </w:r>
      <w:r w:rsidR="008467E6" w:rsidRPr="009C52C4">
        <w:rPr>
          <w:rFonts w:ascii="Times New Roman" w:hAnsi="Times New Roman" w:cs="Times New Roman"/>
          <w:color w:val="auto"/>
          <w:sz w:val="24"/>
          <w:szCs w:val="24"/>
          <w:lang w:eastAsia="en-US"/>
        </w:rPr>
        <w:t xml:space="preserve">isporučene energije </w:t>
      </w:r>
      <w:r w:rsidR="0076376D" w:rsidRPr="009C52C4">
        <w:rPr>
          <w:rFonts w:ascii="Times New Roman" w:hAnsi="Times New Roman" w:cs="Times New Roman"/>
          <w:color w:val="auto"/>
          <w:sz w:val="24"/>
          <w:szCs w:val="24"/>
          <w:lang w:eastAsia="en-US"/>
        </w:rPr>
        <w:t>po</w:t>
      </w:r>
      <w:r w:rsidR="008467E6" w:rsidRPr="009C52C4">
        <w:rPr>
          <w:rFonts w:ascii="Times New Roman" w:hAnsi="Times New Roman" w:cs="Times New Roman"/>
          <w:color w:val="auto"/>
          <w:sz w:val="24"/>
          <w:szCs w:val="24"/>
          <w:lang w:eastAsia="en-US"/>
        </w:rPr>
        <w:t xml:space="preserve"> korisnoj površini zgrade do 293</w:t>
      </w:r>
      <w:r w:rsidR="0076376D" w:rsidRPr="009C52C4">
        <w:rPr>
          <w:rFonts w:ascii="Times New Roman" w:hAnsi="Times New Roman" w:cs="Times New Roman"/>
          <w:color w:val="auto"/>
          <w:sz w:val="24"/>
          <w:szCs w:val="24"/>
          <w:lang w:eastAsia="en-US"/>
        </w:rPr>
        <w:t>,</w:t>
      </w:r>
      <w:r w:rsidR="008467E6" w:rsidRPr="009C52C4">
        <w:rPr>
          <w:rFonts w:ascii="Times New Roman" w:hAnsi="Times New Roman" w:cs="Times New Roman"/>
          <w:color w:val="auto"/>
          <w:sz w:val="24"/>
          <w:szCs w:val="24"/>
          <w:lang w:eastAsia="en-US"/>
        </w:rPr>
        <w:t>48</w:t>
      </w:r>
      <w:r w:rsidR="0076376D" w:rsidRPr="009C52C4">
        <w:rPr>
          <w:rFonts w:ascii="Times New Roman" w:hAnsi="Times New Roman" w:cs="Times New Roman"/>
          <w:color w:val="auto"/>
          <w:sz w:val="24"/>
          <w:szCs w:val="24"/>
          <w:lang w:eastAsia="en-US"/>
        </w:rPr>
        <w:t xml:space="preserve"> kWh/m</w:t>
      </w:r>
      <w:r w:rsidR="0076376D" w:rsidRPr="009C52C4">
        <w:rPr>
          <w:rFonts w:ascii="Times New Roman" w:hAnsi="Times New Roman" w:cs="Times New Roman"/>
          <w:color w:val="auto"/>
          <w:sz w:val="24"/>
          <w:szCs w:val="24"/>
          <w:vertAlign w:val="superscript"/>
          <w:lang w:eastAsia="en-US"/>
        </w:rPr>
        <w:t>2</w:t>
      </w:r>
      <w:r w:rsidR="0076376D" w:rsidRPr="009C52C4">
        <w:rPr>
          <w:rFonts w:ascii="Times New Roman" w:hAnsi="Times New Roman" w:cs="Times New Roman"/>
          <w:color w:val="auto"/>
          <w:sz w:val="24"/>
          <w:szCs w:val="24"/>
          <w:lang w:eastAsia="en-US"/>
        </w:rPr>
        <w:t xml:space="preserve"> god) i zgradama komercijalne namjene (potencijal specifične energetske uštede po korisnoj površini zgrade do 2</w:t>
      </w:r>
      <w:r w:rsidR="008467E6" w:rsidRPr="009C52C4">
        <w:rPr>
          <w:rFonts w:ascii="Times New Roman" w:hAnsi="Times New Roman" w:cs="Times New Roman"/>
          <w:color w:val="auto"/>
          <w:sz w:val="24"/>
          <w:szCs w:val="24"/>
          <w:lang w:eastAsia="en-US"/>
        </w:rPr>
        <w:t>7</w:t>
      </w:r>
      <w:r w:rsidR="0076376D" w:rsidRPr="009C52C4">
        <w:rPr>
          <w:rFonts w:ascii="Times New Roman" w:hAnsi="Times New Roman" w:cs="Times New Roman"/>
          <w:color w:val="auto"/>
          <w:sz w:val="24"/>
          <w:szCs w:val="24"/>
          <w:lang w:eastAsia="en-US"/>
        </w:rPr>
        <w:t>4,</w:t>
      </w:r>
      <w:r w:rsidR="008467E6" w:rsidRPr="009C52C4">
        <w:rPr>
          <w:rFonts w:ascii="Times New Roman" w:hAnsi="Times New Roman" w:cs="Times New Roman"/>
          <w:color w:val="auto"/>
          <w:sz w:val="24"/>
          <w:szCs w:val="24"/>
          <w:lang w:eastAsia="en-US"/>
        </w:rPr>
        <w:t>78</w:t>
      </w:r>
      <w:r w:rsidR="0076376D" w:rsidRPr="009C52C4">
        <w:rPr>
          <w:rFonts w:ascii="Times New Roman" w:hAnsi="Times New Roman" w:cs="Times New Roman"/>
          <w:color w:val="auto"/>
          <w:sz w:val="24"/>
          <w:szCs w:val="24"/>
          <w:lang w:eastAsia="en-US"/>
        </w:rPr>
        <w:t xml:space="preserve"> kWh/m</w:t>
      </w:r>
      <w:r w:rsidR="0076376D" w:rsidRPr="009C52C4">
        <w:rPr>
          <w:rFonts w:ascii="Times New Roman" w:hAnsi="Times New Roman" w:cs="Times New Roman"/>
          <w:color w:val="auto"/>
          <w:sz w:val="24"/>
          <w:szCs w:val="24"/>
          <w:vertAlign w:val="superscript"/>
          <w:lang w:eastAsia="en-US"/>
        </w:rPr>
        <w:t>2</w:t>
      </w:r>
      <w:r w:rsidR="0076376D" w:rsidRPr="009C52C4">
        <w:rPr>
          <w:rFonts w:ascii="Times New Roman" w:hAnsi="Times New Roman" w:cs="Times New Roman"/>
          <w:color w:val="auto"/>
          <w:sz w:val="24"/>
          <w:szCs w:val="24"/>
          <w:lang w:eastAsia="en-US"/>
        </w:rPr>
        <w:t xml:space="preserve"> god). Osim velikog potencijala energetskih ušteda, obiteljske kuće također su prioritetna kategorija zgrada za obnovu u cilju suzbijanja energetskog siromaštva, što je među ciljevima Četvrtog nacionalnog akcijskog plana energetske učinkovitosti za razdoblje </w:t>
      </w:r>
      <w:r w:rsidR="004870E2" w:rsidRPr="009C52C4">
        <w:rPr>
          <w:rFonts w:ascii="Times New Roman" w:hAnsi="Times New Roman" w:cs="Times New Roman"/>
          <w:color w:val="auto"/>
          <w:sz w:val="24"/>
          <w:szCs w:val="24"/>
          <w:lang w:eastAsia="en-US"/>
        </w:rPr>
        <w:t xml:space="preserve">do kraja </w:t>
      </w:r>
      <w:r w:rsidR="0076376D" w:rsidRPr="009C52C4">
        <w:rPr>
          <w:rFonts w:ascii="Times New Roman" w:hAnsi="Times New Roman" w:cs="Times New Roman"/>
          <w:color w:val="auto"/>
          <w:sz w:val="24"/>
          <w:szCs w:val="24"/>
          <w:lang w:eastAsia="en-US"/>
        </w:rPr>
        <w:t>2019.</w:t>
      </w:r>
      <w:r w:rsidR="00022C10" w:rsidRPr="009C52C4">
        <w:rPr>
          <w:rFonts w:ascii="Times New Roman" w:hAnsi="Times New Roman" w:cs="Times New Roman"/>
          <w:color w:val="auto"/>
          <w:sz w:val="24"/>
          <w:szCs w:val="24"/>
          <w:lang w:eastAsia="en-US"/>
        </w:rPr>
        <w:t xml:space="preserve"> Međutim, u kategoriji obiteljskih kuća moguće je odstupanje od dobivenih podataka s obzirom na visok stupanj korištenja ogrjevnog drva te manju grijanu površinu zgrade od predviđene, što za udio obiteljskih kuća s navedenim karakteristikama dovodi u pitanje </w:t>
      </w:r>
      <w:r w:rsidR="00022C10" w:rsidRPr="009C52C4">
        <w:rPr>
          <w:rFonts w:ascii="Times New Roman" w:hAnsi="Times New Roman" w:cs="Times New Roman"/>
          <w:color w:val="auto"/>
          <w:sz w:val="24"/>
          <w:szCs w:val="24"/>
          <w:lang w:eastAsia="en-US"/>
        </w:rPr>
        <w:lastRenderedPageBreak/>
        <w:t>financijsku isplativost obnove te realizacija uvelike ovisi o poticajnim mjerama (ne samo financijskim).</w:t>
      </w:r>
    </w:p>
    <w:p w14:paraId="45A4C166" w14:textId="77777777" w:rsidR="0076376D" w:rsidRPr="009C52C4" w:rsidRDefault="0076376D" w:rsidP="009514BC">
      <w:pPr>
        <w:rPr>
          <w:rFonts w:ascii="Times New Roman" w:hAnsi="Times New Roman" w:cs="Times New Roman"/>
          <w:color w:val="auto"/>
          <w:sz w:val="24"/>
          <w:szCs w:val="24"/>
          <w:lang w:eastAsia="en-US"/>
        </w:rPr>
      </w:pPr>
    </w:p>
    <w:p w14:paraId="5C9C4703" w14:textId="5D5A6FBD" w:rsidR="008467E6" w:rsidRPr="009C52C4" w:rsidRDefault="001B17C8" w:rsidP="008467E6">
      <w:pPr>
        <w:rPr>
          <w:rFonts w:ascii="Times New Roman" w:hAnsi="Times New Roman" w:cs="Times New Roman"/>
          <w:color w:val="auto"/>
          <w:sz w:val="24"/>
          <w:szCs w:val="24"/>
          <w:lang w:eastAsia="en-US"/>
        </w:rPr>
      </w:pPr>
      <w:r w:rsidRPr="009C52C4">
        <w:rPr>
          <w:rFonts w:ascii="Times New Roman" w:hAnsi="Times New Roman" w:cs="Times New Roman"/>
          <w:color w:val="auto"/>
          <w:sz w:val="24"/>
          <w:szCs w:val="24"/>
          <w:lang w:eastAsia="en-US"/>
        </w:rPr>
        <w:t xml:space="preserve">Glavni cilj </w:t>
      </w:r>
      <w:r w:rsidR="004F68D2" w:rsidRPr="009C52C4">
        <w:rPr>
          <w:rFonts w:ascii="Times New Roman" w:hAnsi="Times New Roman" w:cs="Times New Roman"/>
          <w:color w:val="auto"/>
          <w:sz w:val="24"/>
          <w:szCs w:val="24"/>
          <w:lang w:eastAsia="en-US"/>
        </w:rPr>
        <w:t>Dugoročne strategije za poticanje ulaganja u obnovu nacionalnog fonda zgrada Republike Hrvatske</w:t>
      </w:r>
      <w:r w:rsidRPr="009C52C4">
        <w:rPr>
          <w:rFonts w:ascii="Times New Roman" w:hAnsi="Times New Roman" w:cs="Times New Roman"/>
          <w:color w:val="auto"/>
          <w:sz w:val="24"/>
          <w:szCs w:val="24"/>
          <w:lang w:eastAsia="en-US"/>
        </w:rPr>
        <w:t xml:space="preserve"> bio je na osnovu utvrđenog ekonomsko-energetski optimalnog modela obnove zgrada identificirati djelotvorne mjere za dugoročno poticanje troškovno učinkovite integralne obnove fonda zgrada Republike Hrvatske (sve zgrade stambenog i nestambenog sektora) do 2050. godine. U cilju odabira optimalne metode obnove svake od četiri kategorija zgrada (zgrade javne namjene, zgrade komercijalne namjene, višestambene zgrade i obiteljske kuće), a s obzirom na trenutno važeće tehničke i f</w:t>
      </w:r>
      <w:r w:rsidR="008467E6" w:rsidRPr="009C52C4">
        <w:rPr>
          <w:rFonts w:ascii="Times New Roman" w:hAnsi="Times New Roman" w:cs="Times New Roman"/>
          <w:color w:val="auto"/>
          <w:sz w:val="24"/>
          <w:szCs w:val="24"/>
          <w:lang w:eastAsia="en-US"/>
        </w:rPr>
        <w:t>inancijske parametre, razmatrano</w:t>
      </w:r>
      <w:r w:rsidRPr="009C52C4">
        <w:rPr>
          <w:rFonts w:ascii="Times New Roman" w:hAnsi="Times New Roman" w:cs="Times New Roman"/>
          <w:color w:val="auto"/>
          <w:sz w:val="24"/>
          <w:szCs w:val="24"/>
          <w:lang w:eastAsia="en-US"/>
        </w:rPr>
        <w:t xml:space="preserve"> </w:t>
      </w:r>
      <w:r w:rsidR="008467E6" w:rsidRPr="009C52C4">
        <w:rPr>
          <w:rFonts w:ascii="Times New Roman" w:hAnsi="Times New Roman" w:cs="Times New Roman"/>
          <w:color w:val="auto"/>
          <w:sz w:val="24"/>
          <w:szCs w:val="24"/>
          <w:lang w:eastAsia="en-US"/>
        </w:rPr>
        <w:t>je</w:t>
      </w:r>
      <w:r w:rsidRPr="009C52C4">
        <w:rPr>
          <w:rFonts w:ascii="Times New Roman" w:hAnsi="Times New Roman" w:cs="Times New Roman"/>
          <w:color w:val="auto"/>
          <w:sz w:val="24"/>
          <w:szCs w:val="24"/>
          <w:lang w:eastAsia="en-US"/>
        </w:rPr>
        <w:t xml:space="preserve"> </w:t>
      </w:r>
      <w:r w:rsidR="008467E6" w:rsidRPr="009C52C4">
        <w:rPr>
          <w:rFonts w:ascii="Times New Roman" w:hAnsi="Times New Roman" w:cs="Times New Roman"/>
          <w:color w:val="auto"/>
          <w:sz w:val="24"/>
          <w:szCs w:val="24"/>
          <w:lang w:eastAsia="en-US"/>
        </w:rPr>
        <w:t>pet</w:t>
      </w:r>
      <w:r w:rsidRPr="009C52C4">
        <w:rPr>
          <w:rFonts w:ascii="Times New Roman" w:hAnsi="Times New Roman" w:cs="Times New Roman"/>
          <w:color w:val="auto"/>
          <w:sz w:val="24"/>
          <w:szCs w:val="24"/>
          <w:lang w:eastAsia="en-US"/>
        </w:rPr>
        <w:t xml:space="preserve"> moguć</w:t>
      </w:r>
      <w:r w:rsidR="008467E6" w:rsidRPr="009C52C4">
        <w:rPr>
          <w:rFonts w:ascii="Times New Roman" w:hAnsi="Times New Roman" w:cs="Times New Roman"/>
          <w:color w:val="auto"/>
          <w:sz w:val="24"/>
          <w:szCs w:val="24"/>
          <w:lang w:eastAsia="en-US"/>
        </w:rPr>
        <w:t>ih</w:t>
      </w:r>
      <w:r w:rsidRPr="009C52C4">
        <w:rPr>
          <w:rFonts w:ascii="Times New Roman" w:hAnsi="Times New Roman" w:cs="Times New Roman"/>
          <w:color w:val="auto"/>
          <w:sz w:val="24"/>
          <w:szCs w:val="24"/>
          <w:lang w:eastAsia="en-US"/>
        </w:rPr>
        <w:t xml:space="preserve"> modela održive obnove zgrada (</w:t>
      </w:r>
      <w:r w:rsidR="008467E6" w:rsidRPr="009C52C4">
        <w:rPr>
          <w:rFonts w:ascii="Times New Roman" w:hAnsi="Times New Roman" w:cs="Times New Roman"/>
          <w:color w:val="auto"/>
          <w:sz w:val="24"/>
          <w:szCs w:val="24"/>
          <w:lang w:eastAsia="en-US"/>
        </w:rPr>
        <w:t xml:space="preserve">obnova prema minimalnim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obnova prema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za veliku rekonstrukciju, </w:t>
      </w:r>
      <w:r w:rsidRPr="009C52C4">
        <w:rPr>
          <w:rFonts w:ascii="Times New Roman" w:hAnsi="Times New Roman" w:cs="Times New Roman"/>
          <w:color w:val="auto"/>
          <w:sz w:val="24"/>
          <w:szCs w:val="24"/>
          <w:lang w:eastAsia="en-US"/>
        </w:rPr>
        <w:t xml:space="preserve">nZEB standard gradnje, standard pasivne gradnje i standard aktivne gradnje). </w:t>
      </w:r>
      <w:r w:rsidR="00C00DC3" w:rsidRPr="009C52C4">
        <w:rPr>
          <w:rFonts w:ascii="Times New Roman" w:hAnsi="Times New Roman" w:cs="Times New Roman"/>
          <w:color w:val="auto"/>
          <w:sz w:val="24"/>
          <w:szCs w:val="24"/>
          <w:lang w:eastAsia="en-US"/>
        </w:rPr>
        <w:t>S o</w:t>
      </w:r>
      <w:r w:rsidR="006107D4" w:rsidRPr="009C52C4">
        <w:rPr>
          <w:rFonts w:ascii="Times New Roman" w:hAnsi="Times New Roman" w:cs="Times New Roman"/>
          <w:color w:val="auto"/>
          <w:sz w:val="24"/>
          <w:szCs w:val="24"/>
          <w:lang w:eastAsia="en-US"/>
        </w:rPr>
        <w:t xml:space="preserve">bzirom na tehničke mogućnosti provedbe različitih mjera energetske učinkovitosti i korištenja obnovljivih izvora energije za pojedinu kategoriju zgrada, kao i obuhvata paketa mjera za </w:t>
      </w:r>
      <w:r w:rsidR="008467E6" w:rsidRPr="009C52C4">
        <w:rPr>
          <w:rFonts w:ascii="Times New Roman" w:hAnsi="Times New Roman" w:cs="Times New Roman"/>
          <w:color w:val="auto"/>
          <w:sz w:val="24"/>
          <w:szCs w:val="24"/>
          <w:lang w:eastAsia="en-US"/>
        </w:rPr>
        <w:t>pet</w:t>
      </w:r>
      <w:r w:rsidR="006107D4" w:rsidRPr="009C52C4">
        <w:rPr>
          <w:rFonts w:ascii="Times New Roman" w:hAnsi="Times New Roman" w:cs="Times New Roman"/>
          <w:color w:val="auto"/>
          <w:sz w:val="24"/>
          <w:szCs w:val="24"/>
          <w:lang w:eastAsia="en-US"/>
        </w:rPr>
        <w:t xml:space="preserve"> </w:t>
      </w:r>
      <w:r w:rsidR="008467E6" w:rsidRPr="009C52C4">
        <w:rPr>
          <w:rFonts w:ascii="Times New Roman" w:hAnsi="Times New Roman" w:cs="Times New Roman"/>
          <w:color w:val="auto"/>
          <w:sz w:val="24"/>
          <w:szCs w:val="24"/>
          <w:lang w:eastAsia="en-US"/>
        </w:rPr>
        <w:t>analiziranih</w:t>
      </w:r>
      <w:r w:rsidR="006107D4" w:rsidRPr="009C52C4">
        <w:rPr>
          <w:rFonts w:ascii="Times New Roman" w:hAnsi="Times New Roman" w:cs="Times New Roman"/>
          <w:color w:val="auto"/>
          <w:sz w:val="24"/>
          <w:szCs w:val="24"/>
          <w:lang w:eastAsia="en-US"/>
        </w:rPr>
        <w:t xml:space="preserve"> modela održive obnove za svaku od četiri kategorije zgrada, kao troškovno optimalan odabran je model obnove zgrada prema </w:t>
      </w:r>
      <w:r w:rsidR="008467E6" w:rsidRPr="009C52C4">
        <w:rPr>
          <w:rFonts w:ascii="Times New Roman" w:hAnsi="Times New Roman" w:cs="Times New Roman"/>
          <w:color w:val="auto"/>
          <w:sz w:val="24"/>
          <w:szCs w:val="24"/>
          <w:lang w:eastAsia="en-US"/>
        </w:rPr>
        <w:t xml:space="preserve">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za veliku rekonstrukciju</w:t>
      </w:r>
      <w:r w:rsidRPr="009C52C4">
        <w:rPr>
          <w:rFonts w:ascii="Times New Roman" w:hAnsi="Times New Roman" w:cs="Times New Roman"/>
          <w:color w:val="auto"/>
          <w:sz w:val="24"/>
          <w:szCs w:val="24"/>
          <w:lang w:eastAsia="en-US"/>
        </w:rPr>
        <w:t xml:space="preserve">). Pritom je kao temeljni parametar usporedbe modela obnove zgrada razmatran specifični iznos ukupnih troškova (Prilog 2, Prilog 4, Prilog 6, Prilog 8, Prilog 10, Prilog 12, Prilog 14 i Prilog 16) na temelju kojeg je za svaku kategoriju zgrada izrađen grafikon ovisnosti ukupnih troškova o razini primarne energije nakon rekonstrukcije po pojedinom modelu obnove (Prilog 3, Prilog 5, Prilog 7, Prilog 9, Prilog 11, Prilog 13, Prilog 15 i Prilog 17). Iako se na temelju prikazanih grafikona </w:t>
      </w:r>
      <w:r w:rsidR="008467E6" w:rsidRPr="009C52C4">
        <w:rPr>
          <w:rFonts w:ascii="Times New Roman" w:hAnsi="Times New Roman" w:cs="Times New Roman"/>
          <w:color w:val="auto"/>
          <w:sz w:val="24"/>
          <w:szCs w:val="24"/>
          <w:lang w:eastAsia="en-US"/>
        </w:rPr>
        <w:t>te tablično prikazanih parametara (</w:t>
      </w:r>
      <w:r w:rsidR="008467E6" w:rsidRPr="009C52C4">
        <w:rPr>
          <w:rFonts w:ascii="Times New Roman" w:hAnsi="Times New Roman" w:cs="Times New Roman"/>
          <w:color w:val="auto"/>
          <w:sz w:val="24"/>
          <w:szCs w:val="24"/>
          <w:lang w:eastAsia="en-US"/>
        </w:rPr>
        <w:fldChar w:fldCharType="begin"/>
      </w:r>
      <w:r w:rsidR="008467E6" w:rsidRPr="009C52C4">
        <w:rPr>
          <w:rFonts w:ascii="Times New Roman" w:hAnsi="Times New Roman" w:cs="Times New Roman"/>
          <w:color w:val="auto"/>
          <w:sz w:val="24"/>
          <w:szCs w:val="24"/>
          <w:lang w:eastAsia="en-US"/>
        </w:rPr>
        <w:instrText xml:space="preserve"> REF _Ref484780294 \h </w:instrText>
      </w:r>
      <w:r w:rsidR="00873572" w:rsidRPr="009C52C4">
        <w:rPr>
          <w:rFonts w:ascii="Times New Roman" w:hAnsi="Times New Roman" w:cs="Times New Roman"/>
          <w:color w:val="auto"/>
          <w:sz w:val="24"/>
          <w:szCs w:val="24"/>
          <w:lang w:eastAsia="en-US"/>
        </w:rPr>
        <w:instrText xml:space="preserve"> \* MERGEFORMAT </w:instrText>
      </w:r>
      <w:r w:rsidR="008467E6" w:rsidRPr="009C52C4">
        <w:rPr>
          <w:rFonts w:ascii="Times New Roman" w:hAnsi="Times New Roman" w:cs="Times New Roman"/>
          <w:color w:val="auto"/>
          <w:sz w:val="24"/>
          <w:szCs w:val="24"/>
          <w:lang w:eastAsia="en-US"/>
        </w:rPr>
      </w:r>
      <w:r w:rsidR="008467E6"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6</w:t>
      </w:r>
      <w:r w:rsidR="008467E6" w:rsidRPr="009C52C4">
        <w:rPr>
          <w:rFonts w:ascii="Times New Roman" w:hAnsi="Times New Roman" w:cs="Times New Roman"/>
          <w:color w:val="auto"/>
          <w:sz w:val="24"/>
          <w:szCs w:val="24"/>
          <w:lang w:eastAsia="en-US"/>
        </w:rPr>
        <w:fldChar w:fldCharType="end"/>
      </w:r>
      <w:r w:rsidR="008467E6" w:rsidRPr="009C52C4">
        <w:rPr>
          <w:rFonts w:ascii="Times New Roman" w:hAnsi="Times New Roman" w:cs="Times New Roman"/>
          <w:color w:val="auto"/>
          <w:sz w:val="24"/>
          <w:szCs w:val="24"/>
          <w:lang w:eastAsia="en-US"/>
        </w:rPr>
        <w:t xml:space="preserve"> i </w:t>
      </w:r>
      <w:r w:rsidR="008467E6" w:rsidRPr="009C52C4">
        <w:rPr>
          <w:rFonts w:ascii="Times New Roman" w:hAnsi="Times New Roman" w:cs="Times New Roman"/>
          <w:color w:val="auto"/>
          <w:sz w:val="24"/>
          <w:szCs w:val="24"/>
          <w:lang w:eastAsia="en-US"/>
        </w:rPr>
        <w:fldChar w:fldCharType="begin"/>
      </w:r>
      <w:r w:rsidR="008467E6" w:rsidRPr="009C52C4">
        <w:rPr>
          <w:rFonts w:ascii="Times New Roman" w:hAnsi="Times New Roman" w:cs="Times New Roman"/>
          <w:color w:val="auto"/>
          <w:sz w:val="24"/>
          <w:szCs w:val="24"/>
          <w:lang w:eastAsia="en-US"/>
        </w:rPr>
        <w:instrText xml:space="preserve"> REF _Ref484780302 \h </w:instrText>
      </w:r>
      <w:r w:rsidR="00873572" w:rsidRPr="009C52C4">
        <w:rPr>
          <w:rFonts w:ascii="Times New Roman" w:hAnsi="Times New Roman" w:cs="Times New Roman"/>
          <w:color w:val="auto"/>
          <w:sz w:val="24"/>
          <w:szCs w:val="24"/>
          <w:lang w:eastAsia="en-US"/>
        </w:rPr>
        <w:instrText xml:space="preserve"> \* MERGEFORMAT </w:instrText>
      </w:r>
      <w:r w:rsidR="008467E6" w:rsidRPr="009C52C4">
        <w:rPr>
          <w:rFonts w:ascii="Times New Roman" w:hAnsi="Times New Roman" w:cs="Times New Roman"/>
          <w:color w:val="auto"/>
          <w:sz w:val="24"/>
          <w:szCs w:val="24"/>
          <w:lang w:eastAsia="en-US"/>
        </w:rPr>
      </w:r>
      <w:r w:rsidR="008467E6" w:rsidRPr="009C52C4">
        <w:rPr>
          <w:rFonts w:ascii="Times New Roman" w:hAnsi="Times New Roman" w:cs="Times New Roman"/>
          <w:color w:val="auto"/>
          <w:sz w:val="24"/>
          <w:szCs w:val="24"/>
          <w:lang w:eastAsia="en-US"/>
        </w:rPr>
        <w:fldChar w:fldCharType="separate"/>
      </w:r>
      <w:r w:rsidR="009D1A7F" w:rsidRPr="009C52C4">
        <w:rPr>
          <w:rFonts w:ascii="Times New Roman" w:hAnsi="Times New Roman" w:cs="Times New Roman"/>
          <w:sz w:val="24"/>
          <w:szCs w:val="24"/>
        </w:rPr>
        <w:t xml:space="preserve">Tablica </w:t>
      </w:r>
      <w:r w:rsidR="009D1A7F" w:rsidRPr="009C52C4">
        <w:rPr>
          <w:rFonts w:ascii="Times New Roman" w:hAnsi="Times New Roman" w:cs="Times New Roman"/>
          <w:noProof/>
          <w:sz w:val="24"/>
          <w:szCs w:val="24"/>
        </w:rPr>
        <w:t>3</w:t>
      </w:r>
      <w:r w:rsidR="009D1A7F" w:rsidRPr="009C52C4">
        <w:rPr>
          <w:rFonts w:ascii="Times New Roman" w:hAnsi="Times New Roman" w:cs="Times New Roman"/>
          <w:sz w:val="24"/>
          <w:szCs w:val="24"/>
        </w:rPr>
        <w:t>.</w:t>
      </w:r>
      <w:r w:rsidR="009D1A7F" w:rsidRPr="009C52C4">
        <w:rPr>
          <w:rFonts w:ascii="Times New Roman" w:hAnsi="Times New Roman" w:cs="Times New Roman"/>
          <w:noProof/>
          <w:sz w:val="24"/>
          <w:szCs w:val="24"/>
        </w:rPr>
        <w:t>7</w:t>
      </w:r>
      <w:r w:rsidR="008467E6" w:rsidRPr="009C52C4">
        <w:rPr>
          <w:rFonts w:ascii="Times New Roman" w:hAnsi="Times New Roman" w:cs="Times New Roman"/>
          <w:color w:val="auto"/>
          <w:sz w:val="24"/>
          <w:szCs w:val="24"/>
          <w:lang w:eastAsia="en-US"/>
        </w:rPr>
        <w:fldChar w:fldCharType="end"/>
      </w:r>
      <w:r w:rsidR="008467E6" w:rsidRPr="009C52C4">
        <w:rPr>
          <w:rFonts w:ascii="Times New Roman" w:hAnsi="Times New Roman" w:cs="Times New Roman"/>
          <w:color w:val="auto"/>
          <w:sz w:val="24"/>
          <w:szCs w:val="24"/>
          <w:lang w:eastAsia="en-US"/>
        </w:rPr>
        <w:t xml:space="preserve">) </w:t>
      </w:r>
      <w:r w:rsidRPr="009C52C4">
        <w:rPr>
          <w:rFonts w:ascii="Times New Roman" w:hAnsi="Times New Roman" w:cs="Times New Roman"/>
          <w:color w:val="auto"/>
          <w:sz w:val="24"/>
          <w:szCs w:val="24"/>
          <w:lang w:eastAsia="en-US"/>
        </w:rPr>
        <w:t>može zaključiti da je najisplativiji standard aktivne gradnje, važno je spomenuti da isplativost navedenog modela ovisi o stjecanju statusa povlaštenog proizvođača iz obnovljivih izvora energije i kogeneracije koji stoga uključuje manji postotak nacionalnog fonda zgrada (zbog obveznog upravnog postupka koji je potrebno proći te zbog obveze redovitog izvještavanja i zadovoljavanja tehničkih uvjeta učinkovitosti postrojenja)</w:t>
      </w:r>
      <w:r w:rsidR="008467E6" w:rsidRPr="009C52C4">
        <w:rPr>
          <w:rFonts w:ascii="Times New Roman" w:hAnsi="Times New Roman" w:cs="Times New Roman"/>
          <w:color w:val="auto"/>
          <w:sz w:val="24"/>
          <w:szCs w:val="24"/>
          <w:lang w:eastAsia="en-US"/>
        </w:rPr>
        <w:t>.</w:t>
      </w:r>
      <w:r w:rsidRPr="009C52C4">
        <w:rPr>
          <w:rFonts w:ascii="Times New Roman" w:hAnsi="Times New Roman" w:cs="Times New Roman"/>
          <w:color w:val="auto"/>
          <w:sz w:val="24"/>
          <w:szCs w:val="24"/>
          <w:lang w:eastAsia="en-US"/>
        </w:rPr>
        <w:t xml:space="preserve"> </w:t>
      </w:r>
      <w:r w:rsidR="008467E6" w:rsidRPr="009C52C4">
        <w:rPr>
          <w:rFonts w:ascii="Times New Roman" w:hAnsi="Times New Roman" w:cs="Times New Roman"/>
          <w:color w:val="auto"/>
          <w:sz w:val="24"/>
          <w:szCs w:val="24"/>
          <w:lang w:eastAsia="en-US"/>
        </w:rPr>
        <w:t xml:space="preserve">Kao troškovno optimalan odabran je model obnove zgrada prema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za veliku rekonstrukciju pri čemu je potrebno napomenuti da </w:t>
      </w:r>
      <w:r w:rsidR="004E6D7F" w:rsidRPr="009C52C4">
        <w:rPr>
          <w:rFonts w:ascii="Times New Roman" w:hAnsi="Times New Roman" w:cs="Times New Roman"/>
          <w:color w:val="auto"/>
          <w:sz w:val="24"/>
          <w:szCs w:val="24"/>
          <w:lang w:eastAsia="en-US"/>
        </w:rPr>
        <w:t>je provedba otežana</w:t>
      </w:r>
      <w:r w:rsidR="008467E6" w:rsidRPr="009C52C4">
        <w:rPr>
          <w:rFonts w:ascii="Times New Roman" w:hAnsi="Times New Roman" w:cs="Times New Roman"/>
          <w:color w:val="auto"/>
          <w:sz w:val="24"/>
          <w:szCs w:val="24"/>
          <w:lang w:eastAsia="en-US"/>
        </w:rPr>
        <w:t xml:space="preserve"> pri obnovi zgrada javne namjene kontinentalne Hrvatske, s obzirom na ograničenja za godišnju isporučenu energiju E</w:t>
      </w:r>
      <w:r w:rsidR="008467E6" w:rsidRPr="009C52C4">
        <w:rPr>
          <w:rFonts w:ascii="Times New Roman" w:hAnsi="Times New Roman" w:cs="Times New Roman"/>
          <w:color w:val="auto"/>
          <w:sz w:val="24"/>
          <w:szCs w:val="24"/>
          <w:vertAlign w:val="subscript"/>
          <w:lang w:eastAsia="en-US"/>
        </w:rPr>
        <w:t>del</w:t>
      </w:r>
      <w:r w:rsidR="008467E6" w:rsidRPr="009C52C4">
        <w:rPr>
          <w:rFonts w:ascii="Times New Roman" w:hAnsi="Times New Roman" w:cs="Times New Roman"/>
          <w:color w:val="auto"/>
          <w:sz w:val="24"/>
          <w:szCs w:val="24"/>
          <w:lang w:eastAsia="en-US"/>
        </w:rPr>
        <w:t xml:space="preserve"> te godišnju primarnu energiju E</w:t>
      </w:r>
      <w:r w:rsidR="008467E6" w:rsidRPr="009C52C4">
        <w:rPr>
          <w:rFonts w:ascii="Times New Roman" w:hAnsi="Times New Roman" w:cs="Times New Roman"/>
          <w:color w:val="auto"/>
          <w:sz w:val="24"/>
          <w:szCs w:val="24"/>
          <w:vertAlign w:val="subscript"/>
          <w:lang w:eastAsia="en-US"/>
        </w:rPr>
        <w:t>prim</w:t>
      </w:r>
      <w:r w:rsidR="008467E6" w:rsidRPr="009C52C4">
        <w:rPr>
          <w:rFonts w:ascii="Times New Roman" w:hAnsi="Times New Roman" w:cs="Times New Roman"/>
          <w:color w:val="auto"/>
          <w:sz w:val="24"/>
          <w:szCs w:val="24"/>
          <w:lang w:eastAsia="en-US"/>
        </w:rPr>
        <w:t xml:space="preserve">. Navedeni model ne pokazuje se optimalnim jedino u kategoriji višestambenih zgrada primorske Hrvatske gdje kao troškovno optimalan model rezultira model obnove prema minimalnim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Model obnove prema nZEB standardu nemoguće je realizirati s obzirom na ograničenja za godišnju isporučenu energiju E</w:t>
      </w:r>
      <w:r w:rsidR="008467E6" w:rsidRPr="009C52C4">
        <w:rPr>
          <w:rFonts w:ascii="Times New Roman" w:hAnsi="Times New Roman" w:cs="Times New Roman"/>
          <w:color w:val="auto"/>
          <w:sz w:val="24"/>
          <w:szCs w:val="24"/>
          <w:vertAlign w:val="subscript"/>
          <w:lang w:eastAsia="en-US"/>
        </w:rPr>
        <w:t>del</w:t>
      </w:r>
      <w:r w:rsidR="008467E6" w:rsidRPr="009C52C4">
        <w:rPr>
          <w:rFonts w:ascii="Times New Roman" w:hAnsi="Times New Roman" w:cs="Times New Roman"/>
          <w:color w:val="auto"/>
          <w:sz w:val="24"/>
          <w:szCs w:val="24"/>
          <w:lang w:eastAsia="en-US"/>
        </w:rPr>
        <w:t xml:space="preserve"> za zgrade javne namjene kontinentalne Hrvatske te godišnju primarnu energiju E</w:t>
      </w:r>
      <w:r w:rsidR="008467E6" w:rsidRPr="009C52C4">
        <w:rPr>
          <w:rFonts w:ascii="Times New Roman" w:hAnsi="Times New Roman" w:cs="Times New Roman"/>
          <w:color w:val="auto"/>
          <w:sz w:val="24"/>
          <w:szCs w:val="24"/>
          <w:vertAlign w:val="subscript"/>
          <w:lang w:eastAsia="en-US"/>
        </w:rPr>
        <w:t>prim</w:t>
      </w:r>
      <w:r w:rsidR="008467E6" w:rsidRPr="009C52C4">
        <w:rPr>
          <w:rFonts w:ascii="Times New Roman" w:hAnsi="Times New Roman" w:cs="Times New Roman"/>
          <w:color w:val="auto"/>
          <w:sz w:val="24"/>
          <w:szCs w:val="24"/>
          <w:lang w:eastAsia="en-US"/>
        </w:rPr>
        <w:t xml:space="preserve"> za gotovo sve kategorije zgrada (iznimke su zgrade komercijalne namjene kontinentalne Hrvatske i primorske Hrvatske), no ukoliko bi ga bilo moguće realizirati postavljanjem blažih kriterija, njegova troškovna isplativost bi rasla s duljinom razdoblja kalkulacije za zgrade kontinentalne Hrvatske. Model obnove zgrade prema minimalnim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troškovno je nepovoljniji od modela obnove zgrade prema zahtjevima </w:t>
      </w:r>
      <w:r w:rsidR="008467E6" w:rsidRPr="009C52C4">
        <w:rPr>
          <w:rFonts w:ascii="Times New Roman" w:hAnsi="Times New Roman" w:cs="Times New Roman"/>
          <w:i/>
          <w:color w:val="auto"/>
          <w:sz w:val="24"/>
          <w:szCs w:val="24"/>
          <w:lang w:eastAsia="en-US"/>
        </w:rPr>
        <w:t>Tehničkog propisa</w:t>
      </w:r>
      <w:r w:rsidR="008467E6" w:rsidRPr="009C52C4">
        <w:rPr>
          <w:rFonts w:ascii="Times New Roman" w:hAnsi="Times New Roman" w:cs="Times New Roman"/>
          <w:color w:val="auto"/>
          <w:sz w:val="24"/>
          <w:szCs w:val="24"/>
          <w:lang w:eastAsia="en-US"/>
        </w:rPr>
        <w:t xml:space="preserve"> za veliku rekonstrukciju i to u većoj mjeri u kontinentalnoj Hrvatskoj te s produljenjem razdoblja kalkulacije.</w:t>
      </w:r>
    </w:p>
    <w:p w14:paraId="725D1993" w14:textId="77777777" w:rsidR="001B17C8" w:rsidRPr="009C52C4" w:rsidRDefault="001B17C8" w:rsidP="001B17C8">
      <w:pPr>
        <w:rPr>
          <w:rFonts w:ascii="Times New Roman" w:hAnsi="Times New Roman" w:cs="Times New Roman"/>
          <w:color w:val="auto"/>
          <w:sz w:val="24"/>
          <w:szCs w:val="24"/>
          <w:lang w:eastAsia="en-US"/>
        </w:rPr>
      </w:pPr>
    </w:p>
    <w:p w14:paraId="78AB1449" w14:textId="77777777" w:rsidR="0076376D" w:rsidRPr="009C52C4" w:rsidRDefault="004F68D2" w:rsidP="0076376D">
      <w:pPr>
        <w:rPr>
          <w:rFonts w:ascii="Times New Roman" w:hAnsi="Times New Roman" w:cs="Times New Roman"/>
          <w:bCs/>
          <w:color w:val="auto"/>
          <w:sz w:val="24"/>
          <w:szCs w:val="24"/>
          <w:lang w:eastAsia="en-US"/>
        </w:rPr>
      </w:pPr>
      <w:r w:rsidRPr="009C52C4">
        <w:rPr>
          <w:rFonts w:ascii="Times New Roman" w:hAnsi="Times New Roman" w:cs="Times New Roman"/>
          <w:bCs/>
          <w:color w:val="auto"/>
          <w:sz w:val="24"/>
          <w:szCs w:val="24"/>
          <w:lang w:eastAsia="en-US"/>
        </w:rPr>
        <w:t xml:space="preserve">Dugoročna strategija za poticanje ulaganja u obnovu nacionalnog fonda zgrada Republike Hrvatske </w:t>
      </w:r>
      <w:r w:rsidR="0076376D" w:rsidRPr="009C52C4">
        <w:rPr>
          <w:rFonts w:ascii="Times New Roman" w:hAnsi="Times New Roman" w:cs="Times New Roman"/>
          <w:bCs/>
          <w:color w:val="auto"/>
          <w:sz w:val="24"/>
          <w:szCs w:val="24"/>
          <w:lang w:eastAsia="en-US"/>
        </w:rPr>
        <w:t xml:space="preserve">je obuhvatila pregled postojećih mjera i prepreka za integralnu energetsku obnovu zgrada u Republici Hrvatskoj te prijedlog rješenja i mjera baziranih na situaciji u Hrvatskoj i analizi uspješnih mjera i politika država članica Europske unije. Može se zaključiti da su glavne prepreke obnovi nacionalnog fonda zgrada Republike Hrvatske legislativne i financijske prirode, ali i da integralnu energetsku obnovu zgrada u velikoj mjeri koči </w:t>
      </w:r>
      <w:r w:rsidR="0076376D" w:rsidRPr="009C52C4">
        <w:rPr>
          <w:rFonts w:ascii="Times New Roman" w:hAnsi="Times New Roman" w:cs="Times New Roman"/>
          <w:bCs/>
          <w:color w:val="auto"/>
          <w:sz w:val="24"/>
          <w:szCs w:val="24"/>
          <w:lang w:eastAsia="en-US"/>
        </w:rPr>
        <w:lastRenderedPageBreak/>
        <w:t xml:space="preserve">neupućenost i nedovoljna motiviranost investitora, javnosti i interesnih grupa. S obzirom na navedeno, u okviru </w:t>
      </w:r>
      <w:r w:rsidRPr="009C52C4">
        <w:rPr>
          <w:rFonts w:ascii="Times New Roman" w:hAnsi="Times New Roman" w:cs="Times New Roman"/>
          <w:bCs/>
          <w:color w:val="auto"/>
          <w:sz w:val="24"/>
          <w:szCs w:val="24"/>
          <w:lang w:eastAsia="en-US"/>
        </w:rPr>
        <w:t>Dugoročne strategije za poticanje ulaganja u obnovu nacionalnog fonda zgrada Republike Hrvatske</w:t>
      </w:r>
      <w:r w:rsidR="0076376D" w:rsidRPr="009C52C4">
        <w:rPr>
          <w:rFonts w:ascii="Times New Roman" w:hAnsi="Times New Roman" w:cs="Times New Roman"/>
          <w:bCs/>
          <w:color w:val="auto"/>
          <w:sz w:val="24"/>
          <w:szCs w:val="24"/>
          <w:lang w:eastAsia="en-US"/>
        </w:rPr>
        <w:t xml:space="preserve"> izvršena je identifikacija raspoloživih izvora financiranja i uspješnih načina za motiviranje investitora te procjena potrebnih ulaganja u obnovu nacionalnog fonda zgrada do 2050. godine. Postizanje zadanih ciljeva energetske obnove zahtijeva mobilizaciju značajnih sredstava za investicijske troškove te troškove održavanja i zamjene koji se do 2050. godine procjenjuju na gotovo </w:t>
      </w:r>
      <w:r w:rsidR="0024247B" w:rsidRPr="009C52C4">
        <w:rPr>
          <w:rFonts w:ascii="Times New Roman" w:hAnsi="Times New Roman" w:cs="Times New Roman"/>
          <w:bCs/>
          <w:color w:val="auto"/>
          <w:sz w:val="24"/>
          <w:szCs w:val="24"/>
          <w:lang w:eastAsia="en-US"/>
        </w:rPr>
        <w:t>790</w:t>
      </w:r>
      <w:r w:rsidR="0076376D" w:rsidRPr="009C52C4">
        <w:rPr>
          <w:rFonts w:ascii="Times New Roman" w:hAnsi="Times New Roman" w:cs="Times New Roman"/>
          <w:bCs/>
          <w:color w:val="auto"/>
          <w:sz w:val="24"/>
          <w:szCs w:val="24"/>
          <w:lang w:eastAsia="en-US"/>
        </w:rPr>
        <w:t xml:space="preserve"> milijardi kuna. Predloženom dinamikom obnove ostvarit će se ukupno smanjenje emisija CO</w:t>
      </w:r>
      <w:r w:rsidR="0076376D" w:rsidRPr="009C52C4">
        <w:rPr>
          <w:rFonts w:ascii="Times New Roman" w:hAnsi="Times New Roman" w:cs="Times New Roman"/>
          <w:bCs/>
          <w:color w:val="auto"/>
          <w:sz w:val="24"/>
          <w:szCs w:val="24"/>
          <w:vertAlign w:val="subscript"/>
          <w:lang w:eastAsia="en-US"/>
        </w:rPr>
        <w:t>2</w:t>
      </w:r>
      <w:r w:rsidR="0076376D" w:rsidRPr="009C52C4">
        <w:rPr>
          <w:rFonts w:ascii="Times New Roman" w:hAnsi="Times New Roman" w:cs="Times New Roman"/>
          <w:bCs/>
          <w:color w:val="auto"/>
          <w:sz w:val="24"/>
          <w:szCs w:val="24"/>
          <w:lang w:eastAsia="en-US"/>
        </w:rPr>
        <w:t xml:space="preserve"> za 8</w:t>
      </w:r>
      <w:r w:rsidR="00536637" w:rsidRPr="009C52C4">
        <w:rPr>
          <w:rFonts w:ascii="Times New Roman" w:hAnsi="Times New Roman" w:cs="Times New Roman"/>
          <w:bCs/>
          <w:color w:val="auto"/>
          <w:sz w:val="24"/>
          <w:szCs w:val="24"/>
          <w:lang w:eastAsia="en-US"/>
        </w:rPr>
        <w:t>1</w:t>
      </w:r>
      <w:r w:rsidR="0076376D" w:rsidRPr="009C52C4">
        <w:rPr>
          <w:rFonts w:ascii="Times New Roman" w:hAnsi="Times New Roman" w:cs="Times New Roman"/>
          <w:bCs/>
          <w:color w:val="auto"/>
          <w:sz w:val="24"/>
          <w:szCs w:val="24"/>
          <w:lang w:eastAsia="en-US"/>
        </w:rPr>
        <w:t>,</w:t>
      </w:r>
      <w:r w:rsidR="00536637" w:rsidRPr="009C52C4">
        <w:rPr>
          <w:rFonts w:ascii="Times New Roman" w:hAnsi="Times New Roman" w:cs="Times New Roman"/>
          <w:bCs/>
          <w:color w:val="auto"/>
          <w:sz w:val="24"/>
          <w:szCs w:val="24"/>
          <w:lang w:eastAsia="en-US"/>
        </w:rPr>
        <w:t>1</w:t>
      </w:r>
      <w:r w:rsidR="0076376D" w:rsidRPr="009C52C4">
        <w:rPr>
          <w:rFonts w:ascii="Times New Roman" w:hAnsi="Times New Roman" w:cs="Times New Roman"/>
          <w:bCs/>
          <w:color w:val="auto"/>
          <w:sz w:val="24"/>
          <w:szCs w:val="24"/>
          <w:lang w:eastAsia="en-US"/>
        </w:rPr>
        <w:t>% i postići ciljevi zadani Energetskim putokazom Europske unije. Kako trenutačno raspoloživim izvorima financiranja nije moguće realizirati postavljene ciljeve, predlaže se uvođenje novih, inovativnih mehanizama financiranja koji kombiniraju javne i tržišne instrumente prilagođene širokom rasponu investitora. Strukturni i investicijski fondovi Europske unije predstavljat će primarni izvor sredstava za uklanjanje</w:t>
      </w:r>
      <w:r w:rsidR="0076376D" w:rsidRPr="009C52C4">
        <w:rPr>
          <w:rFonts w:ascii="Times New Roman" w:hAnsi="Times New Roman" w:cs="Times New Roman"/>
          <w:b/>
          <w:bCs/>
          <w:color w:val="auto"/>
          <w:sz w:val="24"/>
          <w:szCs w:val="24"/>
          <w:lang w:eastAsia="en-US"/>
        </w:rPr>
        <w:t xml:space="preserve"> </w:t>
      </w:r>
      <w:r w:rsidR="0076376D" w:rsidRPr="009C52C4">
        <w:rPr>
          <w:rFonts w:ascii="Times New Roman" w:hAnsi="Times New Roman" w:cs="Times New Roman"/>
          <w:bCs/>
          <w:color w:val="auto"/>
          <w:sz w:val="24"/>
          <w:szCs w:val="24"/>
          <w:lang w:eastAsia="en-US"/>
        </w:rPr>
        <w:t>barijera u financijskom sektoru te postepeno omogućiti intenzivnije uključivanje financijskih institucija i privatnih investitora na tržištu energetskih usluga.</w:t>
      </w:r>
    </w:p>
    <w:p w14:paraId="56362656" w14:textId="3BF7C0CB" w:rsidR="000250BF" w:rsidRPr="009C52C4" w:rsidRDefault="0076376D" w:rsidP="000250BF">
      <w:pPr>
        <w:rPr>
          <w:rFonts w:ascii="Times New Roman" w:hAnsi="Times New Roman" w:cs="Times New Roman"/>
          <w:bCs/>
          <w:color w:val="auto"/>
          <w:sz w:val="24"/>
          <w:szCs w:val="24"/>
          <w:lang w:eastAsia="en-US"/>
        </w:rPr>
      </w:pPr>
      <w:r w:rsidRPr="009C52C4">
        <w:rPr>
          <w:rFonts w:ascii="Times New Roman" w:hAnsi="Times New Roman" w:cs="Times New Roman"/>
          <w:bCs/>
          <w:color w:val="auto"/>
          <w:sz w:val="24"/>
          <w:szCs w:val="24"/>
          <w:lang w:eastAsia="en-US"/>
        </w:rPr>
        <w:t xml:space="preserve">U </w:t>
      </w:r>
      <w:r w:rsidR="004F68D2" w:rsidRPr="009C52C4">
        <w:rPr>
          <w:rFonts w:ascii="Times New Roman" w:hAnsi="Times New Roman" w:cs="Times New Roman"/>
          <w:bCs/>
          <w:color w:val="auto"/>
          <w:sz w:val="24"/>
          <w:szCs w:val="24"/>
          <w:lang w:eastAsia="en-US"/>
        </w:rPr>
        <w:t>Dugoročnoj strategiji za poticanje ulaganja u obnovu nacionalnog fonda zgrada Republike Hrvatske</w:t>
      </w:r>
      <w:r w:rsidRPr="009C52C4">
        <w:rPr>
          <w:rFonts w:ascii="Times New Roman" w:hAnsi="Times New Roman" w:cs="Times New Roman"/>
          <w:bCs/>
          <w:color w:val="auto"/>
          <w:sz w:val="24"/>
          <w:szCs w:val="24"/>
          <w:lang w:eastAsia="en-US"/>
        </w:rPr>
        <w:t xml:space="preserve"> je provedena analiza potencijalnih ušteda energije, smanjenja emisije CO</w:t>
      </w:r>
      <w:r w:rsidRPr="009C52C4">
        <w:rPr>
          <w:rFonts w:ascii="Times New Roman" w:hAnsi="Times New Roman" w:cs="Times New Roman"/>
          <w:bCs/>
          <w:color w:val="auto"/>
          <w:sz w:val="24"/>
          <w:szCs w:val="24"/>
          <w:vertAlign w:val="subscript"/>
          <w:lang w:eastAsia="en-US"/>
        </w:rPr>
        <w:t>2</w:t>
      </w:r>
      <w:r w:rsidRPr="009C52C4">
        <w:rPr>
          <w:rFonts w:ascii="Times New Roman" w:hAnsi="Times New Roman" w:cs="Times New Roman"/>
          <w:bCs/>
          <w:color w:val="auto"/>
          <w:sz w:val="24"/>
          <w:szCs w:val="24"/>
          <w:lang w:eastAsia="en-US"/>
        </w:rPr>
        <w:t xml:space="preserve"> i utjecaja na zapošljavanje, gospodarstvo te suzbijanje energetskog siromaštva kao rezultata energetske obnove zgrada. </w:t>
      </w:r>
      <w:r w:rsidR="000250BF" w:rsidRPr="009C52C4">
        <w:rPr>
          <w:rFonts w:ascii="Times New Roman" w:hAnsi="Times New Roman" w:cs="Times New Roman"/>
          <w:bCs/>
          <w:color w:val="auto"/>
          <w:sz w:val="24"/>
          <w:szCs w:val="24"/>
          <w:lang w:eastAsia="en-US"/>
        </w:rPr>
        <w:t xml:space="preserve">Procjena očekivane uštede energije i širih koristi utemeljena na računskim i modelskim podacima bazira se na činjenici da ulaganja u integralnu obnovu nacionalnog fonda zgrada stvaraju daleko šire ekonomske koristi od samih energetskih ušteda i poboljšanja kvalitete stanovanja i rada. </w:t>
      </w:r>
      <w:r w:rsidR="00EC0E3A" w:rsidRPr="009C52C4">
        <w:rPr>
          <w:rFonts w:ascii="Times New Roman" w:hAnsi="Times New Roman" w:cs="Times New Roman"/>
          <w:color w:val="auto"/>
          <w:sz w:val="24"/>
          <w:szCs w:val="24"/>
        </w:rPr>
        <w:t>Povećana građevinska aktivnost pozitivno utječe na bruto domaći proizvod (BDP), zapošljavanje i prihode proračuna. Ako se zaključno s 2049. godinom realizira integraln</w:t>
      </w:r>
      <w:r w:rsidR="00C00DC3" w:rsidRPr="009C52C4">
        <w:rPr>
          <w:rFonts w:ascii="Times New Roman" w:hAnsi="Times New Roman" w:cs="Times New Roman"/>
          <w:color w:val="auto"/>
          <w:sz w:val="24"/>
          <w:szCs w:val="24"/>
        </w:rPr>
        <w:t>a</w:t>
      </w:r>
      <w:r w:rsidR="00EC0E3A" w:rsidRPr="009C52C4">
        <w:rPr>
          <w:rFonts w:ascii="Times New Roman" w:hAnsi="Times New Roman" w:cs="Times New Roman"/>
          <w:color w:val="auto"/>
          <w:sz w:val="24"/>
          <w:szCs w:val="24"/>
        </w:rPr>
        <w:t xml:space="preserve"> obnov</w:t>
      </w:r>
      <w:r w:rsidR="00C00DC3" w:rsidRPr="009C52C4">
        <w:rPr>
          <w:rFonts w:ascii="Times New Roman" w:hAnsi="Times New Roman" w:cs="Times New Roman"/>
          <w:color w:val="auto"/>
          <w:sz w:val="24"/>
          <w:szCs w:val="24"/>
        </w:rPr>
        <w:t>a</w:t>
      </w:r>
      <w:r w:rsidR="00EC0E3A" w:rsidRPr="009C52C4">
        <w:rPr>
          <w:rFonts w:ascii="Times New Roman" w:hAnsi="Times New Roman" w:cs="Times New Roman"/>
          <w:color w:val="auto"/>
          <w:sz w:val="24"/>
          <w:szCs w:val="24"/>
        </w:rPr>
        <w:t xml:space="preserve"> 91,7% nacionalnog fonda zgrada, očekivani učinak na zapošljavanje mogao bi iznositi između 56 tisuća novih radnih mjesta u scenariju konzervativno procijenjenih multiplikativnih učinaka i 93 tisuće u scenariju jake multiplikacije. Pri tome bi već do 2020. godine očekivani učinak na zapošljavanje bio između 25 i 43 tisuće novih radnih mjesta, zavisno o procjeni multiplikativnih učinaka, dok se do 2030. godine očekuje dodatnih 5 do 9 tisuća. Procijenjeni učinak integralne obnove na povećanje BDP-a do 2030. godine kreće se između 5,0% i 8,4% odnosno do 2050. između 5,7% i 9,5% u ovisnosti o procijenjenim multiplikativnim učincima. </w:t>
      </w:r>
      <w:r w:rsidR="00536637" w:rsidRPr="009C52C4">
        <w:rPr>
          <w:rFonts w:ascii="Times New Roman" w:hAnsi="Times New Roman" w:cs="Times New Roman"/>
          <w:bCs/>
          <w:color w:val="auto"/>
          <w:sz w:val="24"/>
          <w:szCs w:val="24"/>
          <w:lang w:eastAsia="en-US"/>
        </w:rPr>
        <w:t xml:space="preserve">Procijenjeni učinak </w:t>
      </w:r>
      <w:r w:rsidR="00C00DC3" w:rsidRPr="009C52C4">
        <w:rPr>
          <w:rFonts w:ascii="Times New Roman" w:hAnsi="Times New Roman" w:cs="Times New Roman"/>
          <w:bCs/>
          <w:color w:val="auto"/>
          <w:sz w:val="24"/>
          <w:szCs w:val="24"/>
          <w:lang w:eastAsia="en-US"/>
        </w:rPr>
        <w:t>i</w:t>
      </w:r>
      <w:r w:rsidR="00536637" w:rsidRPr="009C52C4">
        <w:rPr>
          <w:rFonts w:ascii="Times New Roman" w:hAnsi="Times New Roman" w:cs="Times New Roman"/>
          <w:bCs/>
          <w:color w:val="auto"/>
          <w:sz w:val="24"/>
          <w:szCs w:val="24"/>
          <w:lang w:eastAsia="en-US"/>
        </w:rPr>
        <w:t xml:space="preserve">ntegralne obnove na ostvarenje energetskih ušteda do 2030. godine kreće se oko 67,0 PJ odnosno do 2050. oko 131,5 PJ, što je ostvarenje otprilike 62% cilja ukupne uštede energije. </w:t>
      </w:r>
    </w:p>
    <w:p w14:paraId="766987C8" w14:textId="77777777" w:rsidR="000250BF" w:rsidRPr="009C52C4" w:rsidRDefault="000250BF" w:rsidP="000250BF">
      <w:pPr>
        <w:rPr>
          <w:rFonts w:ascii="Times New Roman" w:hAnsi="Times New Roman" w:cs="Times New Roman"/>
          <w:bCs/>
          <w:color w:val="auto"/>
          <w:sz w:val="24"/>
          <w:szCs w:val="24"/>
          <w:lang w:eastAsia="en-US"/>
        </w:rPr>
      </w:pPr>
    </w:p>
    <w:p w14:paraId="498AFBFE" w14:textId="24C0D8C5" w:rsidR="000250BF" w:rsidRPr="009C52C4" w:rsidRDefault="000250BF" w:rsidP="000250BF">
      <w:pPr>
        <w:rPr>
          <w:rFonts w:ascii="Times New Roman" w:hAnsi="Times New Roman" w:cs="Times New Roman"/>
          <w:bCs/>
          <w:color w:val="auto"/>
          <w:sz w:val="24"/>
          <w:szCs w:val="24"/>
          <w:lang w:eastAsia="en-US"/>
        </w:rPr>
      </w:pPr>
      <w:r w:rsidRPr="009C52C4">
        <w:rPr>
          <w:rFonts w:ascii="Times New Roman" w:hAnsi="Times New Roman" w:cs="Times New Roman"/>
          <w:bCs/>
          <w:color w:val="auto"/>
          <w:sz w:val="24"/>
          <w:szCs w:val="24"/>
          <w:lang w:eastAsia="en-US"/>
        </w:rPr>
        <w:t>Šire ekonomske koristi integralne obnove nacionalnog fonda zgrada ne iscrpljuju se na gospodarskim aktivnostima, prihodima proračuna i porastu zapošljavanja. Integralna obnova nacionalnog fonda zgrada sigurno rezultira poboljšanjem zdravlja i posljedično znatnim smanjenjem troškova hrvatskog javno-zdravstvenog sustava, smanjenjem energetskog siromaštva Hrvatske te kontinuiranim rastom vrijednosti nekretnina, a indirektne će se koristi osjetiti u sektoru turizm</w:t>
      </w:r>
      <w:r w:rsidR="00C00DC3" w:rsidRPr="009C52C4">
        <w:rPr>
          <w:rFonts w:ascii="Times New Roman" w:hAnsi="Times New Roman" w:cs="Times New Roman"/>
          <w:bCs/>
          <w:color w:val="auto"/>
          <w:sz w:val="24"/>
          <w:szCs w:val="24"/>
          <w:lang w:eastAsia="en-US"/>
        </w:rPr>
        <w:t>a</w:t>
      </w:r>
      <w:r w:rsidRPr="009C52C4">
        <w:rPr>
          <w:rFonts w:ascii="Times New Roman" w:hAnsi="Times New Roman" w:cs="Times New Roman"/>
          <w:bCs/>
          <w:color w:val="auto"/>
          <w:sz w:val="24"/>
          <w:szCs w:val="24"/>
          <w:lang w:eastAsia="en-US"/>
        </w:rPr>
        <w:t>, povećanju kvalitete života i jačanju opće financijske stabilnosti države.</w:t>
      </w:r>
      <w:r w:rsidR="00A275AA" w:rsidRPr="009C52C4">
        <w:rPr>
          <w:rFonts w:ascii="Times New Roman" w:hAnsi="Times New Roman" w:cs="Times New Roman"/>
          <w:bCs/>
          <w:color w:val="auto"/>
          <w:sz w:val="24"/>
          <w:szCs w:val="24"/>
          <w:lang w:eastAsia="en-US"/>
        </w:rPr>
        <w:t xml:space="preserve"> Učinak predložene dinamike obnove na smanjenje emisija CO</w:t>
      </w:r>
      <w:r w:rsidR="00A275AA" w:rsidRPr="009C52C4">
        <w:rPr>
          <w:rFonts w:ascii="Times New Roman" w:hAnsi="Times New Roman" w:cs="Times New Roman"/>
          <w:bCs/>
          <w:color w:val="auto"/>
          <w:sz w:val="24"/>
          <w:szCs w:val="24"/>
          <w:vertAlign w:val="subscript"/>
          <w:lang w:eastAsia="en-US"/>
        </w:rPr>
        <w:t>2</w:t>
      </w:r>
      <w:r w:rsidR="00A275AA" w:rsidRPr="009C52C4">
        <w:rPr>
          <w:rFonts w:ascii="Times New Roman" w:hAnsi="Times New Roman" w:cs="Times New Roman"/>
          <w:bCs/>
          <w:color w:val="auto"/>
          <w:sz w:val="24"/>
          <w:szCs w:val="24"/>
          <w:lang w:eastAsia="en-US"/>
        </w:rPr>
        <w:t xml:space="preserve"> do 2030. godine kreće se oko 3.197 kt odnosno do 2050. oko 6.277 kt.</w:t>
      </w:r>
    </w:p>
    <w:p w14:paraId="73F20E52" w14:textId="77777777" w:rsidR="000250BF" w:rsidRPr="009C52C4" w:rsidRDefault="000250BF" w:rsidP="000250BF">
      <w:pPr>
        <w:rPr>
          <w:rFonts w:ascii="Times New Roman" w:hAnsi="Times New Roman" w:cs="Times New Roman"/>
          <w:bCs/>
          <w:color w:val="auto"/>
          <w:sz w:val="24"/>
          <w:szCs w:val="24"/>
          <w:lang w:eastAsia="en-US"/>
        </w:rPr>
      </w:pPr>
    </w:p>
    <w:p w14:paraId="281C51D5" w14:textId="4806BDEA" w:rsidR="00784B28" w:rsidRPr="009C52C4" w:rsidRDefault="000250BF" w:rsidP="000250BF">
      <w:pPr>
        <w:rPr>
          <w:rFonts w:ascii="Times New Roman" w:hAnsi="Times New Roman" w:cs="Times New Roman"/>
          <w:bCs/>
          <w:color w:val="auto"/>
          <w:sz w:val="24"/>
          <w:szCs w:val="24"/>
          <w:lang w:eastAsia="en-US"/>
        </w:rPr>
      </w:pPr>
      <w:r w:rsidRPr="009C52C4">
        <w:rPr>
          <w:rFonts w:ascii="Times New Roman" w:hAnsi="Times New Roman" w:cs="Times New Roman"/>
          <w:color w:val="auto"/>
          <w:sz w:val="24"/>
          <w:szCs w:val="24"/>
          <w:lang w:eastAsia="en-US"/>
        </w:rPr>
        <w:t xml:space="preserve">Provedena analiza u sklopu ove </w:t>
      </w:r>
      <w:r w:rsidR="004F68D2" w:rsidRPr="009C52C4">
        <w:rPr>
          <w:rFonts w:ascii="Times New Roman" w:hAnsi="Times New Roman" w:cs="Times New Roman"/>
          <w:color w:val="auto"/>
          <w:sz w:val="24"/>
          <w:szCs w:val="24"/>
          <w:lang w:eastAsia="en-US"/>
        </w:rPr>
        <w:t>Dugoročne strategije za poticanje ulaganja u obnovu nacionalnog fonda zgrada Republike Hrvatske</w:t>
      </w:r>
      <w:r w:rsidRPr="009C52C4">
        <w:rPr>
          <w:rFonts w:ascii="Times New Roman" w:hAnsi="Times New Roman" w:cs="Times New Roman"/>
          <w:color w:val="auto"/>
          <w:sz w:val="24"/>
          <w:szCs w:val="24"/>
          <w:lang w:eastAsia="en-US"/>
        </w:rPr>
        <w:t xml:space="preserve"> pokazuje da je energetska obnova zgrada izrazito korisna mjera u uvjetima gospodarske krize i potrebe za otvaranjem novih radnih mjesta poticanjem gospodarske aktivnosti. Ostvarenjem </w:t>
      </w:r>
      <w:r w:rsidR="00507A31" w:rsidRPr="009C52C4">
        <w:rPr>
          <w:rFonts w:ascii="Times New Roman" w:hAnsi="Times New Roman" w:cs="Times New Roman"/>
          <w:color w:val="auto"/>
          <w:sz w:val="24"/>
          <w:szCs w:val="24"/>
          <w:lang w:eastAsia="en-US"/>
        </w:rPr>
        <w:t>ciljeva</w:t>
      </w:r>
      <w:r w:rsidRPr="009C52C4">
        <w:rPr>
          <w:rFonts w:ascii="Times New Roman" w:hAnsi="Times New Roman" w:cs="Times New Roman"/>
          <w:color w:val="auto"/>
          <w:sz w:val="24"/>
          <w:szCs w:val="24"/>
          <w:lang w:eastAsia="en-US"/>
        </w:rPr>
        <w:t xml:space="preserve"> zadani</w:t>
      </w:r>
      <w:r w:rsidR="00507A31" w:rsidRPr="009C52C4">
        <w:rPr>
          <w:rFonts w:ascii="Times New Roman" w:hAnsi="Times New Roman" w:cs="Times New Roman"/>
          <w:color w:val="auto"/>
          <w:sz w:val="24"/>
          <w:szCs w:val="24"/>
          <w:lang w:eastAsia="en-US"/>
        </w:rPr>
        <w:t>h</w:t>
      </w:r>
      <w:r w:rsidRPr="009C52C4">
        <w:rPr>
          <w:rFonts w:ascii="Times New Roman" w:hAnsi="Times New Roman" w:cs="Times New Roman"/>
          <w:color w:val="auto"/>
          <w:sz w:val="24"/>
          <w:szCs w:val="24"/>
          <w:lang w:eastAsia="en-US"/>
        </w:rPr>
        <w:t xml:space="preserve"> </w:t>
      </w:r>
      <w:r w:rsidR="004F68D2" w:rsidRPr="009C52C4">
        <w:rPr>
          <w:rFonts w:ascii="Times New Roman" w:hAnsi="Times New Roman" w:cs="Times New Roman"/>
          <w:color w:val="auto"/>
          <w:sz w:val="24"/>
          <w:szCs w:val="24"/>
          <w:lang w:eastAsia="en-US"/>
        </w:rPr>
        <w:t>Dugoročnom strategijom za poticanje ulaganja u obnovu nacionalnog fonda zgrada Republike Hrvatske</w:t>
      </w:r>
      <w:r w:rsidRPr="009C52C4">
        <w:rPr>
          <w:rFonts w:ascii="Times New Roman" w:hAnsi="Times New Roman" w:cs="Times New Roman"/>
          <w:color w:val="auto"/>
          <w:sz w:val="24"/>
          <w:szCs w:val="24"/>
          <w:lang w:eastAsia="en-US"/>
        </w:rPr>
        <w:t xml:space="preserve"> pridonijet će se ostvarenju postavljenih nacionalnih ciljeva energetske politike. </w:t>
      </w:r>
      <w:r w:rsidRPr="009C52C4">
        <w:rPr>
          <w:rFonts w:ascii="Times New Roman" w:hAnsi="Times New Roman" w:cs="Times New Roman"/>
          <w:bCs/>
          <w:color w:val="auto"/>
          <w:sz w:val="24"/>
          <w:szCs w:val="24"/>
          <w:lang w:eastAsia="en-US"/>
        </w:rPr>
        <w:t xml:space="preserve">Iz svih ovih razloga, može se sa sigurnošću zaključiti da će realizacija integralne obnove nacionalnog </w:t>
      </w:r>
      <w:r w:rsidRPr="009C52C4">
        <w:rPr>
          <w:rFonts w:ascii="Times New Roman" w:hAnsi="Times New Roman" w:cs="Times New Roman"/>
          <w:bCs/>
          <w:color w:val="auto"/>
          <w:sz w:val="24"/>
          <w:szCs w:val="24"/>
          <w:lang w:eastAsia="en-US"/>
        </w:rPr>
        <w:lastRenderedPageBreak/>
        <w:t xml:space="preserve">fonda zgrada Republike Hrvatske, a u skladu s odrednicama ove </w:t>
      </w:r>
      <w:r w:rsidR="004F68D2" w:rsidRPr="009C52C4">
        <w:rPr>
          <w:rFonts w:ascii="Times New Roman" w:hAnsi="Times New Roman" w:cs="Times New Roman"/>
          <w:bCs/>
          <w:color w:val="auto"/>
          <w:sz w:val="24"/>
          <w:szCs w:val="24"/>
          <w:lang w:eastAsia="en-US"/>
        </w:rPr>
        <w:t>Dugoročne strategije za poticanje ulaganja u obnovu nacionalnog fonda zgrada Republike Hrvatske</w:t>
      </w:r>
      <w:r w:rsidRPr="009C52C4">
        <w:rPr>
          <w:rFonts w:ascii="Times New Roman" w:hAnsi="Times New Roman" w:cs="Times New Roman"/>
          <w:bCs/>
          <w:color w:val="auto"/>
          <w:sz w:val="24"/>
          <w:szCs w:val="24"/>
          <w:lang w:eastAsia="en-US"/>
        </w:rPr>
        <w:t>, rezultirati unaprjeđenjem hrvatskog gospodarstva u gotovo svim njegovim segmentima.</w:t>
      </w:r>
    </w:p>
    <w:p w14:paraId="617C1D89" w14:textId="77777777" w:rsidR="000250BF" w:rsidRPr="009C52C4" w:rsidRDefault="000250BF" w:rsidP="00784B28">
      <w:pPr>
        <w:rPr>
          <w:rFonts w:ascii="Times New Roman" w:hAnsi="Times New Roman" w:cs="Times New Roman"/>
          <w:bCs/>
          <w:color w:val="auto"/>
          <w:sz w:val="24"/>
          <w:szCs w:val="24"/>
          <w:lang w:eastAsia="en-US"/>
        </w:rPr>
      </w:pPr>
    </w:p>
    <w:p w14:paraId="3D492905" w14:textId="77777777" w:rsidR="00F54CC3" w:rsidRPr="009C52C4" w:rsidRDefault="00F54CC3">
      <w:pPr>
        <w:jc w:val="left"/>
        <w:rPr>
          <w:rFonts w:ascii="Times New Roman" w:hAnsi="Times New Roman" w:cs="Times New Roman"/>
          <w:sz w:val="24"/>
          <w:szCs w:val="24"/>
        </w:rPr>
        <w:sectPr w:rsidR="00F54CC3" w:rsidRPr="009C52C4" w:rsidSect="00227458">
          <w:pgSz w:w="11906" w:h="16838"/>
          <w:pgMar w:top="1417" w:right="1417" w:bottom="1417" w:left="1417" w:header="720" w:footer="720" w:gutter="0"/>
          <w:cols w:space="720"/>
          <w:docGrid w:linePitch="299"/>
        </w:sectPr>
      </w:pPr>
    </w:p>
    <w:p w14:paraId="3AB77ECE" w14:textId="77777777" w:rsidR="00B122B4" w:rsidRPr="009C52C4" w:rsidRDefault="00F54CC3">
      <w:pPr>
        <w:pStyle w:val="Heading1"/>
        <w:rPr>
          <w:rFonts w:ascii="Times New Roman" w:hAnsi="Times New Roman" w:cs="Times New Roman"/>
          <w:sz w:val="24"/>
          <w:szCs w:val="24"/>
        </w:rPr>
      </w:pPr>
      <w:bookmarkStart w:id="239" w:name="h.45jfvxd" w:colFirst="0" w:colLast="0"/>
      <w:bookmarkStart w:id="240" w:name="_Toc3277940"/>
      <w:bookmarkEnd w:id="239"/>
      <w:r w:rsidRPr="009C52C4">
        <w:rPr>
          <w:rFonts w:ascii="Times New Roman" w:hAnsi="Times New Roman" w:cs="Times New Roman"/>
          <w:sz w:val="24"/>
          <w:szCs w:val="24"/>
        </w:rPr>
        <w:lastRenderedPageBreak/>
        <w:t xml:space="preserve">Prilog 1 </w:t>
      </w:r>
      <w:r w:rsidRPr="009C52C4">
        <w:rPr>
          <w:rFonts w:ascii="Times New Roman" w:hAnsi="Times New Roman" w:cs="Times New Roman"/>
          <w:b w:val="0"/>
          <w:sz w:val="24"/>
          <w:szCs w:val="24"/>
        </w:rPr>
        <w:t>Prikaz mjera energetske učinkovitosti i obnovljivih izvora energije za svaku kategoriju zgrada</w:t>
      </w:r>
      <w:bookmarkEnd w:id="240"/>
    </w:p>
    <w:tbl>
      <w:tblPr>
        <w:tblW w:w="14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83"/>
        <w:gridCol w:w="13007"/>
      </w:tblGrid>
      <w:tr w:rsidR="00853BC8" w:rsidRPr="009C52C4" w14:paraId="21C6954A" w14:textId="77777777" w:rsidTr="00CC4BCE">
        <w:trPr>
          <w:trHeight w:val="120"/>
        </w:trPr>
        <w:tc>
          <w:tcPr>
            <w:tcW w:w="1283" w:type="dxa"/>
            <w:shd w:val="clear" w:color="auto" w:fill="C2D69B"/>
            <w:tcMar>
              <w:left w:w="115" w:type="dxa"/>
              <w:right w:w="115" w:type="dxa"/>
            </w:tcMar>
            <w:vAlign w:val="center"/>
          </w:tcPr>
          <w:p w14:paraId="2C88847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Kategorija zgrade</w:t>
            </w:r>
          </w:p>
        </w:tc>
        <w:tc>
          <w:tcPr>
            <w:tcW w:w="13007" w:type="dxa"/>
            <w:shd w:val="clear" w:color="auto" w:fill="C2D69B"/>
            <w:tcMar>
              <w:left w:w="115" w:type="dxa"/>
              <w:right w:w="115" w:type="dxa"/>
            </w:tcMar>
            <w:vAlign w:val="center"/>
          </w:tcPr>
          <w:p w14:paraId="0C4DDA91"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Mjere EnU/OIE</w:t>
            </w:r>
          </w:p>
        </w:tc>
      </w:tr>
      <w:tr w:rsidR="00853BC8" w:rsidRPr="009C52C4" w14:paraId="7DF5E1A4" w14:textId="77777777" w:rsidTr="00CC4BCE">
        <w:trPr>
          <w:trHeight w:val="120"/>
        </w:trPr>
        <w:tc>
          <w:tcPr>
            <w:tcW w:w="1283" w:type="dxa"/>
            <w:shd w:val="clear" w:color="auto" w:fill="EAF1DD"/>
            <w:tcMar>
              <w:left w:w="115" w:type="dxa"/>
              <w:right w:w="115" w:type="dxa"/>
            </w:tcMar>
            <w:vAlign w:val="center"/>
          </w:tcPr>
          <w:p w14:paraId="5A59FC9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i/>
                <w:sz w:val="24"/>
                <w:szCs w:val="24"/>
              </w:rPr>
              <w:t>Zgrade javne namjene</w:t>
            </w:r>
          </w:p>
        </w:tc>
        <w:tc>
          <w:tcPr>
            <w:tcW w:w="13007" w:type="dxa"/>
            <w:shd w:val="clear" w:color="auto" w:fill="EAF1DD"/>
            <w:tcMar>
              <w:left w:w="115" w:type="dxa"/>
              <w:right w:w="115" w:type="dxa"/>
            </w:tcMar>
            <w:vAlign w:val="center"/>
          </w:tcPr>
          <w:p w14:paraId="493C1C59"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0</w:t>
            </w:r>
            <w:r w:rsidRPr="009C52C4">
              <w:rPr>
                <w:rFonts w:ascii="Times New Roman" w:hAnsi="Times New Roman" w:cs="Times New Roman"/>
                <w:sz w:val="24"/>
                <w:szCs w:val="24"/>
              </w:rPr>
              <w:t>: Energetski pregled zgrade i uspostava sustavnog gospodarenja energijom</w:t>
            </w:r>
          </w:p>
          <w:p w14:paraId="221866F6"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1</w:t>
            </w:r>
            <w:r w:rsidRPr="009C52C4">
              <w:rPr>
                <w:rFonts w:ascii="Times New Roman" w:hAnsi="Times New Roman" w:cs="Times New Roman"/>
                <w:sz w:val="24"/>
                <w:szCs w:val="24"/>
              </w:rPr>
              <w:t xml:space="preserve">: Rekonstrukcija vanjske ovojnice grijanog prostora zgrade što uključuje zamjenu vanjske stolarije i povećanje toplinske zaštite vanjskih zidova, krova ili stropa prema negrijanom potkrovlju te stropa prema negrijanom podrumu. Cilj je obnove </w:t>
            </w:r>
            <w:r w:rsidR="00866CBC" w:rsidRPr="009C52C4">
              <w:rPr>
                <w:rFonts w:ascii="Times New Roman" w:hAnsi="Times New Roman" w:cs="Times New Roman"/>
                <w:sz w:val="24"/>
                <w:szCs w:val="24"/>
              </w:rPr>
              <w:t xml:space="preserve">zadovoljenje zahtjeva </w:t>
            </w:r>
            <w:r w:rsidR="00866CBC"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Preduvjet za provedbu mjere je postojanje projektne dokumentacije potrebne u skladu sa zakonodavstvom iz područja građenja. Energetska obnova podrazumijeva projektiranje, izvođenje radova prema glavnom ili izvedbenom projektu, izradu energetskog certifikata nakon obnove, javno izlaganje certifikata i dokazivanje rezultata obnove. </w:t>
            </w:r>
          </w:p>
          <w:p w14:paraId="1D32C309"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2</w:t>
            </w:r>
            <w:r w:rsidRPr="009C52C4">
              <w:rPr>
                <w:rFonts w:ascii="Times New Roman" w:hAnsi="Times New Roman" w:cs="Times New Roman"/>
                <w:sz w:val="24"/>
                <w:szCs w:val="24"/>
              </w:rPr>
              <w:t>: Zamjena postojećih sustava grijanja koji koriste električnu energiju ili fosilna goriva novim sustavima s kotlovima na biomasu ili dizalicama topline, odnosno ukoliko navedeno nije moguće, kondenzacijskim plinskim bojlerima, uz poboljšanje učinkovitosti sustava grijanja te uz balansiranje sustava grijanja i ugradnju termostatskih setova. Ukoliko su ukupne energetske potrebe objekta male, a sustav pogodan niskotemperaturnom režimu grijanja te je izražena potreba za hlađenjem, preporučuje se primijeniti geotermalnu ili zračnu dizalicu topline za grijanje, hlađenje i pripremu potrošne tople vode.</w:t>
            </w:r>
          </w:p>
          <w:p w14:paraId="3F70F7AD"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Sukladno stavku 28 uvodnog dijela Direktive 2012/27/EU, uporaba pojedinačnih brojila ili razdjelnika troškova grijanja za mjerenje individualne potrošnje grijanja u zgradama s više stanova s centraliziranim grijanjem ili zajedničkim centralnim grijanjem korisna je kada krajnji kupci mogu nadzirati svoju individualnu potrošnju. Stoga njihova uporaba ima smisla samo u zgradama u kojima su radijatori opremljeni termostatskim ventilima.</w:t>
            </w:r>
          </w:p>
          <w:p w14:paraId="6BDA85A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3</w:t>
            </w:r>
            <w:r w:rsidRPr="009C52C4">
              <w:rPr>
                <w:rFonts w:ascii="Times New Roman" w:hAnsi="Times New Roman" w:cs="Times New Roman"/>
                <w:sz w:val="24"/>
                <w:szCs w:val="24"/>
              </w:rPr>
              <w:t>: Ugradnja solarnog kolektorskog sustava za pripremu potrošne tople vode u objektima posebne namjene – objekti zdravstvene zaštite i odgojno-obrazovne ustanove aktivne tijekom ljetnih mjeseci.</w:t>
            </w:r>
          </w:p>
          <w:p w14:paraId="394667C1"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4</w:t>
            </w:r>
            <w:r w:rsidRPr="009C52C4">
              <w:rPr>
                <w:rFonts w:ascii="Times New Roman" w:hAnsi="Times New Roman" w:cs="Times New Roman"/>
                <w:sz w:val="24"/>
                <w:szCs w:val="24"/>
              </w:rPr>
              <w:t>: Zamjena postojećeg sustava hlađenja učinkovitijim (ukoliko navedeno nije izvršeno u mjeri 2)</w:t>
            </w:r>
          </w:p>
          <w:p w14:paraId="5D073C5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5</w:t>
            </w:r>
            <w:r w:rsidRPr="009C52C4">
              <w:rPr>
                <w:rFonts w:ascii="Times New Roman" w:hAnsi="Times New Roman" w:cs="Times New Roman"/>
                <w:sz w:val="24"/>
                <w:szCs w:val="24"/>
              </w:rPr>
              <w:t>: Zamjena postojećeg sustava rasvjete učinkovitijim</w:t>
            </w:r>
          </w:p>
          <w:p w14:paraId="79A2BEA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6</w:t>
            </w:r>
            <w:r w:rsidRPr="009C52C4">
              <w:rPr>
                <w:rFonts w:ascii="Times New Roman" w:hAnsi="Times New Roman" w:cs="Times New Roman"/>
                <w:sz w:val="24"/>
                <w:szCs w:val="24"/>
              </w:rPr>
              <w:t>: Smanjenje potrošnje vode</w:t>
            </w:r>
          </w:p>
          <w:p w14:paraId="7378FFD4"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7</w:t>
            </w:r>
            <w:r w:rsidRPr="009C52C4">
              <w:rPr>
                <w:rFonts w:ascii="Times New Roman" w:hAnsi="Times New Roman" w:cs="Times New Roman"/>
                <w:sz w:val="24"/>
                <w:szCs w:val="24"/>
              </w:rPr>
              <w:t>: Mjera ugradnje centralnog nadzornog i upravljačkog sustava</w:t>
            </w:r>
          </w:p>
          <w:p w14:paraId="03FB6F44"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Sukladno stavku 31 uvodnog dijela Direktive 2012/27/EU, Direktivama 2009/72/EZ i 2009/73/EZ od država članica zahtijeva se da osiguraju provedbu inteligentnih sustava mjerenja koji doprinose aktivnom sudjelovanju potrošača na tržištima opskrbe električnom energijom i plinom. U vezi s električnom energijom, ako se uvođenje pametnih brojila smatra troškovno učinkovitim, do 2020. najmanje 80 % potrošača mora biti opremljeno inteligentnim sustavima mjerenja. U vezi s prirodnim plinom rok nije određen, ali se mora pripremiti vremenski raspored. U tim je direktivama također navedeno da se krajnji kupci moraju ispravno i dovoljno učestalo obavješćivati o stvarnoj potrošnji električne energije/plina i troškovima kako bi mogli regulirati vlastitu potrošnju.</w:t>
            </w:r>
          </w:p>
          <w:p w14:paraId="5FE831EF"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8</w:t>
            </w:r>
            <w:r w:rsidRPr="009C52C4">
              <w:rPr>
                <w:rFonts w:ascii="Times New Roman" w:hAnsi="Times New Roman" w:cs="Times New Roman"/>
                <w:sz w:val="24"/>
                <w:szCs w:val="24"/>
              </w:rPr>
              <w:t>: U slučaju potrebe, ugradnja uređaja za kompenzaciju jalove energije</w:t>
            </w:r>
          </w:p>
          <w:p w14:paraId="69D07A6F"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9</w:t>
            </w:r>
            <w:r w:rsidRPr="009C52C4">
              <w:rPr>
                <w:rFonts w:ascii="Times New Roman" w:hAnsi="Times New Roman" w:cs="Times New Roman"/>
                <w:sz w:val="24"/>
                <w:szCs w:val="24"/>
              </w:rPr>
              <w:t>: Sukladno mogućnostima, razmotriti ugradnju fotonaponskih modula za proizvodnju električne energije iz OIE</w:t>
            </w:r>
          </w:p>
        </w:tc>
      </w:tr>
      <w:tr w:rsidR="00853BC8" w:rsidRPr="009C52C4" w14:paraId="18ACD486" w14:textId="77777777" w:rsidTr="00CC4BCE">
        <w:trPr>
          <w:trHeight w:val="120"/>
        </w:trPr>
        <w:tc>
          <w:tcPr>
            <w:tcW w:w="1283" w:type="dxa"/>
            <w:shd w:val="clear" w:color="auto" w:fill="EAF1DD"/>
            <w:tcMar>
              <w:left w:w="115" w:type="dxa"/>
              <w:right w:w="115" w:type="dxa"/>
            </w:tcMar>
            <w:vAlign w:val="center"/>
          </w:tcPr>
          <w:p w14:paraId="5CDE514E"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i/>
                <w:sz w:val="24"/>
                <w:szCs w:val="24"/>
              </w:rPr>
              <w:t xml:space="preserve">Zgrade komercijalne </w:t>
            </w:r>
            <w:r w:rsidRPr="009C52C4">
              <w:rPr>
                <w:rFonts w:ascii="Times New Roman" w:hAnsi="Times New Roman" w:cs="Times New Roman"/>
                <w:b/>
                <w:i/>
                <w:sz w:val="24"/>
                <w:szCs w:val="24"/>
              </w:rPr>
              <w:lastRenderedPageBreak/>
              <w:t>namjene</w:t>
            </w:r>
          </w:p>
        </w:tc>
        <w:tc>
          <w:tcPr>
            <w:tcW w:w="13007" w:type="dxa"/>
            <w:shd w:val="clear" w:color="auto" w:fill="EAF1DD"/>
            <w:tcMar>
              <w:left w:w="115" w:type="dxa"/>
              <w:right w:w="115" w:type="dxa"/>
            </w:tcMar>
            <w:vAlign w:val="center"/>
          </w:tcPr>
          <w:p w14:paraId="57E1F99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lastRenderedPageBreak/>
              <w:t>Mjera 0</w:t>
            </w:r>
            <w:r w:rsidRPr="009C52C4">
              <w:rPr>
                <w:rFonts w:ascii="Times New Roman" w:hAnsi="Times New Roman" w:cs="Times New Roman"/>
                <w:sz w:val="24"/>
                <w:szCs w:val="24"/>
              </w:rPr>
              <w:t>: Energetski pregled zgrade i uspostava sustavnog gospodarenja energijom</w:t>
            </w:r>
          </w:p>
          <w:p w14:paraId="133046E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1</w:t>
            </w:r>
            <w:r w:rsidRPr="009C52C4">
              <w:rPr>
                <w:rFonts w:ascii="Times New Roman" w:hAnsi="Times New Roman" w:cs="Times New Roman"/>
                <w:sz w:val="24"/>
                <w:szCs w:val="24"/>
              </w:rPr>
              <w:t xml:space="preserve">: Rekonstrukcija vanjske ovojnice grijanog prostora zgrade što uključuje zamjenu vanjske stolarije i povećanje toplinske zaštite vanjskih zidova, krova ili stropa prema negrijanom potkrovlju te stropa prema negrijanom podrumu. </w:t>
            </w:r>
            <w:r w:rsidR="00866CBC" w:rsidRPr="009C52C4">
              <w:rPr>
                <w:rFonts w:ascii="Times New Roman" w:hAnsi="Times New Roman" w:cs="Times New Roman"/>
                <w:sz w:val="24"/>
                <w:szCs w:val="24"/>
              </w:rPr>
              <w:t xml:space="preserve">Cilj je obnove </w:t>
            </w:r>
            <w:r w:rsidR="00866CBC" w:rsidRPr="009C52C4">
              <w:rPr>
                <w:rFonts w:ascii="Times New Roman" w:hAnsi="Times New Roman" w:cs="Times New Roman"/>
                <w:sz w:val="24"/>
                <w:szCs w:val="24"/>
              </w:rPr>
              <w:lastRenderedPageBreak/>
              <w:t xml:space="preserve">zadovoljenje zahtjeva </w:t>
            </w:r>
            <w:r w:rsidR="00866CBC"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Preduvjet za provedbu mjere je postojanje projektne dokumentacije potrebne u skladu sa zakonodavstvom iz područja građenja. </w:t>
            </w:r>
          </w:p>
          <w:p w14:paraId="3E1C14B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2</w:t>
            </w:r>
            <w:r w:rsidRPr="009C52C4">
              <w:rPr>
                <w:rFonts w:ascii="Times New Roman" w:hAnsi="Times New Roman" w:cs="Times New Roman"/>
                <w:sz w:val="24"/>
                <w:szCs w:val="24"/>
              </w:rPr>
              <w:t>: Zamjena postojećih sustava grijanja koji koriste električnu energiju ili fosilna goriva novim sustavima s kotlovima na biomasu ili dizalicama topline, odnosno ukoliko navedeno nije moguće, kondenzacijskim plinskim bojlerima, uz poboljšanje učinkovitosti sustava grijanja te uz balansiranje sustava grijanja i ugradnju termostatskih setova. Ukoliko su ukupne energetske potrebe objekta male, a sustav pogodan niskotemperaturnom režimu grijanja te je izražena potreba za hlađenjem, preporučuje se primijeniti geotermalnu ili zračnu dizalicu topline za grijanje hlađenje i pripremu potrošne tople vode.</w:t>
            </w:r>
          </w:p>
          <w:p w14:paraId="56533DF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Sukladno stavku 28 uvodnog dijela Direktive 2012/27/EU, uporaba pojedinačnih brojila ili razdjelnika troškova grijanja za mjerenje individualne potrošnje grijanja u zgradama s više stanova s centraliziranim grijanjem ili zajedničkim centralnim grijanjem korisna je kada krajnji kupci mogu nadzirati svoju individualnu potrošnju. Stoga njihova uporaba ima smisla samo u zgradama u kojima su radijatori opremljeni termostatskim ventilima.</w:t>
            </w:r>
          </w:p>
          <w:p w14:paraId="527D213E"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3</w:t>
            </w:r>
            <w:r w:rsidRPr="009C52C4">
              <w:rPr>
                <w:rFonts w:ascii="Times New Roman" w:hAnsi="Times New Roman" w:cs="Times New Roman"/>
                <w:sz w:val="24"/>
                <w:szCs w:val="24"/>
              </w:rPr>
              <w:t>: Ugradnja solarnog kolektorskog sustava za pripremu potrošne tople vode u ugostiteljskim objektima.</w:t>
            </w:r>
          </w:p>
          <w:p w14:paraId="257132AC" w14:textId="793A4CF1"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4</w:t>
            </w:r>
            <w:r w:rsidRPr="009C52C4">
              <w:rPr>
                <w:rFonts w:ascii="Times New Roman" w:hAnsi="Times New Roman" w:cs="Times New Roman"/>
                <w:sz w:val="24"/>
                <w:szCs w:val="24"/>
              </w:rPr>
              <w:t xml:space="preserve">: Zamjena postojećeg sustava hlađenja učinkovitijim (ukoliko navedeno nije izvršeno u mjeri 2). Mjera uključuje centralizaciju rashladnih sustava kod većih objekata (primjerice hoteli) gdje još nije provedena, korištenje dizalica topline te korištenje okoline kao toplinskog spremnika (morske vode u primorskoj Hrvatskoj). Pored uštede električne energije, postižu se i smanjenja vršnog opterećenja u elektroenergetskom sustavu. Usto se centralizacijom omogućuje korištenje kondenzacijske topline za pripremu potrošne tople vode. Također se na raspolaganje stavlja centralizirani sustav grijanja prostora. Korištenje kondenzacijske topline za pripremu tople vode, u kombinaciji sa solarnim kolektorima i izoliranim spremnicima može potpuno nadomjestiti druge energente za pripremu </w:t>
            </w:r>
            <w:r w:rsidR="00C00DC3" w:rsidRPr="009C52C4">
              <w:rPr>
                <w:rFonts w:ascii="Times New Roman" w:hAnsi="Times New Roman" w:cs="Times New Roman"/>
                <w:sz w:val="24"/>
                <w:szCs w:val="24"/>
              </w:rPr>
              <w:t>potrošne tople vode.</w:t>
            </w:r>
          </w:p>
          <w:p w14:paraId="02B1C096"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5</w:t>
            </w:r>
            <w:r w:rsidRPr="009C52C4">
              <w:rPr>
                <w:rFonts w:ascii="Times New Roman" w:hAnsi="Times New Roman" w:cs="Times New Roman"/>
                <w:sz w:val="24"/>
                <w:szCs w:val="24"/>
              </w:rPr>
              <w:t>: Zamjena postojećeg sustava rasvjete učinkovitijim</w:t>
            </w:r>
          </w:p>
          <w:p w14:paraId="7835F4A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6</w:t>
            </w:r>
            <w:r w:rsidRPr="009C52C4">
              <w:rPr>
                <w:rFonts w:ascii="Times New Roman" w:hAnsi="Times New Roman" w:cs="Times New Roman"/>
                <w:sz w:val="24"/>
                <w:szCs w:val="24"/>
              </w:rPr>
              <w:t>: Smanjenje potrošnje vode</w:t>
            </w:r>
          </w:p>
          <w:p w14:paraId="48F6E94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7</w:t>
            </w:r>
            <w:r w:rsidRPr="009C52C4">
              <w:rPr>
                <w:rFonts w:ascii="Times New Roman" w:hAnsi="Times New Roman" w:cs="Times New Roman"/>
                <w:sz w:val="24"/>
                <w:szCs w:val="24"/>
              </w:rPr>
              <w:t>: Mjera ugradnje centralnog nadzornog i upravljačkog sustava</w:t>
            </w:r>
          </w:p>
          <w:p w14:paraId="435F63DD"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Sukladno stavku 31 uvodnog dijela Direktive 2012/27/EU, Direktivama 2009/72/EZ i 2009/73/EZ od država članica zahtijeva se da osiguraju provedbu inteligentnih sustava mjerenja koji doprinose aktivnom sudjelovanju potrošača na tržištima opskrbe električnom energijom i plinom. U vezi s električnom energijom, ako se uvođenje pametnih brojila smatra troškovno učinkovitim, do 2020. najmanje 80 % potrošača mora biti opremljeno inteligentnim sustavima mjerenja. U vezi s prirodnim plinom rok nije određen, ali se mora pripremiti vremenski raspored. U tim je direktivama također navedeno da se krajnji kupci moraju ispravno i dovoljno učestalo obavješćivati o stvarnoj potrošnji električne energije/plina i troškovima kako bi mogli regulirati vlastitu potrošnju.</w:t>
            </w:r>
          </w:p>
          <w:p w14:paraId="3D86FBCA"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8</w:t>
            </w:r>
            <w:r w:rsidRPr="009C52C4">
              <w:rPr>
                <w:rFonts w:ascii="Times New Roman" w:hAnsi="Times New Roman" w:cs="Times New Roman"/>
                <w:sz w:val="24"/>
                <w:szCs w:val="24"/>
              </w:rPr>
              <w:t>: U slučaju potrebe, ugradnja uređaja za kompenzaciju jalove energije</w:t>
            </w:r>
          </w:p>
          <w:p w14:paraId="7E763A70"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9</w:t>
            </w:r>
            <w:r w:rsidRPr="009C52C4">
              <w:rPr>
                <w:rFonts w:ascii="Times New Roman" w:hAnsi="Times New Roman" w:cs="Times New Roman"/>
                <w:sz w:val="24"/>
                <w:szCs w:val="24"/>
              </w:rPr>
              <w:t>: Sukladno mogućnostima, razmotriti ugradnju fotonaponskih modula za proizvodnju električne energije iz OIE</w:t>
            </w:r>
          </w:p>
        </w:tc>
      </w:tr>
      <w:tr w:rsidR="00853BC8" w:rsidRPr="009C52C4" w14:paraId="446DC019" w14:textId="77777777" w:rsidTr="00CC4BCE">
        <w:trPr>
          <w:trHeight w:val="120"/>
        </w:trPr>
        <w:tc>
          <w:tcPr>
            <w:tcW w:w="1283" w:type="dxa"/>
            <w:shd w:val="clear" w:color="auto" w:fill="EAF1DD"/>
            <w:tcMar>
              <w:left w:w="115" w:type="dxa"/>
              <w:right w:w="115" w:type="dxa"/>
            </w:tcMar>
            <w:vAlign w:val="center"/>
          </w:tcPr>
          <w:p w14:paraId="3961D9A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i/>
                <w:sz w:val="24"/>
                <w:szCs w:val="24"/>
              </w:rPr>
              <w:lastRenderedPageBreak/>
              <w:t>Višestambene zgrade</w:t>
            </w:r>
          </w:p>
        </w:tc>
        <w:tc>
          <w:tcPr>
            <w:tcW w:w="13007" w:type="dxa"/>
            <w:shd w:val="clear" w:color="auto" w:fill="EAF1DD"/>
            <w:tcMar>
              <w:left w:w="115" w:type="dxa"/>
              <w:right w:w="115" w:type="dxa"/>
            </w:tcMar>
            <w:vAlign w:val="center"/>
          </w:tcPr>
          <w:p w14:paraId="79E754EC"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0</w:t>
            </w:r>
            <w:r w:rsidRPr="009C52C4">
              <w:rPr>
                <w:rFonts w:ascii="Times New Roman" w:hAnsi="Times New Roman" w:cs="Times New Roman"/>
                <w:sz w:val="24"/>
                <w:szCs w:val="24"/>
              </w:rPr>
              <w:t>: Energetski pregled zgrade i uspostava sustavnog gospodarenja energijom</w:t>
            </w:r>
          </w:p>
          <w:p w14:paraId="3AB1D49A"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1</w:t>
            </w:r>
            <w:r w:rsidRPr="009C52C4">
              <w:rPr>
                <w:rFonts w:ascii="Times New Roman" w:hAnsi="Times New Roman" w:cs="Times New Roman"/>
                <w:sz w:val="24"/>
                <w:szCs w:val="24"/>
              </w:rPr>
              <w:t xml:space="preserve">: Rekonstrukcija vanjske ovojnice grijanog prostora zgrade što uključuje zamjenu vanjske stolarije i povećanje toplinske zaštite vanjskih zidova, krova ili stropa prema negrijanom potkrovlju te stropa prema negrijanom podrumu. </w:t>
            </w:r>
            <w:r w:rsidR="00866CBC" w:rsidRPr="009C52C4">
              <w:rPr>
                <w:rFonts w:ascii="Times New Roman" w:hAnsi="Times New Roman" w:cs="Times New Roman"/>
                <w:sz w:val="24"/>
                <w:szCs w:val="24"/>
              </w:rPr>
              <w:t xml:space="preserve">Cilj je obnove zadovoljenje zahtjeva </w:t>
            </w:r>
            <w:r w:rsidR="00866CBC" w:rsidRPr="009C52C4">
              <w:rPr>
                <w:rFonts w:ascii="Times New Roman" w:hAnsi="Times New Roman" w:cs="Times New Roman"/>
                <w:i/>
                <w:sz w:val="24"/>
                <w:szCs w:val="24"/>
              </w:rPr>
              <w:t>Tehničkog propisa</w:t>
            </w:r>
            <w:r w:rsidRPr="009C52C4">
              <w:rPr>
                <w:rFonts w:ascii="Times New Roman" w:hAnsi="Times New Roman" w:cs="Times New Roman"/>
                <w:sz w:val="24"/>
                <w:szCs w:val="24"/>
              </w:rPr>
              <w:t xml:space="preserve">. Preduvjet za provedbu mjere je postojanje projektne dokumentacije potrebne u skladu sa zakonodavstvom iz područja građenja. Sastavni dio projekta integralne obnove mogu biti i mjere kojima se smanjuje potrošnja </w:t>
            </w:r>
            <w:r w:rsidRPr="009C52C4">
              <w:rPr>
                <w:rFonts w:ascii="Times New Roman" w:hAnsi="Times New Roman" w:cs="Times New Roman"/>
                <w:sz w:val="24"/>
                <w:szCs w:val="24"/>
              </w:rPr>
              <w:lastRenderedPageBreak/>
              <w:t>energije za ne-toplinske potrebe, u skladu s preporukama energetskog pregleda.</w:t>
            </w:r>
          </w:p>
          <w:p w14:paraId="5335DCF4"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2</w:t>
            </w:r>
            <w:r w:rsidRPr="009C52C4">
              <w:rPr>
                <w:rFonts w:ascii="Times New Roman" w:hAnsi="Times New Roman" w:cs="Times New Roman"/>
                <w:sz w:val="24"/>
                <w:szCs w:val="24"/>
              </w:rPr>
              <w:t xml:space="preserve">: Unaprjeđenje ili zamjena centralnog sustava grijanja uz balansiranje sustava grijanja i ugradnju termostatskih setova te uz uvođenje sustava individualnog mjerenja potrošnje toplinske energije. Novim </w:t>
            </w:r>
            <w:r w:rsidRPr="009C52C4">
              <w:rPr>
                <w:rFonts w:ascii="Times New Roman" w:hAnsi="Times New Roman" w:cs="Times New Roman"/>
                <w:i/>
                <w:sz w:val="24"/>
                <w:szCs w:val="24"/>
              </w:rPr>
              <w:t>Zakonom o tržištu toplinske energije</w:t>
            </w:r>
            <w:r w:rsidRPr="009C52C4">
              <w:rPr>
                <w:rFonts w:ascii="Times New Roman" w:hAnsi="Times New Roman" w:cs="Times New Roman"/>
                <w:sz w:val="24"/>
                <w:szCs w:val="24"/>
              </w:rPr>
              <w:t xml:space="preserve"> ugradnja sustava za individualno mjerenje potrošnje toplinske energije, kao mjera za višestambene zgrade priključene na centralizirani toplinski sustav, postaje obveza za potrošače toplinske energije, čime se uklanja potreba za ishođenjem suglasnosti svih suvlasnika.</w:t>
            </w:r>
          </w:p>
          <w:p w14:paraId="546A61A5" w14:textId="5150998A"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Dosadašnja praksa obračuna i naplate potrošnje energije u zgradama spojenim na centralizirane toplinske sustave ne potiče energetski učinkovito ponašanje potrošača toplinske energije niti ih potiče da sami provode mjere energetske učinkovitosti u svojim domovima, jer učinci takvih mjera ne bi u konačnici bili vidljivi na računima za energiju. Uvođenje individualnog mjerenja potrošnje energije stoga predstavlja preduvjet svim budućim aktivnostima energetske učinkovitosti u takvim zgradama. Osim toga, </w:t>
            </w:r>
            <w:r w:rsidR="002F4C8D" w:rsidRPr="009C52C4">
              <w:rPr>
                <w:rFonts w:ascii="Times New Roman" w:hAnsi="Times New Roman" w:cs="Times New Roman"/>
                <w:sz w:val="24"/>
                <w:szCs w:val="24"/>
              </w:rPr>
              <w:t>Zakonom</w:t>
            </w:r>
            <w:r w:rsidRPr="009C52C4">
              <w:rPr>
                <w:rFonts w:ascii="Times New Roman" w:hAnsi="Times New Roman" w:cs="Times New Roman"/>
                <w:sz w:val="24"/>
                <w:szCs w:val="24"/>
              </w:rPr>
              <w:t xml:space="preserve"> o tržištu toplinske energije, obveza ugradnje sustava individualnog mjerenja postaje obveza suvlasnika, što će im zasigurno predstavljati financijsko opterećenja. Financijske potpore služit će kao potpora provođenju ove zakonske obveze. M</w:t>
            </w:r>
            <w:r w:rsidR="00C00DC3" w:rsidRPr="009C52C4">
              <w:rPr>
                <w:rFonts w:ascii="Times New Roman" w:hAnsi="Times New Roman" w:cs="Times New Roman"/>
                <w:sz w:val="24"/>
                <w:szCs w:val="24"/>
              </w:rPr>
              <w:t>inistarstvo gospodarstva, poduzetništva i obrta</w:t>
            </w:r>
            <w:r w:rsidRPr="009C52C4">
              <w:rPr>
                <w:rFonts w:ascii="Times New Roman" w:hAnsi="Times New Roman" w:cs="Times New Roman"/>
                <w:sz w:val="24"/>
                <w:szCs w:val="24"/>
              </w:rPr>
              <w:t xml:space="preserve"> poziva sve opskrbljivače toplinske energije da u suradnji s upraviteljima zgrada izrade svoje programe ugradnje individualnog mjerenja kod svojih kupaca.</w:t>
            </w:r>
          </w:p>
          <w:p w14:paraId="1030CB1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Sukladno stavku 28 uvodnog dijela Direktive 2012/27/EU, uporaba pojedinačnih brojila ili razdjelnika troškova grijanja za mjerenje individualne potrošnje grijanja u zgradama s više stanova s centraliziranim grijanjem ili zajedničkim centralnim grijanjem korisna je kada krajnji kupci mogu nadzirati svoju individualnu potrošnju. Stoga njihova uporaba ima smisla samo u zgradama u kojima su radijatori opremljeni termostatskim ventilima.</w:t>
            </w:r>
          </w:p>
          <w:p w14:paraId="3AEBE42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Također, prema stavku 29 uvodnog dijela Direktive 2012/27/EU, u nekim zgradama s više stanova koje se opskrbljuju centraliziranim grijanjem ili zajedničkim centralnim grijanjem uporaba preciznih pojedinačnih mjerila toplinske energije bila bi u tehničkom smislu složena i skupa jer topla voda koja se upotrebljava za grijanje ulazi u stanove i iz njih izlazi na nekoliko mjesta. Međutim, može se pretpostaviti da je pojedinačno mjerenje potrošnje topline u zgradama s više stanova tehnički moguće ako postavljanje pojedinačnih mjerila ne bi zahtijevalo promjenu postojećeg unutarnjeg cjevovoda za grijanje toplom vodom u zgradi. U takvim se zgradama mjerenje individualne potrošnje topline stoga može provoditi pomoću pojedinačnih razdjelnika troškova grijanja postavljenih na svakom radijatoru.</w:t>
            </w:r>
          </w:p>
          <w:p w14:paraId="069CB23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3</w:t>
            </w:r>
            <w:r w:rsidRPr="009C52C4">
              <w:rPr>
                <w:rFonts w:ascii="Times New Roman" w:hAnsi="Times New Roman" w:cs="Times New Roman"/>
                <w:sz w:val="24"/>
                <w:szCs w:val="24"/>
              </w:rPr>
              <w:t>: Centralizacija postojećeg sustava hlađenja uz povećanje energetske učinkovitosti sustava</w:t>
            </w:r>
          </w:p>
        </w:tc>
      </w:tr>
      <w:tr w:rsidR="00853BC8" w:rsidRPr="009C52C4" w14:paraId="032A3AEB" w14:textId="77777777" w:rsidTr="00CC4BCE">
        <w:trPr>
          <w:trHeight w:val="540"/>
        </w:trPr>
        <w:tc>
          <w:tcPr>
            <w:tcW w:w="1283" w:type="dxa"/>
            <w:shd w:val="clear" w:color="auto" w:fill="EAF1DD"/>
            <w:tcMar>
              <w:left w:w="115" w:type="dxa"/>
              <w:right w:w="115" w:type="dxa"/>
            </w:tcMar>
            <w:vAlign w:val="center"/>
          </w:tcPr>
          <w:p w14:paraId="416F49F0"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i/>
                <w:sz w:val="24"/>
                <w:szCs w:val="24"/>
              </w:rPr>
              <w:lastRenderedPageBreak/>
              <w:t xml:space="preserve">Obiteljske kuće </w:t>
            </w:r>
          </w:p>
        </w:tc>
        <w:tc>
          <w:tcPr>
            <w:tcW w:w="13007" w:type="dxa"/>
            <w:shd w:val="clear" w:color="auto" w:fill="EAF1DD"/>
            <w:tcMar>
              <w:left w:w="115" w:type="dxa"/>
              <w:right w:w="115" w:type="dxa"/>
            </w:tcMar>
            <w:vAlign w:val="center"/>
          </w:tcPr>
          <w:p w14:paraId="6574414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0</w:t>
            </w:r>
            <w:r w:rsidRPr="009C52C4">
              <w:rPr>
                <w:rFonts w:ascii="Times New Roman" w:hAnsi="Times New Roman" w:cs="Times New Roman"/>
                <w:sz w:val="24"/>
                <w:szCs w:val="24"/>
              </w:rPr>
              <w:t>: Energetski pregled zgrade i uspostava sustavnog gospodarenja energijom</w:t>
            </w:r>
          </w:p>
          <w:p w14:paraId="37F8E00A" w14:textId="1C1F2B49"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1</w:t>
            </w:r>
            <w:r w:rsidRPr="009C52C4">
              <w:rPr>
                <w:rFonts w:ascii="Times New Roman" w:hAnsi="Times New Roman" w:cs="Times New Roman"/>
                <w:sz w:val="24"/>
                <w:szCs w:val="24"/>
              </w:rPr>
              <w:t>: Rekonstrukcija vanjske ovojnice grijanog prostora zgrade što uključuje zamjenu vanjske stolarije i povećanje toplinske zaštite vanjskih zidova, krova ili stropa prema negrijanom potkrovlju te stropa prema negrijanom podrumu. Za novoplanirane radove na poboljšanju energetske učinkovitosti stambene zgrade nužan je projekt, minimalno na razini glavnog projekta, koji sadrži i snimak postojećeg stanja. Prilaže se kao obvezna dokumentacija za ostvarivanje prava na subvencioniranje.</w:t>
            </w:r>
          </w:p>
          <w:p w14:paraId="61B7AFA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2</w:t>
            </w:r>
            <w:r w:rsidRPr="009C52C4">
              <w:rPr>
                <w:rFonts w:ascii="Times New Roman" w:hAnsi="Times New Roman" w:cs="Times New Roman"/>
                <w:sz w:val="24"/>
                <w:szCs w:val="24"/>
              </w:rPr>
              <w:t>: Zamjena postojećih sustava grijanja koji koriste električnu energiju ili fosilna goriva novim sustavima s kotlovima na biomasu ili dizalicama topline, odnosno ukoliko navedeno nije moguće, kondenzacijskim plinskim bojlerima, uz poboljšanje učinkovitosti sustava grijanja te uz balansiranje sustava grijanja i ugradnju termostatskih setova. Ukoliko su ukupne energetske potrebe objekta male, a sustav pogodan niskotemperaturnom režimu grijanja te je izražena potreba za hlađenjem, preporučuje se primijeniti geotermalnu ili zračnu dizalicu topline za grijanje hlađenje i pripremu potrošne tople vode.</w:t>
            </w:r>
          </w:p>
          <w:p w14:paraId="5EDA999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lastRenderedPageBreak/>
              <w:t>Natječajnim postupkom za dodjelu sredstava mora se dati prednost onim kućanstvima koja već imaju toplinsku izolaciju ovojnice. Također, prednost trebaju imati ona kućanstva sa starijim postojećim sustavima grijanja, koji su blizu isteka svog životnog vijeka.</w:t>
            </w:r>
          </w:p>
          <w:p w14:paraId="03425234"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3</w:t>
            </w:r>
            <w:r w:rsidRPr="009C52C4">
              <w:rPr>
                <w:rFonts w:ascii="Times New Roman" w:hAnsi="Times New Roman" w:cs="Times New Roman"/>
                <w:sz w:val="24"/>
                <w:szCs w:val="24"/>
              </w:rPr>
              <w:t>: Ugradnja solarnog kolektorskog sustava za pripremu potrošne tople vode i dogrijavanje. Minimalni kriteriji za dodjelu poticaja su da se zamjenjuje postojeći sustav pripreme potrošne tople vode koji koristi električnu energiju, loživo ulje, ugljen ili plin, novim sustavom koji koristi obnovljive izvore energije - sustav solarnih toplinskih kolektora. Prednost trebaju imati ona kućanstva sa starijim postojećim sustavima pripreme potrošne tople vode, koji su blizu isteka svog životnog vijeka.</w:t>
            </w:r>
          </w:p>
          <w:p w14:paraId="2258586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4</w:t>
            </w:r>
            <w:r w:rsidRPr="009C52C4">
              <w:rPr>
                <w:rFonts w:ascii="Times New Roman" w:hAnsi="Times New Roman" w:cs="Times New Roman"/>
                <w:sz w:val="24"/>
                <w:szCs w:val="24"/>
              </w:rPr>
              <w:t xml:space="preserve">: Zamjena postojećeg sustava hlađenja učinkovitijim (ukoliko navedeno nije izvršeno u mjeri 2). Mjera uključuje korištenje dizalica topline te korištenje okoline kao toplinskog spremnika (morske vode u primorskoj Hrvatskoj). Pored uštede električne energije, postižu se i smanjenja vršnog opterećenja u elektroenergetskom sustavu. Također se na raspolaganje stavlja centralizirani sustav grijanja prostora. </w:t>
            </w:r>
          </w:p>
          <w:p w14:paraId="32443426"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5</w:t>
            </w:r>
            <w:r w:rsidRPr="009C52C4">
              <w:rPr>
                <w:rFonts w:ascii="Times New Roman" w:hAnsi="Times New Roman" w:cs="Times New Roman"/>
                <w:sz w:val="24"/>
                <w:szCs w:val="24"/>
              </w:rPr>
              <w:t>: Zamjena postojećeg sustava rasvjete učinkovitijim</w:t>
            </w:r>
          </w:p>
          <w:p w14:paraId="7D91604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6</w:t>
            </w:r>
            <w:r w:rsidRPr="009C52C4">
              <w:rPr>
                <w:rFonts w:ascii="Times New Roman" w:hAnsi="Times New Roman" w:cs="Times New Roman"/>
                <w:sz w:val="24"/>
                <w:szCs w:val="24"/>
              </w:rPr>
              <w:t>: Smanjenje potrošnje vode</w:t>
            </w:r>
          </w:p>
          <w:p w14:paraId="4D279920"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b/>
                <w:sz w:val="24"/>
                <w:szCs w:val="24"/>
              </w:rPr>
              <w:t>Mjera 7</w:t>
            </w:r>
            <w:r w:rsidRPr="009C52C4">
              <w:rPr>
                <w:rFonts w:ascii="Times New Roman" w:hAnsi="Times New Roman" w:cs="Times New Roman"/>
                <w:sz w:val="24"/>
                <w:szCs w:val="24"/>
              </w:rPr>
              <w:t>: Sukladno mogućnostima, razmotriti ugradnju fotonaponskih modula za proizvodnju električne energije iz OIE</w:t>
            </w:r>
          </w:p>
        </w:tc>
      </w:tr>
    </w:tbl>
    <w:p w14:paraId="0622F821"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lastRenderedPageBreak/>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0695CAA8" w14:textId="77777777" w:rsidR="00B122B4" w:rsidRPr="009C52C4" w:rsidRDefault="00B122B4">
      <w:pPr>
        <w:rPr>
          <w:rFonts w:ascii="Times New Roman" w:hAnsi="Times New Roman" w:cs="Times New Roman"/>
          <w:sz w:val="24"/>
          <w:szCs w:val="24"/>
        </w:rPr>
      </w:pPr>
    </w:p>
    <w:p w14:paraId="3B8C5023" w14:textId="77777777" w:rsidR="00B122B4" w:rsidRPr="009C52C4" w:rsidRDefault="00B122B4">
      <w:pPr>
        <w:rPr>
          <w:rFonts w:ascii="Times New Roman" w:hAnsi="Times New Roman" w:cs="Times New Roman"/>
          <w:sz w:val="24"/>
          <w:szCs w:val="24"/>
        </w:rPr>
      </w:pPr>
    </w:p>
    <w:p w14:paraId="10EB1361" w14:textId="77777777" w:rsidR="00B122B4" w:rsidRPr="009C52C4" w:rsidRDefault="00B122B4">
      <w:pPr>
        <w:rPr>
          <w:rFonts w:ascii="Times New Roman" w:hAnsi="Times New Roman" w:cs="Times New Roman"/>
          <w:sz w:val="24"/>
          <w:szCs w:val="24"/>
        </w:rPr>
      </w:pPr>
    </w:p>
    <w:p w14:paraId="255339D2" w14:textId="77777777" w:rsidR="00B122B4" w:rsidRPr="009C52C4" w:rsidRDefault="00B122B4">
      <w:pPr>
        <w:rPr>
          <w:rFonts w:ascii="Times New Roman" w:hAnsi="Times New Roman" w:cs="Times New Roman"/>
          <w:sz w:val="24"/>
          <w:szCs w:val="24"/>
        </w:rPr>
      </w:pPr>
    </w:p>
    <w:p w14:paraId="04DDEF01" w14:textId="77777777" w:rsidR="00B122B4" w:rsidRPr="009C52C4" w:rsidRDefault="00B122B4">
      <w:pPr>
        <w:rPr>
          <w:rFonts w:ascii="Times New Roman" w:hAnsi="Times New Roman" w:cs="Times New Roman"/>
          <w:sz w:val="24"/>
          <w:szCs w:val="24"/>
        </w:rPr>
      </w:pPr>
    </w:p>
    <w:p w14:paraId="5126B84D" w14:textId="77777777" w:rsidR="00B122B4" w:rsidRPr="009C52C4" w:rsidRDefault="00B122B4">
      <w:pPr>
        <w:rPr>
          <w:rFonts w:ascii="Times New Roman" w:hAnsi="Times New Roman" w:cs="Times New Roman"/>
          <w:sz w:val="24"/>
          <w:szCs w:val="24"/>
        </w:rPr>
      </w:pPr>
    </w:p>
    <w:p w14:paraId="557951FD" w14:textId="77777777" w:rsidR="00B122B4" w:rsidRPr="009C52C4" w:rsidRDefault="00B122B4">
      <w:pPr>
        <w:rPr>
          <w:rFonts w:ascii="Times New Roman" w:hAnsi="Times New Roman" w:cs="Times New Roman"/>
          <w:sz w:val="24"/>
          <w:szCs w:val="24"/>
        </w:rPr>
      </w:pPr>
    </w:p>
    <w:p w14:paraId="2A4B45F5" w14:textId="77777777" w:rsidR="00B122B4" w:rsidRPr="009C52C4" w:rsidRDefault="00B122B4">
      <w:pPr>
        <w:rPr>
          <w:rFonts w:ascii="Times New Roman" w:hAnsi="Times New Roman" w:cs="Times New Roman"/>
          <w:sz w:val="24"/>
          <w:szCs w:val="24"/>
        </w:rPr>
      </w:pPr>
    </w:p>
    <w:p w14:paraId="24C782D3" w14:textId="77777777" w:rsidR="00B122B4" w:rsidRPr="009C52C4" w:rsidRDefault="00B122B4">
      <w:pPr>
        <w:rPr>
          <w:rFonts w:ascii="Times New Roman" w:hAnsi="Times New Roman" w:cs="Times New Roman"/>
          <w:sz w:val="24"/>
          <w:szCs w:val="24"/>
        </w:rPr>
      </w:pPr>
    </w:p>
    <w:p w14:paraId="14F2A2AF" w14:textId="77777777" w:rsidR="00B122B4" w:rsidRPr="009C52C4" w:rsidRDefault="00B122B4">
      <w:pPr>
        <w:rPr>
          <w:rFonts w:ascii="Times New Roman" w:hAnsi="Times New Roman" w:cs="Times New Roman"/>
          <w:sz w:val="24"/>
          <w:szCs w:val="24"/>
        </w:rPr>
      </w:pPr>
    </w:p>
    <w:p w14:paraId="3B57D8BC" w14:textId="77777777" w:rsidR="00B122B4" w:rsidRPr="009C52C4" w:rsidRDefault="00B122B4">
      <w:pPr>
        <w:rPr>
          <w:rFonts w:ascii="Times New Roman" w:hAnsi="Times New Roman" w:cs="Times New Roman"/>
          <w:sz w:val="24"/>
          <w:szCs w:val="24"/>
        </w:rPr>
      </w:pPr>
    </w:p>
    <w:p w14:paraId="342270E0" w14:textId="77777777" w:rsidR="00B122B4" w:rsidRPr="009C52C4" w:rsidRDefault="00B122B4">
      <w:pPr>
        <w:rPr>
          <w:rFonts w:ascii="Times New Roman" w:hAnsi="Times New Roman" w:cs="Times New Roman"/>
          <w:sz w:val="24"/>
          <w:szCs w:val="24"/>
        </w:rPr>
      </w:pPr>
    </w:p>
    <w:p w14:paraId="28510D47" w14:textId="77777777" w:rsidR="00B122B4" w:rsidRPr="009C52C4" w:rsidRDefault="00B122B4">
      <w:pPr>
        <w:rPr>
          <w:rFonts w:ascii="Times New Roman" w:hAnsi="Times New Roman" w:cs="Times New Roman"/>
          <w:sz w:val="24"/>
          <w:szCs w:val="24"/>
        </w:rPr>
      </w:pPr>
    </w:p>
    <w:p w14:paraId="487736B5" w14:textId="77777777" w:rsidR="00B122B4" w:rsidRPr="009C52C4" w:rsidRDefault="00B122B4">
      <w:pPr>
        <w:rPr>
          <w:rFonts w:ascii="Times New Roman" w:hAnsi="Times New Roman" w:cs="Times New Roman"/>
          <w:sz w:val="24"/>
          <w:szCs w:val="24"/>
        </w:rPr>
      </w:pPr>
    </w:p>
    <w:p w14:paraId="207A9665" w14:textId="77777777" w:rsidR="00B122B4" w:rsidRPr="009C52C4" w:rsidRDefault="00B122B4">
      <w:pPr>
        <w:rPr>
          <w:rFonts w:ascii="Times New Roman" w:hAnsi="Times New Roman" w:cs="Times New Roman"/>
          <w:sz w:val="24"/>
          <w:szCs w:val="24"/>
        </w:rPr>
      </w:pPr>
    </w:p>
    <w:p w14:paraId="19E875F6" w14:textId="77777777" w:rsidR="00B122B4" w:rsidRPr="009C52C4" w:rsidRDefault="00B122B4">
      <w:pPr>
        <w:rPr>
          <w:rFonts w:ascii="Times New Roman" w:hAnsi="Times New Roman" w:cs="Times New Roman"/>
          <w:sz w:val="24"/>
          <w:szCs w:val="24"/>
        </w:rPr>
      </w:pPr>
    </w:p>
    <w:p w14:paraId="06022CF9" w14:textId="77777777" w:rsidR="00B122B4" w:rsidRPr="009C52C4" w:rsidRDefault="00B122B4">
      <w:pPr>
        <w:rPr>
          <w:rFonts w:ascii="Times New Roman" w:hAnsi="Times New Roman" w:cs="Times New Roman"/>
          <w:sz w:val="24"/>
          <w:szCs w:val="24"/>
        </w:rPr>
      </w:pPr>
    </w:p>
    <w:p w14:paraId="1C83EE54" w14:textId="77777777" w:rsidR="00B122B4" w:rsidRPr="009C52C4" w:rsidRDefault="00F54CC3">
      <w:pPr>
        <w:pStyle w:val="Heading1"/>
        <w:rPr>
          <w:rFonts w:ascii="Times New Roman" w:hAnsi="Times New Roman" w:cs="Times New Roman"/>
          <w:sz w:val="24"/>
          <w:szCs w:val="24"/>
        </w:rPr>
      </w:pPr>
      <w:bookmarkStart w:id="241" w:name="h.ifuchgl6y1qa" w:colFirst="0" w:colLast="0"/>
      <w:bookmarkStart w:id="242" w:name="_Toc3277941"/>
      <w:bookmarkEnd w:id="241"/>
      <w:r w:rsidRPr="009C52C4">
        <w:rPr>
          <w:rFonts w:ascii="Times New Roman" w:hAnsi="Times New Roman" w:cs="Times New Roman"/>
          <w:sz w:val="24"/>
          <w:szCs w:val="24"/>
        </w:rPr>
        <w:lastRenderedPageBreak/>
        <w:t>Prilog 2 Prikaz specifičnih parametara mjera EnU i OIE mogućih modela obnove zgrada javne namjene kontinentalne Hrvatske</w:t>
      </w:r>
      <w:bookmarkEnd w:id="242"/>
    </w:p>
    <w:p w14:paraId="0C5AC3E4" w14:textId="77777777" w:rsidR="00853BC8" w:rsidRPr="009C52C4" w:rsidRDefault="005F7A63" w:rsidP="00853BC8">
      <w:pPr>
        <w:rPr>
          <w:rFonts w:ascii="Times New Roman" w:hAnsi="Times New Roman" w:cs="Times New Roman"/>
          <w:sz w:val="24"/>
          <w:szCs w:val="24"/>
        </w:rPr>
      </w:pPr>
      <w:bookmarkStart w:id="243" w:name="h.zu0gcz" w:colFirst="0" w:colLast="0"/>
      <w:bookmarkEnd w:id="243"/>
      <w:r w:rsidRPr="009C52C4">
        <w:rPr>
          <w:rFonts w:ascii="Times New Roman" w:hAnsi="Times New Roman" w:cs="Times New Roman"/>
          <w:noProof/>
          <w:sz w:val="24"/>
          <w:szCs w:val="24"/>
        </w:rPr>
        <w:drawing>
          <wp:inline distT="0" distB="0" distL="0" distR="0" wp14:anchorId="37471FF1" wp14:editId="3EA11FA4">
            <wp:extent cx="9187132" cy="387760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8350" cy="3882339"/>
                    </a:xfrm>
                    <a:prstGeom prst="rect">
                      <a:avLst/>
                    </a:prstGeom>
                    <a:noFill/>
                    <a:ln>
                      <a:noFill/>
                    </a:ln>
                  </pic:spPr>
                </pic:pic>
              </a:graphicData>
            </a:graphic>
          </wp:inline>
        </w:drawing>
      </w:r>
    </w:p>
    <w:p w14:paraId="1119BE39"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4647AE2B" wp14:editId="46F18E6C">
            <wp:extent cx="9187132" cy="25399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7389" cy="2539994"/>
                    </a:xfrm>
                    <a:prstGeom prst="rect">
                      <a:avLst/>
                    </a:prstGeom>
                    <a:noFill/>
                    <a:ln>
                      <a:noFill/>
                    </a:ln>
                  </pic:spPr>
                </pic:pic>
              </a:graphicData>
            </a:graphic>
          </wp:inline>
        </w:drawing>
      </w:r>
    </w:p>
    <w:p w14:paraId="23A3539F"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4BCBB61B" w14:textId="77777777" w:rsidR="00B122B4" w:rsidRPr="009C52C4" w:rsidRDefault="00F54CC3">
      <w:pPr>
        <w:pStyle w:val="Heading1"/>
        <w:rPr>
          <w:rFonts w:ascii="Times New Roman" w:hAnsi="Times New Roman" w:cs="Times New Roman"/>
          <w:sz w:val="24"/>
          <w:szCs w:val="24"/>
        </w:rPr>
      </w:pPr>
      <w:bookmarkStart w:id="244" w:name="_Toc3277942"/>
      <w:r w:rsidRPr="009C52C4">
        <w:rPr>
          <w:rFonts w:ascii="Times New Roman" w:hAnsi="Times New Roman" w:cs="Times New Roman"/>
          <w:sz w:val="24"/>
          <w:szCs w:val="24"/>
        </w:rPr>
        <w:lastRenderedPageBreak/>
        <w:t>Prilog 3 Prikaz parametara različitih modela obnove zgrada javne namjene kontinentalne Hrvatske za različit</w:t>
      </w:r>
      <w:r w:rsidR="00170CB0" w:rsidRPr="009C52C4">
        <w:rPr>
          <w:rFonts w:ascii="Times New Roman" w:hAnsi="Times New Roman" w:cs="Times New Roman"/>
          <w:sz w:val="24"/>
          <w:szCs w:val="24"/>
        </w:rPr>
        <w:t>a razdoblja</w:t>
      </w:r>
      <w:r w:rsidRPr="009C52C4">
        <w:rPr>
          <w:rFonts w:ascii="Times New Roman" w:hAnsi="Times New Roman" w:cs="Times New Roman"/>
          <w:sz w:val="24"/>
          <w:szCs w:val="24"/>
        </w:rPr>
        <w:t xml:space="preserve"> kalkulacije</w:t>
      </w:r>
      <w:bookmarkEnd w:id="244"/>
    </w:p>
    <w:p w14:paraId="6115FE40" w14:textId="77777777" w:rsidR="00853BC8" w:rsidRPr="009C52C4" w:rsidRDefault="002F28FE" w:rsidP="00853BC8">
      <w:pPr>
        <w:rPr>
          <w:rFonts w:ascii="Times New Roman" w:hAnsi="Times New Roman" w:cs="Times New Roman"/>
          <w:sz w:val="24"/>
          <w:szCs w:val="24"/>
        </w:rPr>
      </w:pPr>
      <w:bookmarkStart w:id="245" w:name="h.3jtnz0s" w:colFirst="0" w:colLast="0"/>
      <w:bookmarkEnd w:id="245"/>
      <w:r w:rsidRPr="009C52C4">
        <w:rPr>
          <w:rFonts w:ascii="Times New Roman" w:hAnsi="Times New Roman" w:cs="Times New Roman"/>
          <w:noProof/>
          <w:sz w:val="24"/>
          <w:szCs w:val="24"/>
        </w:rPr>
        <w:drawing>
          <wp:inline distT="0" distB="0" distL="0" distR="0" wp14:anchorId="3BF1A72B" wp14:editId="40A6DF9B">
            <wp:extent cx="3673976" cy="2466067"/>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8804" cy="2469308"/>
                    </a:xfrm>
                    <a:prstGeom prst="rect">
                      <a:avLst/>
                    </a:prstGeom>
                    <a:noFill/>
                  </pic:spPr>
                </pic:pic>
              </a:graphicData>
            </a:graphic>
          </wp:inline>
        </w:drawing>
      </w:r>
      <w:r w:rsidR="00853488" w:rsidRPr="009C52C4">
        <w:rPr>
          <w:rFonts w:ascii="Times New Roman" w:hAnsi="Times New Roman" w:cs="Times New Roman"/>
          <w:noProof/>
          <w:sz w:val="24"/>
          <w:szCs w:val="24"/>
        </w:rPr>
        <w:drawing>
          <wp:inline distT="0" distB="0" distL="0" distR="0" wp14:anchorId="5CDD25FB" wp14:editId="2B0704DF">
            <wp:extent cx="3669724" cy="2458528"/>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81863" cy="2466660"/>
                    </a:xfrm>
                    <a:prstGeom prst="rect">
                      <a:avLst/>
                    </a:prstGeom>
                    <a:noFill/>
                  </pic:spPr>
                </pic:pic>
              </a:graphicData>
            </a:graphic>
          </wp:inline>
        </w:drawing>
      </w:r>
    </w:p>
    <w:p w14:paraId="23C7D24A" w14:textId="77777777" w:rsidR="00853BC8" w:rsidRPr="009C52C4" w:rsidRDefault="00853BC8" w:rsidP="00853BC8">
      <w:pPr>
        <w:rPr>
          <w:rFonts w:ascii="Times New Roman" w:hAnsi="Times New Roman" w:cs="Times New Roman"/>
          <w:sz w:val="24"/>
          <w:szCs w:val="24"/>
        </w:rPr>
      </w:pPr>
    </w:p>
    <w:p w14:paraId="43DB3015" w14:textId="77777777" w:rsidR="00853BC8" w:rsidRPr="009C52C4" w:rsidRDefault="00853488" w:rsidP="00853BC8">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4752AE10" wp14:editId="49EC677D">
            <wp:extent cx="3721351" cy="2475781"/>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3765" cy="2484040"/>
                    </a:xfrm>
                    <a:prstGeom prst="rect">
                      <a:avLst/>
                    </a:prstGeom>
                    <a:noFill/>
                  </pic:spPr>
                </pic:pic>
              </a:graphicData>
            </a:graphic>
          </wp:inline>
        </w:drawing>
      </w:r>
      <w:r w:rsidR="0008767C" w:rsidRPr="009C52C4">
        <w:rPr>
          <w:rFonts w:ascii="Times New Roman" w:hAnsi="Times New Roman" w:cs="Times New Roman"/>
          <w:noProof/>
          <w:sz w:val="24"/>
          <w:szCs w:val="24"/>
        </w:rPr>
        <w:drawing>
          <wp:inline distT="0" distB="0" distL="0" distR="0" wp14:anchorId="0D4B11C9" wp14:editId="13F60AAA">
            <wp:extent cx="3303917" cy="5547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7463" cy="557009"/>
                    </a:xfrm>
                    <a:prstGeom prst="rect">
                      <a:avLst/>
                    </a:prstGeom>
                    <a:noFill/>
                    <a:ln>
                      <a:noFill/>
                    </a:ln>
                  </pic:spPr>
                </pic:pic>
              </a:graphicData>
            </a:graphic>
          </wp:inline>
        </w:drawing>
      </w:r>
    </w:p>
    <w:p w14:paraId="4AD06F3E"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394880A8"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2D7C6C6C" w14:textId="77777777" w:rsidR="003122D0" w:rsidRPr="009C52C4" w:rsidRDefault="00F54CC3" w:rsidP="003122D0">
      <w:pPr>
        <w:pStyle w:val="Heading1"/>
        <w:rPr>
          <w:rFonts w:ascii="Times New Roman" w:hAnsi="Times New Roman" w:cs="Times New Roman"/>
          <w:sz w:val="24"/>
          <w:szCs w:val="24"/>
        </w:rPr>
      </w:pPr>
      <w:bookmarkStart w:id="246" w:name="_Toc3277943"/>
      <w:r w:rsidRPr="009C52C4">
        <w:rPr>
          <w:rFonts w:ascii="Times New Roman" w:hAnsi="Times New Roman" w:cs="Times New Roman"/>
          <w:sz w:val="24"/>
          <w:szCs w:val="24"/>
        </w:rPr>
        <w:lastRenderedPageBreak/>
        <w:t>Prilog 4 Prikaz specifičnih parametara mjera EnU i OIE mogućih modela obnove zgrada javne namjene primorske Hrvatsk</w:t>
      </w:r>
      <w:r w:rsidR="003122D0" w:rsidRPr="009C52C4">
        <w:rPr>
          <w:rFonts w:ascii="Times New Roman" w:hAnsi="Times New Roman" w:cs="Times New Roman"/>
          <w:sz w:val="24"/>
          <w:szCs w:val="24"/>
        </w:rPr>
        <w:t>e</w:t>
      </w:r>
      <w:bookmarkEnd w:id="246"/>
    </w:p>
    <w:p w14:paraId="19583857" w14:textId="77777777" w:rsidR="003122D0" w:rsidRPr="009C52C4" w:rsidRDefault="003122D0" w:rsidP="003122D0">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6103C98A" wp14:editId="69578C4C">
            <wp:extent cx="9195759" cy="3877386"/>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95485" cy="3877271"/>
                    </a:xfrm>
                    <a:prstGeom prst="rect">
                      <a:avLst/>
                    </a:prstGeom>
                    <a:noFill/>
                    <a:ln>
                      <a:noFill/>
                    </a:ln>
                  </pic:spPr>
                </pic:pic>
              </a:graphicData>
            </a:graphic>
          </wp:inline>
        </w:drawing>
      </w:r>
    </w:p>
    <w:p w14:paraId="6876118F" w14:textId="77777777" w:rsidR="00853BC8" w:rsidRPr="009C52C4" w:rsidRDefault="003122D0" w:rsidP="00853BC8">
      <w:pPr>
        <w:rPr>
          <w:rFonts w:ascii="Times New Roman" w:hAnsi="Times New Roman" w:cs="Times New Roman"/>
          <w:sz w:val="24"/>
          <w:szCs w:val="24"/>
        </w:rPr>
      </w:pPr>
      <w:bookmarkStart w:id="247" w:name="h.1yyy98l" w:colFirst="0" w:colLast="0"/>
      <w:bookmarkEnd w:id="247"/>
      <w:r w:rsidRPr="009C52C4">
        <w:rPr>
          <w:rFonts w:ascii="Times New Roman" w:hAnsi="Times New Roman" w:cs="Times New Roman"/>
          <w:noProof/>
          <w:sz w:val="24"/>
          <w:szCs w:val="24"/>
        </w:rPr>
        <w:lastRenderedPageBreak/>
        <w:drawing>
          <wp:inline distT="0" distB="0" distL="0" distR="0" wp14:anchorId="5EAE1F4B" wp14:editId="58F3585C">
            <wp:extent cx="9187132" cy="25175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87389" cy="2517580"/>
                    </a:xfrm>
                    <a:prstGeom prst="rect">
                      <a:avLst/>
                    </a:prstGeom>
                    <a:noFill/>
                    <a:ln>
                      <a:noFill/>
                    </a:ln>
                  </pic:spPr>
                </pic:pic>
              </a:graphicData>
            </a:graphic>
          </wp:inline>
        </w:drawing>
      </w:r>
    </w:p>
    <w:p w14:paraId="148C7E6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6CD92A80" w14:textId="77777777" w:rsidR="00B122B4" w:rsidRPr="009C52C4" w:rsidRDefault="00F54CC3">
      <w:pPr>
        <w:pStyle w:val="Heading1"/>
        <w:ind w:left="360" w:firstLine="0"/>
        <w:rPr>
          <w:rFonts w:ascii="Times New Roman" w:hAnsi="Times New Roman" w:cs="Times New Roman"/>
          <w:sz w:val="24"/>
          <w:szCs w:val="24"/>
        </w:rPr>
      </w:pPr>
      <w:bookmarkStart w:id="248" w:name="_Toc3277944"/>
      <w:r w:rsidRPr="009C52C4">
        <w:rPr>
          <w:rFonts w:ascii="Times New Roman" w:hAnsi="Times New Roman" w:cs="Times New Roman"/>
          <w:sz w:val="24"/>
          <w:szCs w:val="24"/>
        </w:rPr>
        <w:lastRenderedPageBreak/>
        <w:t>Prilog 5 Prikaz parametara različitih modela obnove zgrada javne namjene primorske Hrvatske za različit</w:t>
      </w:r>
      <w:r w:rsidR="00170CB0" w:rsidRPr="009C52C4">
        <w:rPr>
          <w:rFonts w:ascii="Times New Roman" w:hAnsi="Times New Roman" w:cs="Times New Roman"/>
          <w:sz w:val="24"/>
          <w:szCs w:val="24"/>
        </w:rPr>
        <w:t xml:space="preserve">a </w:t>
      </w:r>
      <w:r w:rsidR="006107D4" w:rsidRPr="009C52C4">
        <w:rPr>
          <w:rFonts w:ascii="Times New Roman" w:hAnsi="Times New Roman" w:cs="Times New Roman"/>
          <w:sz w:val="24"/>
          <w:szCs w:val="24"/>
        </w:rPr>
        <w:t>razdoblja kalkulacije</w:t>
      </w:r>
      <w:bookmarkEnd w:id="248"/>
    </w:p>
    <w:p w14:paraId="6240537A" w14:textId="77777777" w:rsidR="00853BC8" w:rsidRPr="009C52C4" w:rsidRDefault="00853488" w:rsidP="00853BC8">
      <w:pPr>
        <w:rPr>
          <w:rFonts w:ascii="Times New Roman" w:hAnsi="Times New Roman" w:cs="Times New Roman"/>
          <w:sz w:val="24"/>
          <w:szCs w:val="24"/>
        </w:rPr>
      </w:pPr>
      <w:bookmarkStart w:id="249" w:name="h.4iylrwe" w:colFirst="0" w:colLast="0"/>
      <w:bookmarkEnd w:id="249"/>
      <w:r w:rsidRPr="009C52C4">
        <w:rPr>
          <w:rFonts w:ascii="Times New Roman" w:hAnsi="Times New Roman" w:cs="Times New Roman"/>
          <w:noProof/>
          <w:sz w:val="24"/>
          <w:szCs w:val="24"/>
        </w:rPr>
        <w:drawing>
          <wp:inline distT="0" distB="0" distL="0" distR="0" wp14:anchorId="0A91B2A4" wp14:editId="127F02AA">
            <wp:extent cx="3666227" cy="24608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4482" cy="2466406"/>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2D95F95E" wp14:editId="6D8C5B2B">
            <wp:extent cx="3662743" cy="245852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7776" cy="2461906"/>
                    </a:xfrm>
                    <a:prstGeom prst="rect">
                      <a:avLst/>
                    </a:prstGeom>
                    <a:noFill/>
                  </pic:spPr>
                </pic:pic>
              </a:graphicData>
            </a:graphic>
          </wp:inline>
        </w:drawing>
      </w:r>
    </w:p>
    <w:p w14:paraId="58CF6D93" w14:textId="77777777" w:rsidR="00853BC8" w:rsidRPr="009C52C4" w:rsidRDefault="00853BC8" w:rsidP="00853BC8">
      <w:pPr>
        <w:rPr>
          <w:rFonts w:ascii="Times New Roman" w:hAnsi="Times New Roman" w:cs="Times New Roman"/>
          <w:sz w:val="24"/>
          <w:szCs w:val="24"/>
        </w:rPr>
      </w:pPr>
    </w:p>
    <w:p w14:paraId="28AB7CB7" w14:textId="77777777" w:rsidR="00853BC8" w:rsidRPr="009C52C4" w:rsidRDefault="00853488" w:rsidP="00853BC8">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3C928086" wp14:editId="5B5970EA">
            <wp:extent cx="3666227" cy="24608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0815" cy="2463944"/>
                    </a:xfrm>
                    <a:prstGeom prst="rect">
                      <a:avLst/>
                    </a:prstGeom>
                    <a:noFill/>
                  </pic:spPr>
                </pic:pic>
              </a:graphicData>
            </a:graphic>
          </wp:inline>
        </w:drawing>
      </w:r>
      <w:r w:rsidR="0008767C" w:rsidRPr="009C52C4">
        <w:rPr>
          <w:rFonts w:ascii="Times New Roman" w:hAnsi="Times New Roman" w:cs="Times New Roman"/>
          <w:noProof/>
          <w:sz w:val="24"/>
          <w:szCs w:val="24"/>
        </w:rPr>
        <w:drawing>
          <wp:inline distT="0" distB="0" distL="0" distR="0" wp14:anchorId="114DB1DA" wp14:editId="6CACC0CC">
            <wp:extent cx="3372928" cy="566322"/>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4060" cy="566512"/>
                    </a:xfrm>
                    <a:prstGeom prst="rect">
                      <a:avLst/>
                    </a:prstGeom>
                    <a:noFill/>
                    <a:ln>
                      <a:noFill/>
                    </a:ln>
                  </pic:spPr>
                </pic:pic>
              </a:graphicData>
            </a:graphic>
          </wp:inline>
        </w:drawing>
      </w:r>
    </w:p>
    <w:p w14:paraId="55DC49ED"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7F0CF3F1"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2EF76581" w14:textId="77777777" w:rsidR="00B122B4" w:rsidRPr="009C52C4" w:rsidRDefault="00F54CC3">
      <w:pPr>
        <w:pStyle w:val="Heading1"/>
        <w:rPr>
          <w:rFonts w:ascii="Times New Roman" w:hAnsi="Times New Roman" w:cs="Times New Roman"/>
          <w:sz w:val="24"/>
          <w:szCs w:val="24"/>
        </w:rPr>
      </w:pPr>
      <w:bookmarkStart w:id="250" w:name="_Toc3277945"/>
      <w:r w:rsidRPr="009C52C4">
        <w:rPr>
          <w:rFonts w:ascii="Times New Roman" w:hAnsi="Times New Roman" w:cs="Times New Roman"/>
          <w:sz w:val="24"/>
          <w:szCs w:val="24"/>
        </w:rPr>
        <w:lastRenderedPageBreak/>
        <w:t>Prilog 6 Prikaz specifičnih parametara mjera EnU i OIE mogućih modela obnove zgrada komercijalne namjene kontinentalne Hrvatske</w:t>
      </w:r>
      <w:bookmarkEnd w:id="250"/>
    </w:p>
    <w:p w14:paraId="63FDD091" w14:textId="77777777" w:rsidR="003122D0" w:rsidRPr="009C52C4" w:rsidRDefault="003122D0" w:rsidP="003122D0">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3A6D52B0" wp14:editId="0F09F817">
            <wp:extent cx="9187180" cy="381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87180" cy="3816350"/>
                    </a:xfrm>
                    <a:prstGeom prst="rect">
                      <a:avLst/>
                    </a:prstGeom>
                    <a:noFill/>
                  </pic:spPr>
                </pic:pic>
              </a:graphicData>
            </a:graphic>
          </wp:inline>
        </w:drawing>
      </w:r>
    </w:p>
    <w:p w14:paraId="1B372830"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0C7F4F25" wp14:editId="0B0BE82E">
            <wp:extent cx="9169879" cy="262525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73725" cy="2626360"/>
                    </a:xfrm>
                    <a:prstGeom prst="rect">
                      <a:avLst/>
                    </a:prstGeom>
                    <a:noFill/>
                    <a:ln>
                      <a:noFill/>
                    </a:ln>
                  </pic:spPr>
                </pic:pic>
              </a:graphicData>
            </a:graphic>
          </wp:inline>
        </w:drawing>
      </w:r>
    </w:p>
    <w:p w14:paraId="2E0D874A"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580BF128" w14:textId="77777777" w:rsidR="00B122B4" w:rsidRPr="009C52C4" w:rsidRDefault="00F54CC3">
      <w:pPr>
        <w:pStyle w:val="Heading1"/>
        <w:ind w:left="360" w:firstLine="0"/>
        <w:rPr>
          <w:rFonts w:ascii="Times New Roman" w:hAnsi="Times New Roman" w:cs="Times New Roman"/>
          <w:sz w:val="24"/>
          <w:szCs w:val="24"/>
        </w:rPr>
      </w:pPr>
      <w:bookmarkStart w:id="251" w:name="h.2y3w247" w:colFirst="0" w:colLast="0"/>
      <w:bookmarkStart w:id="252" w:name="_Toc3277946"/>
      <w:bookmarkEnd w:id="251"/>
      <w:r w:rsidRPr="009C52C4">
        <w:rPr>
          <w:rFonts w:ascii="Times New Roman" w:hAnsi="Times New Roman" w:cs="Times New Roman"/>
          <w:sz w:val="24"/>
          <w:szCs w:val="24"/>
        </w:rPr>
        <w:lastRenderedPageBreak/>
        <w:t>Prilog 7 Prikaz parametara različitih modela obnove zgrada komercijalne namjene kontinentalne Hrvatske za različit</w:t>
      </w:r>
      <w:r w:rsidR="00170CB0" w:rsidRPr="009C52C4">
        <w:rPr>
          <w:rFonts w:ascii="Times New Roman" w:hAnsi="Times New Roman" w:cs="Times New Roman"/>
          <w:sz w:val="24"/>
          <w:szCs w:val="24"/>
        </w:rPr>
        <w:t xml:space="preserve">a </w:t>
      </w:r>
      <w:r w:rsidR="006107D4" w:rsidRPr="009C52C4">
        <w:rPr>
          <w:rFonts w:ascii="Times New Roman" w:hAnsi="Times New Roman" w:cs="Times New Roman"/>
          <w:sz w:val="24"/>
          <w:szCs w:val="24"/>
        </w:rPr>
        <w:t>razdoblja kalkulacije</w:t>
      </w:r>
      <w:bookmarkEnd w:id="252"/>
    </w:p>
    <w:p w14:paraId="5D2F6C1D" w14:textId="77777777" w:rsidR="00853BC8" w:rsidRPr="009C52C4" w:rsidRDefault="00853488" w:rsidP="00853BC8">
      <w:pPr>
        <w:rPr>
          <w:rFonts w:ascii="Times New Roman" w:hAnsi="Times New Roman" w:cs="Times New Roman"/>
          <w:sz w:val="24"/>
          <w:szCs w:val="24"/>
        </w:rPr>
      </w:pPr>
      <w:bookmarkStart w:id="253" w:name="h.1d96cc0" w:colFirst="0" w:colLast="0"/>
      <w:bookmarkEnd w:id="253"/>
      <w:r w:rsidRPr="009C52C4">
        <w:rPr>
          <w:rFonts w:ascii="Times New Roman" w:hAnsi="Times New Roman" w:cs="Times New Roman"/>
          <w:noProof/>
          <w:sz w:val="24"/>
          <w:szCs w:val="24"/>
        </w:rPr>
        <w:drawing>
          <wp:inline distT="0" distB="0" distL="0" distR="0" wp14:anchorId="62D6E6DA" wp14:editId="69633799">
            <wp:extent cx="3666227" cy="2458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7635" cy="2465710"/>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1E58D2D5" wp14:editId="509CFE95">
            <wp:extent cx="3659006" cy="2456020"/>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66720" cy="2461198"/>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31DF85BA" wp14:editId="671A041D">
            <wp:extent cx="3614468" cy="242612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2206" cy="2431319"/>
                    </a:xfrm>
                    <a:prstGeom prst="rect">
                      <a:avLst/>
                    </a:prstGeom>
                    <a:noFill/>
                  </pic:spPr>
                </pic:pic>
              </a:graphicData>
            </a:graphic>
          </wp:inline>
        </w:drawing>
      </w:r>
      <w:r w:rsidR="0008767C" w:rsidRPr="009C52C4">
        <w:rPr>
          <w:rFonts w:ascii="Times New Roman" w:hAnsi="Times New Roman" w:cs="Times New Roman"/>
          <w:noProof/>
          <w:sz w:val="24"/>
          <w:szCs w:val="24"/>
        </w:rPr>
        <w:drawing>
          <wp:inline distT="0" distB="0" distL="0" distR="0" wp14:anchorId="6C1CBAAD" wp14:editId="25327F80">
            <wp:extent cx="3433313" cy="57646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8577" cy="577346"/>
                    </a:xfrm>
                    <a:prstGeom prst="rect">
                      <a:avLst/>
                    </a:prstGeom>
                    <a:noFill/>
                    <a:ln>
                      <a:noFill/>
                    </a:ln>
                  </pic:spPr>
                </pic:pic>
              </a:graphicData>
            </a:graphic>
          </wp:inline>
        </w:drawing>
      </w:r>
    </w:p>
    <w:p w14:paraId="7F53738A"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3F8481A0" w14:textId="77777777" w:rsidR="00B122B4" w:rsidRPr="009C52C4" w:rsidRDefault="00F54CC3">
      <w:pPr>
        <w:pStyle w:val="Heading1"/>
        <w:rPr>
          <w:rFonts w:ascii="Times New Roman" w:hAnsi="Times New Roman" w:cs="Times New Roman"/>
          <w:sz w:val="24"/>
          <w:szCs w:val="24"/>
        </w:rPr>
      </w:pPr>
      <w:bookmarkStart w:id="254" w:name="_Toc3277947"/>
      <w:r w:rsidRPr="009C52C4">
        <w:rPr>
          <w:rFonts w:ascii="Times New Roman" w:hAnsi="Times New Roman" w:cs="Times New Roman"/>
          <w:sz w:val="24"/>
          <w:szCs w:val="24"/>
        </w:rPr>
        <w:lastRenderedPageBreak/>
        <w:t xml:space="preserve">Prilog 8 Prikaz specifičnih parametara mjera EnU i OIE mogućih modela obnove </w:t>
      </w:r>
      <w:r w:rsidRPr="009C52C4">
        <w:rPr>
          <w:rFonts w:ascii="Times New Roman" w:hAnsi="Times New Roman" w:cs="Times New Roman"/>
          <w:color w:val="auto"/>
          <w:sz w:val="24"/>
          <w:szCs w:val="24"/>
        </w:rPr>
        <w:t>z</w:t>
      </w:r>
      <w:r w:rsidRPr="009C52C4">
        <w:rPr>
          <w:rFonts w:ascii="Times New Roman" w:hAnsi="Times New Roman" w:cs="Times New Roman"/>
          <w:sz w:val="24"/>
          <w:szCs w:val="24"/>
        </w:rPr>
        <w:t>grada komercijalne namjene primorske Hrvatske</w:t>
      </w:r>
      <w:bookmarkEnd w:id="254"/>
    </w:p>
    <w:p w14:paraId="596DA0C7" w14:textId="77777777" w:rsidR="00853BC8" w:rsidRPr="009C52C4" w:rsidRDefault="0014608A" w:rsidP="00853BC8">
      <w:pPr>
        <w:rPr>
          <w:rFonts w:ascii="Times New Roman" w:hAnsi="Times New Roman" w:cs="Times New Roman"/>
          <w:sz w:val="24"/>
          <w:szCs w:val="24"/>
        </w:rPr>
      </w:pPr>
      <w:bookmarkStart w:id="255" w:name="h.3x8tuzt" w:colFirst="0" w:colLast="0"/>
      <w:bookmarkEnd w:id="255"/>
      <w:r w:rsidRPr="009C52C4">
        <w:rPr>
          <w:rFonts w:ascii="Times New Roman" w:hAnsi="Times New Roman" w:cs="Times New Roman"/>
          <w:noProof/>
          <w:sz w:val="24"/>
          <w:szCs w:val="24"/>
        </w:rPr>
        <w:drawing>
          <wp:inline distT="0" distB="0" distL="0" distR="0" wp14:anchorId="1D5226B2" wp14:editId="73A3424B">
            <wp:extent cx="9195759" cy="3839369"/>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95823" cy="3839396"/>
                    </a:xfrm>
                    <a:prstGeom prst="rect">
                      <a:avLst/>
                    </a:prstGeom>
                    <a:noFill/>
                    <a:ln>
                      <a:noFill/>
                    </a:ln>
                  </pic:spPr>
                </pic:pic>
              </a:graphicData>
            </a:graphic>
          </wp:inline>
        </w:drawing>
      </w:r>
    </w:p>
    <w:p w14:paraId="5DBDE156"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593329F6" wp14:editId="1ADD9FCE">
            <wp:extent cx="9192255" cy="25189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90918" cy="2518547"/>
                    </a:xfrm>
                    <a:prstGeom prst="rect">
                      <a:avLst/>
                    </a:prstGeom>
                    <a:noFill/>
                    <a:ln>
                      <a:noFill/>
                    </a:ln>
                  </pic:spPr>
                </pic:pic>
              </a:graphicData>
            </a:graphic>
          </wp:inline>
        </w:drawing>
      </w:r>
    </w:p>
    <w:p w14:paraId="587A816C"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 </w:t>
      </w:r>
      <w:r w:rsidRPr="009C52C4">
        <w:rPr>
          <w:rFonts w:ascii="Times New Roman" w:hAnsi="Times New Roman" w:cs="Times New Roman"/>
          <w:sz w:val="24"/>
          <w:szCs w:val="24"/>
        </w:rPr>
        <w:br w:type="page"/>
      </w:r>
    </w:p>
    <w:p w14:paraId="6EC3FCA0" w14:textId="77777777" w:rsidR="00B122B4" w:rsidRPr="009C52C4" w:rsidRDefault="00F54CC3">
      <w:pPr>
        <w:pStyle w:val="Heading1"/>
        <w:ind w:left="360" w:firstLine="0"/>
        <w:rPr>
          <w:rFonts w:ascii="Times New Roman" w:hAnsi="Times New Roman" w:cs="Times New Roman"/>
          <w:sz w:val="24"/>
          <w:szCs w:val="24"/>
        </w:rPr>
      </w:pPr>
      <w:bookmarkStart w:id="256" w:name="_Toc3277948"/>
      <w:r w:rsidRPr="009C52C4">
        <w:rPr>
          <w:rFonts w:ascii="Times New Roman" w:hAnsi="Times New Roman" w:cs="Times New Roman"/>
          <w:sz w:val="24"/>
          <w:szCs w:val="24"/>
        </w:rPr>
        <w:lastRenderedPageBreak/>
        <w:t>Prilog 9 Prikaz parametara različitih modela obnove zgrada komercijalne namjene primorske Hrvatske za različit</w:t>
      </w:r>
      <w:r w:rsidR="00170CB0" w:rsidRPr="009C52C4">
        <w:rPr>
          <w:rFonts w:ascii="Times New Roman" w:hAnsi="Times New Roman" w:cs="Times New Roman"/>
          <w:sz w:val="24"/>
          <w:szCs w:val="24"/>
        </w:rPr>
        <w:t xml:space="preserve">a </w:t>
      </w:r>
      <w:r w:rsidR="006107D4" w:rsidRPr="009C52C4">
        <w:rPr>
          <w:rFonts w:ascii="Times New Roman" w:hAnsi="Times New Roman" w:cs="Times New Roman"/>
          <w:sz w:val="24"/>
          <w:szCs w:val="24"/>
        </w:rPr>
        <w:t>razdoblja kalkulacije</w:t>
      </w:r>
      <w:bookmarkEnd w:id="256"/>
    </w:p>
    <w:p w14:paraId="6FBF71A5" w14:textId="77777777" w:rsidR="00853BC8" w:rsidRPr="009C52C4" w:rsidRDefault="00853488" w:rsidP="00853BC8">
      <w:pPr>
        <w:rPr>
          <w:rFonts w:ascii="Times New Roman" w:hAnsi="Times New Roman" w:cs="Times New Roman"/>
          <w:sz w:val="24"/>
          <w:szCs w:val="24"/>
        </w:rPr>
      </w:pPr>
      <w:bookmarkStart w:id="257" w:name="h.2ce457m" w:colFirst="0" w:colLast="0"/>
      <w:bookmarkEnd w:id="257"/>
      <w:r w:rsidRPr="009C52C4">
        <w:rPr>
          <w:rFonts w:ascii="Times New Roman" w:hAnsi="Times New Roman" w:cs="Times New Roman"/>
          <w:noProof/>
          <w:sz w:val="24"/>
          <w:szCs w:val="24"/>
        </w:rPr>
        <w:drawing>
          <wp:inline distT="0" distB="0" distL="0" distR="0" wp14:anchorId="434868B8" wp14:editId="4BE62E3D">
            <wp:extent cx="3599998" cy="2413660"/>
            <wp:effectExtent l="0" t="0" r="63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9918" cy="2413606"/>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5888BA5E" wp14:editId="10628AAF">
            <wp:extent cx="3597917" cy="2415015"/>
            <wp:effectExtent l="0" t="0" r="254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3371" cy="2418676"/>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2F6F0995" wp14:editId="51CF60D6">
            <wp:extent cx="3688448" cy="2475781"/>
            <wp:effectExtent l="0" t="0" r="762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3461" cy="2479146"/>
                    </a:xfrm>
                    <a:prstGeom prst="rect">
                      <a:avLst/>
                    </a:prstGeom>
                    <a:noFill/>
                  </pic:spPr>
                </pic:pic>
              </a:graphicData>
            </a:graphic>
          </wp:inline>
        </w:drawing>
      </w:r>
      <w:r w:rsidR="0008767C" w:rsidRPr="009C52C4">
        <w:rPr>
          <w:rFonts w:ascii="Times New Roman" w:hAnsi="Times New Roman" w:cs="Times New Roman"/>
          <w:noProof/>
          <w:sz w:val="24"/>
          <w:szCs w:val="24"/>
        </w:rPr>
        <w:drawing>
          <wp:inline distT="0" distB="0" distL="0" distR="0" wp14:anchorId="1BC2C511" wp14:editId="1A0ED00E">
            <wp:extent cx="3347049" cy="561977"/>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8176" cy="562166"/>
                    </a:xfrm>
                    <a:prstGeom prst="rect">
                      <a:avLst/>
                    </a:prstGeom>
                    <a:noFill/>
                    <a:ln>
                      <a:noFill/>
                    </a:ln>
                  </pic:spPr>
                </pic:pic>
              </a:graphicData>
            </a:graphic>
          </wp:inline>
        </w:drawing>
      </w:r>
    </w:p>
    <w:p w14:paraId="1E77B9F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7225BEF2"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2D1B4D0A" w14:textId="77777777" w:rsidR="00B122B4" w:rsidRPr="009C52C4" w:rsidRDefault="00F54CC3" w:rsidP="00C96417">
      <w:pPr>
        <w:pStyle w:val="Heading1"/>
        <w:ind w:left="360" w:firstLine="0"/>
        <w:rPr>
          <w:rFonts w:ascii="Times New Roman" w:hAnsi="Times New Roman" w:cs="Times New Roman"/>
          <w:sz w:val="24"/>
          <w:szCs w:val="24"/>
        </w:rPr>
      </w:pPr>
      <w:bookmarkStart w:id="258" w:name="_Toc3277949"/>
      <w:r w:rsidRPr="009C52C4">
        <w:rPr>
          <w:rFonts w:ascii="Times New Roman" w:hAnsi="Times New Roman" w:cs="Times New Roman"/>
          <w:sz w:val="24"/>
          <w:szCs w:val="24"/>
        </w:rPr>
        <w:lastRenderedPageBreak/>
        <w:t xml:space="preserve">Prilog 10 Prikaz specifičnih parametara mjera EnU i OIE </w:t>
      </w:r>
      <w:r w:rsidR="00C96417" w:rsidRPr="009C52C4">
        <w:rPr>
          <w:rFonts w:ascii="Times New Roman" w:hAnsi="Times New Roman" w:cs="Times New Roman"/>
          <w:sz w:val="24"/>
          <w:szCs w:val="24"/>
        </w:rPr>
        <w:t>mogućih</w:t>
      </w:r>
      <w:r w:rsidRPr="009C52C4">
        <w:rPr>
          <w:rFonts w:ascii="Times New Roman" w:hAnsi="Times New Roman" w:cs="Times New Roman"/>
          <w:sz w:val="24"/>
          <w:szCs w:val="24"/>
        </w:rPr>
        <w:t xml:space="preserve"> modela obnove </w:t>
      </w:r>
      <w:r w:rsidRPr="009C52C4">
        <w:rPr>
          <w:rFonts w:ascii="Times New Roman" w:hAnsi="Times New Roman" w:cs="Times New Roman"/>
          <w:color w:val="auto"/>
          <w:sz w:val="24"/>
          <w:szCs w:val="24"/>
        </w:rPr>
        <w:t xml:space="preserve">višestambenih zgrada </w:t>
      </w:r>
      <w:r w:rsidRPr="009C52C4">
        <w:rPr>
          <w:rFonts w:ascii="Times New Roman" w:hAnsi="Times New Roman" w:cs="Times New Roman"/>
          <w:sz w:val="24"/>
          <w:szCs w:val="24"/>
        </w:rPr>
        <w:t>kontinentalne Hrvatske</w:t>
      </w:r>
      <w:bookmarkEnd w:id="258"/>
    </w:p>
    <w:p w14:paraId="0B674DAE" w14:textId="77777777" w:rsidR="003122D0" w:rsidRPr="009C52C4" w:rsidRDefault="003122D0" w:rsidP="003122D0">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45506960" wp14:editId="38E75BDF">
            <wp:extent cx="9161564" cy="3536831"/>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60657" cy="3536481"/>
                    </a:xfrm>
                    <a:prstGeom prst="rect">
                      <a:avLst/>
                    </a:prstGeom>
                    <a:noFill/>
                    <a:ln>
                      <a:noFill/>
                    </a:ln>
                  </pic:spPr>
                </pic:pic>
              </a:graphicData>
            </a:graphic>
          </wp:inline>
        </w:drawing>
      </w:r>
    </w:p>
    <w:p w14:paraId="151BC5E9" w14:textId="77777777" w:rsidR="00853BC8" w:rsidRPr="009C52C4" w:rsidRDefault="003122D0" w:rsidP="00853BC8">
      <w:pPr>
        <w:rPr>
          <w:rFonts w:ascii="Times New Roman" w:hAnsi="Times New Roman" w:cs="Times New Roman"/>
          <w:sz w:val="24"/>
          <w:szCs w:val="24"/>
        </w:rPr>
      </w:pPr>
      <w:bookmarkStart w:id="259" w:name="h.rjefff" w:colFirst="0" w:colLast="0"/>
      <w:bookmarkEnd w:id="259"/>
      <w:r w:rsidRPr="009C52C4">
        <w:rPr>
          <w:rFonts w:ascii="Times New Roman" w:hAnsi="Times New Roman" w:cs="Times New Roman"/>
          <w:noProof/>
          <w:sz w:val="24"/>
          <w:szCs w:val="24"/>
        </w:rPr>
        <w:drawing>
          <wp:inline distT="0" distB="0" distL="0" distR="0" wp14:anchorId="1EBC453E" wp14:editId="37B91D16">
            <wp:extent cx="9181575" cy="219111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81731" cy="2191147"/>
                    </a:xfrm>
                    <a:prstGeom prst="rect">
                      <a:avLst/>
                    </a:prstGeom>
                    <a:noFill/>
                    <a:ln>
                      <a:noFill/>
                    </a:ln>
                  </pic:spPr>
                </pic:pic>
              </a:graphicData>
            </a:graphic>
          </wp:inline>
        </w:drawing>
      </w:r>
    </w:p>
    <w:p w14:paraId="658429E0"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3D477ADE" w14:textId="3DF884D6" w:rsidR="00B122B4" w:rsidRPr="009C52C4" w:rsidRDefault="00853BC8" w:rsidP="001D0F82">
      <w:pPr>
        <w:pStyle w:val="Heading1"/>
        <w:ind w:left="360" w:firstLine="0"/>
        <w:rPr>
          <w:rFonts w:ascii="Times New Roman" w:hAnsi="Times New Roman" w:cs="Times New Roman"/>
          <w:sz w:val="24"/>
          <w:szCs w:val="24"/>
        </w:rPr>
      </w:pPr>
      <w:r w:rsidRPr="009C52C4">
        <w:rPr>
          <w:rFonts w:ascii="Times New Roman" w:hAnsi="Times New Roman" w:cs="Times New Roman"/>
          <w:sz w:val="24"/>
          <w:szCs w:val="24"/>
        </w:rPr>
        <w:br w:type="page"/>
      </w:r>
      <w:bookmarkStart w:id="260" w:name="_Toc3277950"/>
      <w:r w:rsidR="00F54CC3" w:rsidRPr="009C52C4">
        <w:rPr>
          <w:rFonts w:ascii="Times New Roman" w:hAnsi="Times New Roman" w:cs="Times New Roman"/>
          <w:sz w:val="24"/>
          <w:szCs w:val="24"/>
        </w:rPr>
        <w:lastRenderedPageBreak/>
        <w:t xml:space="preserve">Prilog 11 Prikaz parametara različitih modela obnove višestambenih zgrada kontinentalne Hrvatske za </w:t>
      </w:r>
      <w:r w:rsidR="00170CB0" w:rsidRPr="009C52C4">
        <w:rPr>
          <w:rFonts w:ascii="Times New Roman" w:hAnsi="Times New Roman" w:cs="Times New Roman"/>
          <w:sz w:val="24"/>
          <w:szCs w:val="24"/>
        </w:rPr>
        <w:t xml:space="preserve">različita </w:t>
      </w:r>
      <w:r w:rsidR="006107D4" w:rsidRPr="009C52C4">
        <w:rPr>
          <w:rFonts w:ascii="Times New Roman" w:hAnsi="Times New Roman" w:cs="Times New Roman"/>
          <w:sz w:val="24"/>
          <w:szCs w:val="24"/>
        </w:rPr>
        <w:t>razdoblja kalkulacije</w:t>
      </w:r>
      <w:bookmarkEnd w:id="260"/>
    </w:p>
    <w:p w14:paraId="7A417102" w14:textId="77777777" w:rsidR="00853BC8" w:rsidRPr="009C52C4" w:rsidRDefault="00853488" w:rsidP="00853BC8">
      <w:pPr>
        <w:rPr>
          <w:rFonts w:ascii="Times New Roman" w:hAnsi="Times New Roman" w:cs="Times New Roman"/>
          <w:sz w:val="24"/>
          <w:szCs w:val="24"/>
        </w:rPr>
      </w:pPr>
      <w:bookmarkStart w:id="261" w:name="h.3bj1y38" w:colFirst="0" w:colLast="0"/>
      <w:bookmarkEnd w:id="261"/>
      <w:r w:rsidRPr="009C52C4">
        <w:rPr>
          <w:rFonts w:ascii="Times New Roman" w:hAnsi="Times New Roman" w:cs="Times New Roman"/>
          <w:noProof/>
          <w:sz w:val="24"/>
          <w:szCs w:val="24"/>
        </w:rPr>
        <w:drawing>
          <wp:inline distT="0" distB="0" distL="0" distR="0" wp14:anchorId="539DAC5C" wp14:editId="62EA1751">
            <wp:extent cx="3683479" cy="2472446"/>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8303" cy="2475684"/>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498D6CB8" wp14:editId="5190B711">
            <wp:extent cx="3671052" cy="2461299"/>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77000" cy="2465287"/>
                    </a:xfrm>
                    <a:prstGeom prst="rect">
                      <a:avLst/>
                    </a:prstGeom>
                    <a:noFill/>
                  </pic:spPr>
                </pic:pic>
              </a:graphicData>
            </a:graphic>
          </wp:inline>
        </w:drawing>
      </w:r>
      <w:r w:rsidR="0008767C" w:rsidRPr="009C52C4">
        <w:rPr>
          <w:rFonts w:ascii="Times New Roman" w:hAnsi="Times New Roman" w:cs="Times New Roman"/>
          <w:noProof/>
          <w:sz w:val="24"/>
          <w:szCs w:val="24"/>
        </w:rPr>
        <w:drawing>
          <wp:inline distT="0" distB="0" distL="0" distR="0" wp14:anchorId="37CBFA6B" wp14:editId="27529C49">
            <wp:extent cx="3765556" cy="2527539"/>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71179" cy="2531314"/>
                    </a:xfrm>
                    <a:prstGeom prst="rect">
                      <a:avLst/>
                    </a:prstGeom>
                    <a:noFill/>
                  </pic:spPr>
                </pic:pic>
              </a:graphicData>
            </a:graphic>
          </wp:inline>
        </w:drawing>
      </w:r>
      <w:r w:rsidR="00915FEC" w:rsidRPr="009C52C4">
        <w:rPr>
          <w:rFonts w:ascii="Times New Roman" w:hAnsi="Times New Roman" w:cs="Times New Roman"/>
          <w:noProof/>
          <w:sz w:val="24"/>
          <w:szCs w:val="24"/>
        </w:rPr>
        <w:drawing>
          <wp:inline distT="0" distB="0" distL="0" distR="0" wp14:anchorId="274265F3" wp14:editId="394DF56B">
            <wp:extent cx="3278038" cy="43997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8014" cy="439968"/>
                    </a:xfrm>
                    <a:prstGeom prst="rect">
                      <a:avLst/>
                    </a:prstGeom>
                    <a:noFill/>
                    <a:ln>
                      <a:noFill/>
                    </a:ln>
                  </pic:spPr>
                </pic:pic>
              </a:graphicData>
            </a:graphic>
          </wp:inline>
        </w:drawing>
      </w:r>
    </w:p>
    <w:p w14:paraId="3B995C2D"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05720D5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03762756" w14:textId="77777777" w:rsidR="00B122B4" w:rsidRPr="009C52C4" w:rsidRDefault="00F54CC3" w:rsidP="001D0F82">
      <w:pPr>
        <w:pStyle w:val="Heading1"/>
        <w:ind w:left="360" w:firstLine="0"/>
        <w:rPr>
          <w:rFonts w:ascii="Times New Roman" w:hAnsi="Times New Roman" w:cs="Times New Roman"/>
          <w:sz w:val="24"/>
          <w:szCs w:val="24"/>
        </w:rPr>
      </w:pPr>
      <w:bookmarkStart w:id="262" w:name="_Toc3277951"/>
      <w:r w:rsidRPr="009C52C4">
        <w:rPr>
          <w:rFonts w:ascii="Times New Roman" w:hAnsi="Times New Roman" w:cs="Times New Roman"/>
          <w:sz w:val="24"/>
          <w:szCs w:val="24"/>
        </w:rPr>
        <w:lastRenderedPageBreak/>
        <w:t>Prilog 12 Prikaz specifičnih parametara mjera EnU i OIE mogući</w:t>
      </w:r>
      <w:r w:rsidR="00C96417" w:rsidRPr="009C52C4">
        <w:rPr>
          <w:rFonts w:ascii="Times New Roman" w:hAnsi="Times New Roman" w:cs="Times New Roman"/>
          <w:sz w:val="24"/>
          <w:szCs w:val="24"/>
        </w:rPr>
        <w:t>h model</w:t>
      </w:r>
      <w:r w:rsidRPr="009C52C4">
        <w:rPr>
          <w:rFonts w:ascii="Times New Roman" w:hAnsi="Times New Roman" w:cs="Times New Roman"/>
          <w:sz w:val="24"/>
          <w:szCs w:val="24"/>
        </w:rPr>
        <w:t>a obnove višestambenih zgrada primorske Hrvatske</w:t>
      </w:r>
      <w:bookmarkEnd w:id="262"/>
    </w:p>
    <w:p w14:paraId="66CFBD38" w14:textId="77777777" w:rsidR="003122D0" w:rsidRPr="009C52C4" w:rsidRDefault="003122D0" w:rsidP="003122D0">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7ECCD10D" wp14:editId="127CCEFF">
            <wp:extent cx="9187180" cy="3590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87180" cy="3590925"/>
                    </a:xfrm>
                    <a:prstGeom prst="rect">
                      <a:avLst/>
                    </a:prstGeom>
                    <a:noFill/>
                  </pic:spPr>
                </pic:pic>
              </a:graphicData>
            </a:graphic>
          </wp:inline>
        </w:drawing>
      </w:r>
    </w:p>
    <w:p w14:paraId="4A9B0946"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591DB612" wp14:editId="63DEBB89">
            <wp:extent cx="9161757" cy="2096219"/>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0424" cy="2095914"/>
                    </a:xfrm>
                    <a:prstGeom prst="rect">
                      <a:avLst/>
                    </a:prstGeom>
                    <a:noFill/>
                    <a:ln>
                      <a:noFill/>
                    </a:ln>
                  </pic:spPr>
                </pic:pic>
              </a:graphicData>
            </a:graphic>
          </wp:inline>
        </w:drawing>
      </w:r>
    </w:p>
    <w:p w14:paraId="38BFACE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2C58F808" w14:textId="77777777" w:rsidR="00853BC8" w:rsidRPr="009C52C4" w:rsidRDefault="00853BC8" w:rsidP="00853BC8">
      <w:pPr>
        <w:rPr>
          <w:rFonts w:ascii="Times New Roman" w:hAnsi="Times New Roman" w:cs="Times New Roman"/>
          <w:sz w:val="24"/>
          <w:szCs w:val="24"/>
        </w:rPr>
      </w:pPr>
    </w:p>
    <w:p w14:paraId="090DBDF7" w14:textId="41FB9389" w:rsidR="00B122B4" w:rsidRPr="009C52C4" w:rsidRDefault="00F54CC3" w:rsidP="001D0F82">
      <w:pPr>
        <w:pStyle w:val="Heading1"/>
        <w:ind w:left="360" w:firstLine="0"/>
        <w:rPr>
          <w:rFonts w:ascii="Times New Roman" w:hAnsi="Times New Roman" w:cs="Times New Roman"/>
          <w:sz w:val="24"/>
          <w:szCs w:val="24"/>
        </w:rPr>
      </w:pPr>
      <w:bookmarkStart w:id="263" w:name="h.1qoc8b1" w:colFirst="0" w:colLast="0"/>
      <w:bookmarkStart w:id="264" w:name="_Toc3277952"/>
      <w:bookmarkEnd w:id="263"/>
      <w:r w:rsidRPr="009C52C4">
        <w:rPr>
          <w:rFonts w:ascii="Times New Roman" w:hAnsi="Times New Roman" w:cs="Times New Roman"/>
          <w:sz w:val="24"/>
          <w:szCs w:val="24"/>
        </w:rPr>
        <w:t>Prilog 13 Prikaz parametara različitih modela obnove višestambenih zgrada primorske Hrvatske za različit</w:t>
      </w:r>
      <w:r w:rsidR="00170CB0" w:rsidRPr="009C52C4">
        <w:rPr>
          <w:rFonts w:ascii="Times New Roman" w:hAnsi="Times New Roman" w:cs="Times New Roman"/>
          <w:sz w:val="24"/>
          <w:szCs w:val="24"/>
        </w:rPr>
        <w:t>a razdoblja</w:t>
      </w:r>
      <w:r w:rsidRPr="009C52C4">
        <w:rPr>
          <w:rFonts w:ascii="Times New Roman" w:hAnsi="Times New Roman" w:cs="Times New Roman"/>
          <w:sz w:val="24"/>
          <w:szCs w:val="24"/>
        </w:rPr>
        <w:t xml:space="preserve"> kalkulacije</w:t>
      </w:r>
      <w:bookmarkEnd w:id="264"/>
    </w:p>
    <w:p w14:paraId="6F3D6A18" w14:textId="77777777" w:rsidR="00853BC8" w:rsidRPr="009C52C4" w:rsidRDefault="0008767C" w:rsidP="00853BC8">
      <w:pPr>
        <w:rPr>
          <w:rFonts w:ascii="Times New Roman" w:hAnsi="Times New Roman" w:cs="Times New Roman"/>
          <w:sz w:val="24"/>
          <w:szCs w:val="24"/>
        </w:rPr>
      </w:pPr>
      <w:bookmarkStart w:id="265" w:name="h.4anzqyu" w:colFirst="0" w:colLast="0"/>
      <w:bookmarkEnd w:id="265"/>
      <w:r w:rsidRPr="009C52C4">
        <w:rPr>
          <w:rFonts w:ascii="Times New Roman" w:hAnsi="Times New Roman" w:cs="Times New Roman"/>
          <w:noProof/>
          <w:sz w:val="24"/>
          <w:szCs w:val="24"/>
        </w:rPr>
        <w:drawing>
          <wp:inline distT="0" distB="0" distL="0" distR="0" wp14:anchorId="72CD5F4B" wp14:editId="4BCDA8FF">
            <wp:extent cx="3709359" cy="2489818"/>
            <wp:effectExtent l="0" t="0" r="5715"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9462" cy="2496599"/>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2BD91614" wp14:editId="4230D621">
            <wp:extent cx="3712170" cy="2491705"/>
            <wp:effectExtent l="0" t="0" r="317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8574" cy="2496003"/>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66939A29" wp14:editId="478DFF7F">
            <wp:extent cx="3934378" cy="2637846"/>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6089" cy="2645698"/>
                    </a:xfrm>
                    <a:prstGeom prst="rect">
                      <a:avLst/>
                    </a:prstGeom>
                    <a:noFill/>
                  </pic:spPr>
                </pic:pic>
              </a:graphicData>
            </a:graphic>
          </wp:inline>
        </w:drawing>
      </w:r>
      <w:r w:rsidR="00915FEC" w:rsidRPr="009C52C4">
        <w:rPr>
          <w:rFonts w:ascii="Times New Roman" w:hAnsi="Times New Roman" w:cs="Times New Roman"/>
          <w:noProof/>
          <w:sz w:val="24"/>
          <w:szCs w:val="24"/>
        </w:rPr>
        <w:drawing>
          <wp:inline distT="0" distB="0" distL="0" distR="0" wp14:anchorId="2D8F747E" wp14:editId="7374D8F1">
            <wp:extent cx="3096883" cy="415657"/>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96860" cy="415654"/>
                    </a:xfrm>
                    <a:prstGeom prst="rect">
                      <a:avLst/>
                    </a:prstGeom>
                    <a:noFill/>
                    <a:ln>
                      <a:noFill/>
                    </a:ln>
                  </pic:spPr>
                </pic:pic>
              </a:graphicData>
            </a:graphic>
          </wp:inline>
        </w:drawing>
      </w:r>
    </w:p>
    <w:p w14:paraId="221C11DB"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29E5D135"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br w:type="page"/>
      </w:r>
    </w:p>
    <w:p w14:paraId="70979F24" w14:textId="77777777" w:rsidR="00B122B4" w:rsidRPr="009C52C4" w:rsidRDefault="00F54CC3">
      <w:pPr>
        <w:pStyle w:val="Heading1"/>
        <w:rPr>
          <w:rFonts w:ascii="Times New Roman" w:hAnsi="Times New Roman" w:cs="Times New Roman"/>
          <w:sz w:val="24"/>
          <w:szCs w:val="24"/>
        </w:rPr>
      </w:pPr>
      <w:bookmarkStart w:id="266" w:name="_Toc3277953"/>
      <w:r w:rsidRPr="009C52C4">
        <w:rPr>
          <w:rFonts w:ascii="Times New Roman" w:hAnsi="Times New Roman" w:cs="Times New Roman"/>
          <w:sz w:val="24"/>
          <w:szCs w:val="24"/>
        </w:rPr>
        <w:lastRenderedPageBreak/>
        <w:t>Prilog 14 Prikaz specifičnih parametara mjera EnU i OIE mogući</w:t>
      </w:r>
      <w:r w:rsidR="00C96417" w:rsidRPr="009C52C4">
        <w:rPr>
          <w:rFonts w:ascii="Times New Roman" w:hAnsi="Times New Roman" w:cs="Times New Roman"/>
          <w:sz w:val="24"/>
          <w:szCs w:val="24"/>
        </w:rPr>
        <w:t>h model</w:t>
      </w:r>
      <w:r w:rsidRPr="009C52C4">
        <w:rPr>
          <w:rFonts w:ascii="Times New Roman" w:hAnsi="Times New Roman" w:cs="Times New Roman"/>
          <w:sz w:val="24"/>
          <w:szCs w:val="24"/>
        </w:rPr>
        <w:t xml:space="preserve">a obnove </w:t>
      </w:r>
      <w:r w:rsidRPr="009C52C4">
        <w:rPr>
          <w:rFonts w:ascii="Times New Roman" w:hAnsi="Times New Roman" w:cs="Times New Roman"/>
          <w:color w:val="auto"/>
          <w:sz w:val="24"/>
          <w:szCs w:val="24"/>
        </w:rPr>
        <w:t xml:space="preserve">obiteljskih kuća </w:t>
      </w:r>
      <w:r w:rsidRPr="009C52C4">
        <w:rPr>
          <w:rFonts w:ascii="Times New Roman" w:hAnsi="Times New Roman" w:cs="Times New Roman"/>
          <w:sz w:val="24"/>
          <w:szCs w:val="24"/>
        </w:rPr>
        <w:t>kontinentalne Hrvatske</w:t>
      </w:r>
      <w:bookmarkEnd w:id="266"/>
    </w:p>
    <w:p w14:paraId="03C10D76" w14:textId="77777777" w:rsidR="00853BC8" w:rsidRPr="009C52C4" w:rsidRDefault="00AD193C" w:rsidP="00853BC8">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64B38737" wp14:editId="565737F3">
            <wp:extent cx="9185681" cy="384738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84345" cy="3846821"/>
                    </a:xfrm>
                    <a:prstGeom prst="rect">
                      <a:avLst/>
                    </a:prstGeom>
                    <a:noFill/>
                    <a:ln>
                      <a:noFill/>
                    </a:ln>
                  </pic:spPr>
                </pic:pic>
              </a:graphicData>
            </a:graphic>
          </wp:inline>
        </w:drawing>
      </w:r>
    </w:p>
    <w:p w14:paraId="202E1234"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6B0A3F7D" wp14:editId="033292ED">
            <wp:extent cx="9192255" cy="25189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90918" cy="2518547"/>
                    </a:xfrm>
                    <a:prstGeom prst="rect">
                      <a:avLst/>
                    </a:prstGeom>
                    <a:noFill/>
                    <a:ln>
                      <a:noFill/>
                    </a:ln>
                  </pic:spPr>
                </pic:pic>
              </a:graphicData>
            </a:graphic>
          </wp:inline>
        </w:drawing>
      </w:r>
    </w:p>
    <w:p w14:paraId="227D206C"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3551864F" w14:textId="77777777" w:rsidR="00853BC8" w:rsidRPr="009C52C4" w:rsidRDefault="00853BC8" w:rsidP="00853BC8">
      <w:pPr>
        <w:keepNext/>
        <w:keepLines/>
        <w:ind w:left="360"/>
        <w:outlineLvl w:val="0"/>
        <w:rPr>
          <w:rFonts w:ascii="Times New Roman" w:hAnsi="Times New Roman" w:cs="Times New Roman"/>
          <w:b/>
          <w:sz w:val="24"/>
          <w:szCs w:val="24"/>
        </w:rPr>
      </w:pPr>
      <w:bookmarkStart w:id="267" w:name="h.2pta16n" w:colFirst="0" w:colLast="0"/>
      <w:bookmarkStart w:id="268" w:name="h.14ykbeg" w:colFirst="0" w:colLast="0"/>
      <w:bookmarkStart w:id="269" w:name="_Toc483223951"/>
      <w:bookmarkStart w:id="270" w:name="_Toc3277954"/>
      <w:bookmarkEnd w:id="267"/>
      <w:bookmarkEnd w:id="268"/>
      <w:r w:rsidRPr="009C52C4">
        <w:rPr>
          <w:rFonts w:ascii="Times New Roman" w:hAnsi="Times New Roman" w:cs="Times New Roman"/>
          <w:b/>
          <w:sz w:val="24"/>
          <w:szCs w:val="24"/>
        </w:rPr>
        <w:lastRenderedPageBreak/>
        <w:t xml:space="preserve">Prilog 15 Prikaz parametara različitih modela obnove </w:t>
      </w:r>
      <w:r w:rsidRPr="009C52C4">
        <w:rPr>
          <w:rFonts w:ascii="Times New Roman" w:hAnsi="Times New Roman" w:cs="Times New Roman"/>
          <w:b/>
          <w:color w:val="auto"/>
          <w:sz w:val="24"/>
          <w:szCs w:val="24"/>
        </w:rPr>
        <w:t xml:space="preserve">obiteljskih kuća </w:t>
      </w:r>
      <w:r w:rsidRPr="009C52C4">
        <w:rPr>
          <w:rFonts w:ascii="Times New Roman" w:hAnsi="Times New Roman" w:cs="Times New Roman"/>
          <w:b/>
          <w:sz w:val="24"/>
          <w:szCs w:val="24"/>
        </w:rPr>
        <w:t>kontinentalne Hrvatske za različit</w:t>
      </w:r>
      <w:r w:rsidR="00170CB0" w:rsidRPr="009C52C4">
        <w:rPr>
          <w:rFonts w:ascii="Times New Roman" w:hAnsi="Times New Roman" w:cs="Times New Roman"/>
          <w:b/>
          <w:sz w:val="24"/>
          <w:szCs w:val="24"/>
        </w:rPr>
        <w:t>a razdoblja</w:t>
      </w:r>
      <w:r w:rsidRPr="009C52C4">
        <w:rPr>
          <w:rFonts w:ascii="Times New Roman" w:hAnsi="Times New Roman" w:cs="Times New Roman"/>
          <w:b/>
          <w:sz w:val="24"/>
          <w:szCs w:val="24"/>
        </w:rPr>
        <w:t xml:space="preserve"> kalkulacije</w:t>
      </w:r>
      <w:bookmarkEnd w:id="269"/>
      <w:bookmarkEnd w:id="270"/>
    </w:p>
    <w:p w14:paraId="139A4B96" w14:textId="77777777" w:rsidR="00853BC8" w:rsidRPr="009C52C4" w:rsidRDefault="0008767C" w:rsidP="00853BC8">
      <w:pPr>
        <w:rPr>
          <w:rFonts w:ascii="Times New Roman" w:hAnsi="Times New Roman" w:cs="Times New Roman"/>
          <w:sz w:val="24"/>
          <w:szCs w:val="24"/>
        </w:rPr>
      </w:pPr>
      <w:r w:rsidRPr="009C52C4">
        <w:rPr>
          <w:rFonts w:ascii="Times New Roman" w:hAnsi="Times New Roman" w:cs="Times New Roman"/>
          <w:noProof/>
          <w:sz w:val="24"/>
          <w:szCs w:val="24"/>
        </w:rPr>
        <w:drawing>
          <wp:inline distT="0" distB="0" distL="0" distR="0" wp14:anchorId="463B52F5" wp14:editId="6CEA5812">
            <wp:extent cx="3709359" cy="2487915"/>
            <wp:effectExtent l="0" t="0" r="571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1232" cy="2495878"/>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75419DED" wp14:editId="715482CF">
            <wp:extent cx="3592271" cy="2493034"/>
            <wp:effectExtent l="0" t="0" r="8255"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94322" cy="2494458"/>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522B26D3" wp14:editId="5C7D4E95">
            <wp:extent cx="3628322" cy="2432649"/>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39848" cy="2440377"/>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4E3C937A" wp14:editId="04F29800">
            <wp:extent cx="3407434" cy="572116"/>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8577" cy="572308"/>
                    </a:xfrm>
                    <a:prstGeom prst="rect">
                      <a:avLst/>
                    </a:prstGeom>
                    <a:noFill/>
                    <a:ln>
                      <a:noFill/>
                    </a:ln>
                  </pic:spPr>
                </pic:pic>
              </a:graphicData>
            </a:graphic>
          </wp:inline>
        </w:drawing>
      </w:r>
    </w:p>
    <w:p w14:paraId="21526687"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713402E3" w14:textId="77777777" w:rsidR="00B122B4" w:rsidRPr="009C52C4" w:rsidRDefault="00F54CC3">
      <w:pPr>
        <w:pStyle w:val="Heading1"/>
        <w:rPr>
          <w:rFonts w:ascii="Times New Roman" w:hAnsi="Times New Roman" w:cs="Times New Roman"/>
          <w:sz w:val="24"/>
          <w:szCs w:val="24"/>
        </w:rPr>
      </w:pPr>
      <w:bookmarkStart w:id="271" w:name="_Toc3277955"/>
      <w:r w:rsidRPr="009C52C4">
        <w:rPr>
          <w:rFonts w:ascii="Times New Roman" w:hAnsi="Times New Roman" w:cs="Times New Roman"/>
          <w:sz w:val="24"/>
          <w:szCs w:val="24"/>
        </w:rPr>
        <w:lastRenderedPageBreak/>
        <w:t>Prilog 16 Prikaz specifičnih parametara mjera EnU i OIE mogući</w:t>
      </w:r>
      <w:r w:rsidR="00C96417" w:rsidRPr="009C52C4">
        <w:rPr>
          <w:rFonts w:ascii="Times New Roman" w:hAnsi="Times New Roman" w:cs="Times New Roman"/>
          <w:sz w:val="24"/>
          <w:szCs w:val="24"/>
        </w:rPr>
        <w:t>h</w:t>
      </w:r>
      <w:r w:rsidRPr="009C52C4">
        <w:rPr>
          <w:rFonts w:ascii="Times New Roman" w:hAnsi="Times New Roman" w:cs="Times New Roman"/>
          <w:sz w:val="24"/>
          <w:szCs w:val="24"/>
        </w:rPr>
        <w:t xml:space="preserve"> modela obnove </w:t>
      </w:r>
      <w:r w:rsidRPr="009C52C4">
        <w:rPr>
          <w:rFonts w:ascii="Times New Roman" w:hAnsi="Times New Roman" w:cs="Times New Roman"/>
          <w:color w:val="auto"/>
          <w:sz w:val="24"/>
          <w:szCs w:val="24"/>
        </w:rPr>
        <w:t xml:space="preserve">obiteljskih kuća </w:t>
      </w:r>
      <w:r w:rsidRPr="009C52C4">
        <w:rPr>
          <w:rFonts w:ascii="Times New Roman" w:hAnsi="Times New Roman" w:cs="Times New Roman"/>
          <w:sz w:val="24"/>
          <w:szCs w:val="24"/>
        </w:rPr>
        <w:t>primorske Hrvatske</w:t>
      </w:r>
      <w:bookmarkEnd w:id="271"/>
    </w:p>
    <w:p w14:paraId="735FA0FE" w14:textId="77777777" w:rsidR="00853BC8" w:rsidRPr="009C52C4" w:rsidRDefault="00AD193C" w:rsidP="00853BC8">
      <w:pPr>
        <w:rPr>
          <w:rFonts w:ascii="Times New Roman" w:hAnsi="Times New Roman" w:cs="Times New Roman"/>
          <w:sz w:val="24"/>
          <w:szCs w:val="24"/>
        </w:rPr>
      </w:pPr>
      <w:bookmarkStart w:id="272" w:name="h.3oy7u29" w:colFirst="0" w:colLast="0"/>
      <w:bookmarkEnd w:id="272"/>
      <w:r w:rsidRPr="009C52C4">
        <w:rPr>
          <w:rFonts w:ascii="Times New Roman" w:hAnsi="Times New Roman" w:cs="Times New Roman"/>
          <w:noProof/>
          <w:sz w:val="24"/>
          <w:szCs w:val="24"/>
        </w:rPr>
        <w:drawing>
          <wp:inline distT="0" distB="0" distL="0" distR="0" wp14:anchorId="69BDE1F5" wp14:editId="3492696B">
            <wp:extent cx="9175247" cy="38560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80059" cy="3858029"/>
                    </a:xfrm>
                    <a:prstGeom prst="rect">
                      <a:avLst/>
                    </a:prstGeom>
                    <a:noFill/>
                    <a:ln>
                      <a:noFill/>
                    </a:ln>
                  </pic:spPr>
                </pic:pic>
              </a:graphicData>
            </a:graphic>
          </wp:inline>
        </w:drawing>
      </w:r>
    </w:p>
    <w:p w14:paraId="36B02B15" w14:textId="77777777" w:rsidR="00853BC8" w:rsidRPr="009C52C4" w:rsidRDefault="003122D0" w:rsidP="00853BC8">
      <w:pPr>
        <w:rPr>
          <w:rFonts w:ascii="Times New Roman" w:hAnsi="Times New Roman" w:cs="Times New Roman"/>
          <w:sz w:val="24"/>
          <w:szCs w:val="24"/>
        </w:rPr>
      </w:pPr>
      <w:r w:rsidRPr="009C52C4">
        <w:rPr>
          <w:rFonts w:ascii="Times New Roman" w:hAnsi="Times New Roman" w:cs="Times New Roman"/>
          <w:noProof/>
          <w:sz w:val="24"/>
          <w:szCs w:val="24"/>
        </w:rPr>
        <w:lastRenderedPageBreak/>
        <w:drawing>
          <wp:inline distT="0" distB="0" distL="0" distR="0" wp14:anchorId="6FE2F98C" wp14:editId="718C5B3B">
            <wp:extent cx="9192252" cy="25189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08161" cy="2523273"/>
                    </a:xfrm>
                    <a:prstGeom prst="rect">
                      <a:avLst/>
                    </a:prstGeom>
                    <a:noFill/>
                    <a:ln>
                      <a:noFill/>
                    </a:ln>
                  </pic:spPr>
                </pic:pic>
              </a:graphicData>
            </a:graphic>
          </wp:inline>
        </w:drawing>
      </w:r>
    </w:p>
    <w:p w14:paraId="1F719361"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r w:rsidRPr="009C52C4">
        <w:rPr>
          <w:rFonts w:ascii="Times New Roman" w:hAnsi="Times New Roman" w:cs="Times New Roman"/>
          <w:sz w:val="24"/>
          <w:szCs w:val="24"/>
        </w:rPr>
        <w:br w:type="page"/>
      </w:r>
    </w:p>
    <w:p w14:paraId="632FC667" w14:textId="77777777" w:rsidR="00B122B4" w:rsidRPr="009C52C4" w:rsidRDefault="00F54CC3">
      <w:pPr>
        <w:pStyle w:val="Heading1"/>
        <w:ind w:left="360" w:firstLine="0"/>
        <w:rPr>
          <w:rFonts w:ascii="Times New Roman" w:hAnsi="Times New Roman" w:cs="Times New Roman"/>
          <w:sz w:val="24"/>
          <w:szCs w:val="24"/>
        </w:rPr>
      </w:pPr>
      <w:bookmarkStart w:id="273" w:name="_Toc3277956"/>
      <w:r w:rsidRPr="009C52C4">
        <w:rPr>
          <w:rFonts w:ascii="Times New Roman" w:hAnsi="Times New Roman" w:cs="Times New Roman"/>
          <w:sz w:val="24"/>
          <w:szCs w:val="24"/>
        </w:rPr>
        <w:lastRenderedPageBreak/>
        <w:t>Prilog 17 Prikaz parametara različitih modela obnove obiteljskih kuća primorske Hrvatske za različit</w:t>
      </w:r>
      <w:r w:rsidR="00170CB0" w:rsidRPr="009C52C4">
        <w:rPr>
          <w:rFonts w:ascii="Times New Roman" w:hAnsi="Times New Roman" w:cs="Times New Roman"/>
          <w:sz w:val="24"/>
          <w:szCs w:val="24"/>
        </w:rPr>
        <w:t xml:space="preserve">a razdoblja </w:t>
      </w:r>
      <w:r w:rsidRPr="009C52C4">
        <w:rPr>
          <w:rFonts w:ascii="Times New Roman" w:hAnsi="Times New Roman" w:cs="Times New Roman"/>
          <w:sz w:val="24"/>
          <w:szCs w:val="24"/>
        </w:rPr>
        <w:t>kalkulacije</w:t>
      </w:r>
      <w:bookmarkEnd w:id="273"/>
    </w:p>
    <w:p w14:paraId="3ADB5946" w14:textId="77777777" w:rsidR="00853BC8" w:rsidRPr="009C52C4" w:rsidRDefault="0008767C" w:rsidP="00853BC8">
      <w:pPr>
        <w:rPr>
          <w:rFonts w:ascii="Times New Roman" w:hAnsi="Times New Roman" w:cs="Times New Roman"/>
          <w:sz w:val="24"/>
          <w:szCs w:val="24"/>
        </w:rPr>
      </w:pPr>
      <w:bookmarkStart w:id="274" w:name="h.243i4a2" w:colFirst="0" w:colLast="0"/>
      <w:bookmarkEnd w:id="274"/>
      <w:r w:rsidRPr="009C52C4">
        <w:rPr>
          <w:rFonts w:ascii="Times New Roman" w:hAnsi="Times New Roman" w:cs="Times New Roman"/>
          <w:noProof/>
          <w:sz w:val="24"/>
          <w:szCs w:val="24"/>
        </w:rPr>
        <w:drawing>
          <wp:inline distT="0" distB="0" distL="0" distR="0" wp14:anchorId="3094CB83" wp14:editId="57503BC7">
            <wp:extent cx="3727002" cy="2501660"/>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43268" cy="2512578"/>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3C121D4E" wp14:editId="1DFB1546">
            <wp:extent cx="3732951" cy="2500887"/>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32932" cy="2500874"/>
                    </a:xfrm>
                    <a:prstGeom prst="rect">
                      <a:avLst/>
                    </a:prstGeom>
                    <a:noFill/>
                  </pic:spPr>
                </pic:pic>
              </a:graphicData>
            </a:graphic>
          </wp:inline>
        </w:drawing>
      </w:r>
      <w:r w:rsidRPr="009C52C4">
        <w:rPr>
          <w:rFonts w:ascii="Times New Roman" w:hAnsi="Times New Roman" w:cs="Times New Roman"/>
          <w:noProof/>
          <w:sz w:val="24"/>
          <w:szCs w:val="24"/>
        </w:rPr>
        <w:drawing>
          <wp:inline distT="0" distB="0" distL="0" distR="0" wp14:anchorId="446BF366" wp14:editId="7C656924">
            <wp:extent cx="3795623" cy="254287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7167" cy="2550608"/>
                    </a:xfrm>
                    <a:prstGeom prst="rect">
                      <a:avLst/>
                    </a:prstGeom>
                    <a:noFill/>
                  </pic:spPr>
                </pic:pic>
              </a:graphicData>
            </a:graphic>
          </wp:inline>
        </w:drawing>
      </w:r>
      <w:r w:rsidR="00915FEC" w:rsidRPr="009C52C4">
        <w:rPr>
          <w:rFonts w:ascii="Times New Roman" w:hAnsi="Times New Roman" w:cs="Times New Roman"/>
          <w:noProof/>
          <w:sz w:val="24"/>
          <w:szCs w:val="24"/>
        </w:rPr>
        <w:drawing>
          <wp:inline distT="0" distB="0" distL="0" distR="0" wp14:anchorId="597F8928" wp14:editId="0CBD9FC5">
            <wp:extent cx="3269411" cy="548941"/>
            <wp:effectExtent l="0" t="0" r="762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512" cy="549126"/>
                    </a:xfrm>
                    <a:prstGeom prst="rect">
                      <a:avLst/>
                    </a:prstGeom>
                    <a:noFill/>
                    <a:ln>
                      <a:noFill/>
                    </a:ln>
                  </pic:spPr>
                </pic:pic>
              </a:graphicData>
            </a:graphic>
          </wp:inline>
        </w:drawing>
      </w:r>
    </w:p>
    <w:p w14:paraId="0BFCB5F0" w14:textId="77777777" w:rsidR="00853BC8" w:rsidRPr="009C52C4" w:rsidRDefault="00853BC8" w:rsidP="00853BC8">
      <w:pPr>
        <w:rPr>
          <w:rFonts w:ascii="Times New Roman" w:hAnsi="Times New Roman" w:cs="Times New Roman"/>
          <w:sz w:val="24"/>
          <w:szCs w:val="24"/>
        </w:rPr>
      </w:pPr>
      <w:r w:rsidRPr="009C52C4">
        <w:rPr>
          <w:rFonts w:ascii="Times New Roman" w:hAnsi="Times New Roman" w:cs="Times New Roman"/>
          <w:sz w:val="24"/>
          <w:szCs w:val="24"/>
        </w:rPr>
        <w:t xml:space="preserve">Izvor: </w:t>
      </w:r>
      <w:r w:rsidRPr="009C52C4">
        <w:rPr>
          <w:rFonts w:ascii="Times New Roman" w:hAnsi="Times New Roman" w:cs="Times New Roman"/>
          <w:i/>
          <w:sz w:val="24"/>
          <w:szCs w:val="24"/>
        </w:rPr>
        <w:t>REGEA,</w:t>
      </w:r>
      <w:r w:rsidRPr="009C52C4">
        <w:rPr>
          <w:rFonts w:ascii="Times New Roman" w:hAnsi="Times New Roman" w:cs="Times New Roman"/>
          <w:sz w:val="24"/>
          <w:szCs w:val="24"/>
        </w:rPr>
        <w:t xml:space="preserve"> 2017</w:t>
      </w:r>
    </w:p>
    <w:p w14:paraId="78DC740D" w14:textId="77777777" w:rsidR="00853BC8" w:rsidRPr="009C52C4" w:rsidRDefault="00853BC8" w:rsidP="00853BC8">
      <w:pPr>
        <w:rPr>
          <w:rFonts w:ascii="Times New Roman" w:hAnsi="Times New Roman" w:cs="Times New Roman"/>
          <w:sz w:val="24"/>
          <w:szCs w:val="24"/>
        </w:rPr>
        <w:sectPr w:rsidR="00853BC8" w:rsidRPr="009C52C4" w:rsidSect="003122D0">
          <w:pgSz w:w="16838" w:h="11906" w:orient="landscape"/>
          <w:pgMar w:top="709" w:right="1417" w:bottom="1417" w:left="1417" w:header="720" w:footer="720" w:gutter="0"/>
          <w:cols w:space="720"/>
          <w:docGrid w:linePitch="299"/>
        </w:sectPr>
      </w:pPr>
    </w:p>
    <w:p w14:paraId="3C5D1BF2" w14:textId="77777777" w:rsidR="00B122B4" w:rsidRPr="009C52C4" w:rsidRDefault="00F54CC3">
      <w:pPr>
        <w:pStyle w:val="Heading1"/>
        <w:rPr>
          <w:rFonts w:ascii="Times New Roman" w:hAnsi="Times New Roman" w:cs="Times New Roman"/>
          <w:sz w:val="24"/>
          <w:szCs w:val="24"/>
        </w:rPr>
      </w:pPr>
      <w:bookmarkStart w:id="275" w:name="h.1idq7dh" w:colFirst="0" w:colLast="0"/>
      <w:bookmarkStart w:id="276" w:name="h.42ddq1a" w:colFirst="0" w:colLast="0"/>
      <w:bookmarkStart w:id="277" w:name="_Toc3277957"/>
      <w:bookmarkEnd w:id="275"/>
      <w:bookmarkEnd w:id="276"/>
      <w:r w:rsidRPr="009C52C4">
        <w:rPr>
          <w:rFonts w:ascii="Times New Roman" w:hAnsi="Times New Roman" w:cs="Times New Roman"/>
          <w:sz w:val="24"/>
          <w:szCs w:val="24"/>
        </w:rPr>
        <w:lastRenderedPageBreak/>
        <w:t>Prilog 1</w:t>
      </w:r>
      <w:r w:rsidR="00BA086B" w:rsidRPr="009C52C4">
        <w:rPr>
          <w:rFonts w:ascii="Times New Roman" w:hAnsi="Times New Roman" w:cs="Times New Roman"/>
          <w:sz w:val="24"/>
          <w:szCs w:val="24"/>
        </w:rPr>
        <w:t>8</w:t>
      </w:r>
      <w:r w:rsidRPr="009C52C4">
        <w:rPr>
          <w:rFonts w:ascii="Times New Roman" w:hAnsi="Times New Roman" w:cs="Times New Roman"/>
          <w:sz w:val="24"/>
          <w:szCs w:val="24"/>
        </w:rPr>
        <w:t xml:space="preserve"> Struktura ulaganja u obnovu nacionalnog fonda zgrada za razdoblje 201</w:t>
      </w:r>
      <w:r w:rsidR="00582658" w:rsidRPr="009C52C4">
        <w:rPr>
          <w:rFonts w:ascii="Times New Roman" w:hAnsi="Times New Roman" w:cs="Times New Roman"/>
          <w:sz w:val="24"/>
          <w:szCs w:val="24"/>
        </w:rPr>
        <w:t>7</w:t>
      </w:r>
      <w:r w:rsidRPr="009C52C4">
        <w:rPr>
          <w:rFonts w:ascii="Times New Roman" w:hAnsi="Times New Roman" w:cs="Times New Roman"/>
          <w:sz w:val="24"/>
          <w:szCs w:val="24"/>
        </w:rPr>
        <w:t>.-2049.</w:t>
      </w:r>
      <w:bookmarkEnd w:id="277"/>
    </w:p>
    <w:tbl>
      <w:tblPr>
        <w:tblW w:w="13897" w:type="dxa"/>
        <w:jc w:val="center"/>
        <w:tblCellMar>
          <w:top w:w="15" w:type="dxa"/>
          <w:bottom w:w="15" w:type="dxa"/>
        </w:tblCellMar>
        <w:tblLook w:val="04A0" w:firstRow="1" w:lastRow="0" w:firstColumn="1" w:lastColumn="0" w:noHBand="0" w:noVBand="1"/>
      </w:tblPr>
      <w:tblGrid>
        <w:gridCol w:w="3211"/>
        <w:gridCol w:w="1377"/>
        <w:gridCol w:w="1376"/>
        <w:gridCol w:w="1376"/>
        <w:gridCol w:w="1376"/>
        <w:gridCol w:w="1376"/>
        <w:gridCol w:w="1376"/>
        <w:gridCol w:w="1376"/>
        <w:gridCol w:w="1376"/>
      </w:tblGrid>
      <w:tr w:rsidR="00FE02B7" w:rsidRPr="009C52C4" w14:paraId="0D748D69"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5B05EB41" w14:textId="77777777" w:rsidR="00582658" w:rsidRPr="009C52C4" w:rsidRDefault="00582658" w:rsidP="00A7635A">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Stavke/godina</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0D1EFC60"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2017.</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78C4A798"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2018.</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2B5E5F51"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2019.</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5E7B6BE2"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2020.</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3FE6A58D"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2021.</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0E69F402"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2022.</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11C2A5C7"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2023.</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735E8DD8" w14:textId="77777777" w:rsidR="00582658" w:rsidRPr="009C52C4" w:rsidRDefault="00582658"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2024.</w:t>
            </w:r>
          </w:p>
        </w:tc>
      </w:tr>
      <w:tr w:rsidR="007E0944" w:rsidRPr="009C52C4" w14:paraId="16507815" w14:textId="77777777" w:rsidTr="00873572">
        <w:trPr>
          <w:trHeight w:val="252"/>
          <w:jc w:val="center"/>
        </w:trPr>
        <w:tc>
          <w:tcPr>
            <w:tcW w:w="3441" w:type="dxa"/>
            <w:tcBorders>
              <w:top w:val="single" w:sz="4" w:space="0" w:color="auto"/>
              <w:left w:val="single" w:sz="4" w:space="0" w:color="auto"/>
              <w:bottom w:val="single" w:sz="4" w:space="0" w:color="000000"/>
              <w:right w:val="single" w:sz="4" w:space="0" w:color="000000"/>
            </w:tcBorders>
            <w:shd w:val="clear" w:color="000000" w:fill="C2D69B" w:themeFill="accent3" w:themeFillTint="99"/>
            <w:vAlign w:val="center"/>
            <w:hideMark/>
          </w:tcPr>
          <w:p w14:paraId="4B61A506" w14:textId="77777777" w:rsidR="007E0944" w:rsidRPr="009C52C4" w:rsidRDefault="001C04C1"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Početno ulaganje [</w:t>
            </w:r>
            <w:r w:rsidR="007E0944" w:rsidRPr="009C52C4">
              <w:rPr>
                <w:rFonts w:ascii="Times New Roman" w:eastAsia="Times New Roman" w:hAnsi="Times New Roman" w:cs="Times New Roman"/>
                <w:b/>
                <w:color w:val="auto"/>
                <w:sz w:val="20"/>
              </w:rPr>
              <w:t>HRK]</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7C04B3A3"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5B6C79F6"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6B8FB50C"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03216FAB"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34C5B296"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F60F891"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662C9583"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c>
          <w:tcPr>
            <w:tcW w:w="1307" w:type="dxa"/>
            <w:tcBorders>
              <w:top w:val="single" w:sz="4" w:space="0" w:color="auto"/>
              <w:left w:val="single" w:sz="4" w:space="0" w:color="000000"/>
              <w:bottom w:val="single" w:sz="4" w:space="0" w:color="000000"/>
              <w:right w:val="single" w:sz="4" w:space="0" w:color="auto"/>
            </w:tcBorders>
            <w:shd w:val="clear" w:color="000000" w:fill="EAF1DD" w:themeFill="accent3" w:themeFillTint="33"/>
            <w:vAlign w:val="center"/>
            <w:hideMark/>
          </w:tcPr>
          <w:p w14:paraId="57709D54"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11.030.321.661</w:t>
            </w:r>
          </w:p>
        </w:tc>
      </w:tr>
      <w:tr w:rsidR="007E0944" w:rsidRPr="009C52C4" w14:paraId="67758921"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81B8BEE" w14:textId="77777777" w:rsidR="007E0944" w:rsidRPr="009C52C4" w:rsidRDefault="001C04C1"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Trošak održavanja [</w:t>
            </w:r>
            <w:r w:rsidR="007E0944" w:rsidRPr="009C52C4">
              <w:rPr>
                <w:rFonts w:ascii="Times New Roman" w:eastAsia="Times New Roman" w:hAnsi="Times New Roman" w:cs="Times New Roman"/>
                <w:b/>
                <w:color w:val="auto"/>
                <w:sz w:val="20"/>
              </w:rPr>
              <w:t>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3D3FC2F"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655.630.439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67E5EEE"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1.276.637.549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90CB1B8"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1.897.644.658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70AB0D7"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2.518.651.768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02F0F82"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3.139.658.877</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872BB2D"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3.760.665.987</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4839C17"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4.381.673.096</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78080A06" w14:textId="77777777" w:rsidR="007E0944" w:rsidRPr="009C52C4" w:rsidRDefault="007E0944" w:rsidP="00015017">
            <w:pPr>
              <w:jc w:val="center"/>
              <w:rPr>
                <w:rFonts w:ascii="Times New Roman" w:hAnsi="Times New Roman" w:cs="Times New Roman"/>
                <w:color w:val="auto"/>
                <w:sz w:val="20"/>
              </w:rPr>
            </w:pPr>
            <w:r w:rsidRPr="009C52C4">
              <w:rPr>
                <w:rFonts w:ascii="Times New Roman" w:hAnsi="Times New Roman" w:cs="Times New Roman"/>
                <w:color w:val="auto"/>
                <w:sz w:val="20"/>
              </w:rPr>
              <w:t>5.002.680.206</w:t>
            </w:r>
          </w:p>
        </w:tc>
      </w:tr>
      <w:tr w:rsidR="00FE02B7" w:rsidRPr="009C52C4" w14:paraId="105A8792"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31AA80F" w14:textId="77777777" w:rsidR="00582658" w:rsidRPr="009C52C4" w:rsidRDefault="00C6188C"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Trošak zamjene [</w:t>
            </w:r>
            <w:r w:rsidR="00582658" w:rsidRPr="009C52C4">
              <w:rPr>
                <w:rFonts w:ascii="Times New Roman" w:eastAsia="Times New Roman" w:hAnsi="Times New Roman" w:cs="Times New Roman"/>
                <w:b/>
                <w:color w:val="auto"/>
                <w:sz w:val="20"/>
              </w:rPr>
              <w:t>HRK</w:t>
            </w:r>
            <w:r w:rsidRPr="009C52C4">
              <w:rPr>
                <w:rFonts w:ascii="Times New Roman" w:eastAsia="Times New Roman" w:hAnsi="Times New Roman" w:cs="Times New Roman"/>
                <w:b/>
                <w:color w:val="auto"/>
                <w:sz w:val="20"/>
              </w:rPr>
              <w:t>]</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0ADFE99"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E0D016F"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3FCCE9A"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48EA42A"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F3CBE44"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85C1CD4"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0CAE0F6"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7224FF14"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0,00</w:t>
            </w:r>
          </w:p>
        </w:tc>
      </w:tr>
      <w:tr w:rsidR="007E0944" w:rsidRPr="009C52C4" w14:paraId="49079AF9"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C0FB5B1" w14:textId="77777777" w:rsidR="007E0944" w:rsidRPr="009C52C4" w:rsidRDefault="001C04C1"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Ukupan trošak [</w:t>
            </w:r>
            <w:r w:rsidR="007E0944" w:rsidRPr="009C52C4">
              <w:rPr>
                <w:rFonts w:ascii="Times New Roman" w:eastAsia="Times New Roman" w:hAnsi="Times New Roman" w:cs="Times New Roman"/>
                <w:b/>
                <w:color w:val="auto"/>
                <w:sz w:val="20"/>
              </w:rPr>
              <w:t>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1BA3659"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11.685.952.100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FC3AF4D"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12.306.959.209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128F4F0"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12.927.966.319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B499578"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13.548.973.428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0F80737"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14.169.980.538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639B507"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14.790.987.647</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EE2A48A"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15.411.994.757</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27CEF131" w14:textId="77777777" w:rsidR="007E0944" w:rsidRPr="009C52C4" w:rsidRDefault="007E0944" w:rsidP="00015017">
            <w:pPr>
              <w:jc w:val="center"/>
              <w:rPr>
                <w:rFonts w:ascii="Times New Roman" w:hAnsi="Times New Roman" w:cs="Times New Roman"/>
                <w:bCs/>
                <w:color w:val="auto"/>
                <w:sz w:val="20"/>
              </w:rPr>
            </w:pPr>
            <w:r w:rsidRPr="009C52C4">
              <w:rPr>
                <w:rFonts w:ascii="Times New Roman" w:hAnsi="Times New Roman" w:cs="Times New Roman"/>
                <w:bCs/>
                <w:color w:val="auto"/>
                <w:sz w:val="20"/>
              </w:rPr>
              <w:t>16.033.001.866</w:t>
            </w:r>
          </w:p>
        </w:tc>
      </w:tr>
      <w:tr w:rsidR="00015017" w:rsidRPr="009C52C4" w14:paraId="6B5955F9"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43D128CF" w14:textId="77777777" w:rsidR="00015017" w:rsidRPr="009C52C4" w:rsidRDefault="00015017"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Kumulativni trošak [ mil 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A176BAF"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13.053</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F8AF448"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24.704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0CA7AF3"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36.356</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2DB7B71"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48.007</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91B7C9B"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59.658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E884F5B"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71.310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E591214"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82.961</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7A174FB2" w14:textId="77777777" w:rsidR="00015017" w:rsidRPr="009C52C4" w:rsidRDefault="00015017" w:rsidP="00015017">
            <w:pPr>
              <w:jc w:val="center"/>
              <w:rPr>
                <w:rFonts w:ascii="Times New Roman" w:hAnsi="Times New Roman" w:cs="Times New Roman"/>
                <w:sz w:val="20"/>
              </w:rPr>
            </w:pPr>
            <w:r w:rsidRPr="009C52C4">
              <w:rPr>
                <w:rFonts w:ascii="Times New Roman" w:hAnsi="Times New Roman" w:cs="Times New Roman"/>
                <w:sz w:val="20"/>
              </w:rPr>
              <w:t>94.612</w:t>
            </w:r>
          </w:p>
        </w:tc>
      </w:tr>
      <w:tr w:rsidR="00FE02B7" w:rsidRPr="009C52C4" w14:paraId="5DDA245A"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5D442A77" w14:textId="77777777" w:rsidR="00582658" w:rsidRPr="009C52C4" w:rsidRDefault="00582658"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 xml:space="preserve">Prosječna godišnja stopa obnove </w:t>
            </w:r>
            <w:r w:rsidR="00C6188C" w:rsidRPr="009C52C4">
              <w:rPr>
                <w:rFonts w:ascii="Times New Roman" w:eastAsia="Times New Roman" w:hAnsi="Times New Roman" w:cs="Times New Roman"/>
                <w:b/>
                <w:color w:val="auto"/>
                <w:sz w:val="20"/>
              </w:rPr>
              <w:t>[%]</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B1DFE8F" w14:textId="77777777" w:rsidR="00582658" w:rsidRPr="009C52C4" w:rsidRDefault="003D5BCC"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w:t>
            </w:r>
            <w:r w:rsidR="00582658" w:rsidRPr="009C52C4">
              <w:rPr>
                <w:rFonts w:ascii="Times New Roman" w:eastAsia="Times New Roman" w:hAnsi="Times New Roman" w:cs="Times New Roman"/>
                <w:color w:val="auto"/>
                <w:sz w:val="20"/>
              </w:rPr>
              <w:t>,5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8BB79EE" w14:textId="77777777" w:rsidR="00582658" w:rsidRPr="009C52C4" w:rsidRDefault="003D5BCC"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B419253"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D976574"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41BCAD0"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94065D4"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68F4ECE"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02CF180C" w14:textId="77777777" w:rsidR="00582658" w:rsidRPr="009C52C4" w:rsidRDefault="00582658"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r>
      <w:tr w:rsidR="00D73D15" w:rsidRPr="009C52C4" w14:paraId="018A421B"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14B1800B" w14:textId="77777777" w:rsidR="00D73D15" w:rsidRPr="009C52C4" w:rsidRDefault="00D73D15"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obnovljena površina godišnje [mil. m²]</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889ED53"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E62865B"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4C93EFB"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781E891"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DC3E429"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F14B86F"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8F4555D"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607B9EDC" w14:textId="77777777" w:rsidR="00D73D15" w:rsidRPr="009C52C4" w:rsidRDefault="00D73D15"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r>
      <w:tr w:rsidR="00D73D15" w:rsidRPr="009C52C4" w14:paraId="532BAD4F"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3016B3AA" w14:textId="77777777" w:rsidR="00D73D15" w:rsidRPr="009C52C4" w:rsidRDefault="00D73D15" w:rsidP="00C6188C">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energetska ušteda godišnje [GWh]</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1F760E4"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A4CF1E5"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4E89F01"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B28C7C6"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684CBAC"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F867008"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384C7FD"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67F8E9BC" w14:textId="77777777" w:rsidR="00D73D15" w:rsidRPr="009C52C4" w:rsidRDefault="00D73D15" w:rsidP="00015017">
            <w:pPr>
              <w:jc w:val="center"/>
              <w:rPr>
                <w:rFonts w:ascii="Times New Roman" w:hAnsi="Times New Roman" w:cs="Times New Roman"/>
                <w:color w:val="auto"/>
                <w:sz w:val="20"/>
              </w:rPr>
            </w:pPr>
            <w:r w:rsidRPr="009C52C4">
              <w:rPr>
                <w:rFonts w:ascii="Times New Roman" w:hAnsi="Times New Roman" w:cs="Times New Roman"/>
                <w:color w:val="auto"/>
                <w:sz w:val="20"/>
              </w:rPr>
              <w:t>1.393.789</w:t>
            </w:r>
          </w:p>
        </w:tc>
      </w:tr>
      <w:tr w:rsidR="00D73D15" w:rsidRPr="009C52C4" w14:paraId="7F97CA5E"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4DA48BA3" w14:textId="77777777" w:rsidR="00D73D15" w:rsidRPr="009C52C4" w:rsidRDefault="00D73D15" w:rsidP="00A7635A">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energetska ušteda godišnje [PJ]</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3C8DC12F"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2539012A"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16EE80FA"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6D6ACB1"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04ABF326"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39B9B0C"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1397F593"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hideMark/>
          </w:tcPr>
          <w:p w14:paraId="47B4D68D" w14:textId="77777777" w:rsidR="00D73D15" w:rsidRPr="009C52C4" w:rsidRDefault="00D73D15" w:rsidP="00015017">
            <w:pPr>
              <w:jc w:val="center"/>
              <w:rPr>
                <w:rFonts w:ascii="Times New Roman" w:hAnsi="Times New Roman" w:cs="Times New Roman"/>
                <w:sz w:val="20"/>
              </w:rPr>
            </w:pPr>
            <w:r w:rsidRPr="009C52C4">
              <w:rPr>
                <w:rFonts w:ascii="Times New Roman" w:hAnsi="Times New Roman" w:cs="Times New Roman"/>
                <w:sz w:val="20"/>
              </w:rPr>
              <w:t>5,02</w:t>
            </w:r>
          </w:p>
        </w:tc>
      </w:tr>
      <w:tr w:rsidR="00173EFE" w:rsidRPr="009C52C4" w14:paraId="45DF05B1"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tcPr>
          <w:p w14:paraId="7D3B6E9B" w14:textId="77777777" w:rsidR="00173EFE" w:rsidRPr="009C52C4" w:rsidRDefault="00173EFE" w:rsidP="00A7635A">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Prosječno smanjenje emisija CO</w:t>
            </w:r>
            <w:r w:rsidRPr="009C52C4">
              <w:rPr>
                <w:rFonts w:ascii="Times New Roman" w:eastAsia="Times New Roman" w:hAnsi="Times New Roman" w:cs="Times New Roman"/>
                <w:b/>
                <w:color w:val="auto"/>
                <w:sz w:val="20"/>
                <w:vertAlign w:val="subscript"/>
              </w:rPr>
              <w:t>2</w:t>
            </w:r>
            <w:r w:rsidRPr="009C52C4">
              <w:rPr>
                <w:rFonts w:ascii="Times New Roman" w:eastAsia="Times New Roman" w:hAnsi="Times New Roman" w:cs="Times New Roman"/>
                <w:b/>
                <w:color w:val="auto"/>
                <w:sz w:val="20"/>
              </w:rPr>
              <w:t xml:space="preserve"> [kt]</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6C0F3741"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1EC797B3"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6A1374D5"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0776022C"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553E0FF3"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48F6BF6F"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D1ADD37"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tcPr>
          <w:p w14:paraId="4AA5634B"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r>
      <w:tr w:rsidR="00173EFE" w:rsidRPr="009C52C4" w14:paraId="30180353" w14:textId="77777777" w:rsidTr="00873572">
        <w:trPr>
          <w:trHeight w:val="252"/>
          <w:jc w:val="center"/>
        </w:trPr>
        <w:tc>
          <w:tcPr>
            <w:tcW w:w="3441" w:type="dxa"/>
            <w:tcBorders>
              <w:top w:val="nil"/>
              <w:left w:val="nil"/>
              <w:bottom w:val="single" w:sz="4" w:space="0" w:color="000000"/>
              <w:right w:val="nil"/>
            </w:tcBorders>
            <w:noWrap/>
            <w:vAlign w:val="bottom"/>
            <w:hideMark/>
          </w:tcPr>
          <w:p w14:paraId="17EA4227" w14:textId="77777777" w:rsidR="00173EFE" w:rsidRPr="009C52C4" w:rsidRDefault="00173EFE" w:rsidP="00582658">
            <w:pPr>
              <w:jc w:val="right"/>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10F88665"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29489B52"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617B6F54"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576AE1D9"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3A673718"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24B977D3"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7A36A6E6" w14:textId="77777777" w:rsidR="00173EFE" w:rsidRPr="009C52C4" w:rsidRDefault="00173EFE" w:rsidP="00A7635A">
            <w:pPr>
              <w:jc w:val="center"/>
              <w:rPr>
                <w:rFonts w:ascii="Times New Roman" w:eastAsia="Times New Roman" w:hAnsi="Times New Roman" w:cs="Times New Roman"/>
                <w:color w:val="auto"/>
                <w:sz w:val="20"/>
              </w:rPr>
            </w:pPr>
          </w:p>
        </w:tc>
        <w:tc>
          <w:tcPr>
            <w:tcW w:w="1307" w:type="dxa"/>
            <w:tcBorders>
              <w:top w:val="nil"/>
              <w:left w:val="nil"/>
              <w:bottom w:val="single" w:sz="4" w:space="0" w:color="000000"/>
              <w:right w:val="nil"/>
            </w:tcBorders>
            <w:noWrap/>
            <w:vAlign w:val="center"/>
            <w:hideMark/>
          </w:tcPr>
          <w:p w14:paraId="1DADD02D" w14:textId="77777777" w:rsidR="00173EFE" w:rsidRPr="009C52C4" w:rsidRDefault="00173EFE" w:rsidP="00A7635A">
            <w:pPr>
              <w:jc w:val="center"/>
              <w:rPr>
                <w:rFonts w:ascii="Times New Roman" w:eastAsia="Times New Roman" w:hAnsi="Times New Roman" w:cs="Times New Roman"/>
                <w:color w:val="auto"/>
                <w:sz w:val="20"/>
              </w:rPr>
            </w:pPr>
          </w:p>
        </w:tc>
      </w:tr>
      <w:tr w:rsidR="00173EFE" w:rsidRPr="009C52C4" w14:paraId="6B104671"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24444ABD" w14:textId="77777777" w:rsidR="00173EFE" w:rsidRPr="009C52C4" w:rsidRDefault="00173EFE" w:rsidP="00A7635A">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Stavke/godina</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AF4085A"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2025.</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2EF160C7"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2026.</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7D1A8456"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2027.</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7D53D378"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2028.</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13E4A918"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2029.</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4637B2FE"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2030.</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1DA99BB"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2031.</w:t>
            </w:r>
          </w:p>
        </w:tc>
        <w:tc>
          <w:tcPr>
            <w:tcW w:w="1307"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1A488483" w14:textId="77777777" w:rsidR="00173EFE" w:rsidRPr="009C52C4" w:rsidRDefault="00173EFE" w:rsidP="00A7635A">
            <w:pPr>
              <w:jc w:val="center"/>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2032.</w:t>
            </w:r>
          </w:p>
        </w:tc>
      </w:tr>
      <w:tr w:rsidR="00173EFE" w:rsidRPr="009C52C4" w14:paraId="011F0044" w14:textId="77777777" w:rsidTr="00873572">
        <w:trPr>
          <w:trHeight w:val="252"/>
          <w:jc w:val="center"/>
        </w:trPr>
        <w:tc>
          <w:tcPr>
            <w:tcW w:w="3441" w:type="dxa"/>
            <w:tcBorders>
              <w:top w:val="single" w:sz="4" w:space="0" w:color="auto"/>
              <w:left w:val="single" w:sz="4" w:space="0" w:color="auto"/>
              <w:bottom w:val="single" w:sz="4" w:space="0" w:color="000000"/>
              <w:right w:val="single" w:sz="4" w:space="0" w:color="000000"/>
            </w:tcBorders>
            <w:shd w:val="clear" w:color="000000" w:fill="C2D69B" w:themeFill="accent3" w:themeFillTint="99"/>
            <w:vAlign w:val="center"/>
            <w:hideMark/>
          </w:tcPr>
          <w:p w14:paraId="6A6B475F"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Početno ulaganje [HRK]</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309DFE20"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382AD9B5"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5EEEC48D"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08F74039"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0678CDF"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6F940965"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11.030.321.661</w:t>
            </w:r>
          </w:p>
        </w:tc>
        <w:tc>
          <w:tcPr>
            <w:tcW w:w="1307"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D396559"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9.454.561.423</w:t>
            </w:r>
          </w:p>
        </w:tc>
        <w:tc>
          <w:tcPr>
            <w:tcW w:w="1307" w:type="dxa"/>
            <w:tcBorders>
              <w:top w:val="single" w:sz="4" w:space="0" w:color="auto"/>
              <w:left w:val="single" w:sz="4" w:space="0" w:color="000000"/>
              <w:bottom w:val="single" w:sz="4" w:space="0" w:color="000000"/>
              <w:right w:val="single" w:sz="4" w:space="0" w:color="auto"/>
            </w:tcBorders>
            <w:shd w:val="clear" w:color="000000" w:fill="EAF1DD" w:themeFill="accent3" w:themeFillTint="33"/>
            <w:vAlign w:val="center"/>
            <w:hideMark/>
          </w:tcPr>
          <w:p w14:paraId="3DF1D256"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9.454.561.423</w:t>
            </w:r>
          </w:p>
        </w:tc>
      </w:tr>
      <w:tr w:rsidR="00173EFE" w:rsidRPr="009C52C4" w14:paraId="2C036C02"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1D59EE12"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Trošak održavanja [HRK]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E0EF951"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5.623.687.315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F7F500F"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6.244.694.425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22F376A"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6.865.701.534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86DA524"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7.486.708.644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165226E"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8.107.715.753</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FE6B351"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8.728.722.863</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07A3711"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9.548.955.123</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7B9F5EC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10.369.187.385</w:t>
            </w:r>
          </w:p>
        </w:tc>
      </w:tr>
      <w:tr w:rsidR="00173EFE" w:rsidRPr="009C52C4" w14:paraId="6677F469"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1A53444C"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Trošak zamjene [HRK]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6FDA99"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921E1E4"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3E3DE83"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7DC3D00"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1D1B0B"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2A33A02"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AF51D5E"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5.114.395.260</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874734C"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5.114.395.260</w:t>
            </w:r>
          </w:p>
        </w:tc>
      </w:tr>
      <w:tr w:rsidR="00173EFE" w:rsidRPr="009C52C4" w14:paraId="6471DFB0"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2E85D21"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Ukupan trošak [HRK]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7496D91"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16.654.008.976</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6FD1E74"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17.275.016.085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7862C9F"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17.896.023.195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16A997F"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18.517.030.304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18F466C"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19.138.037.414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08D7A4C"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19.759.044.523</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E998003"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24.117.911.807</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21D0DB18" w14:textId="77777777" w:rsidR="00173EFE" w:rsidRPr="009C52C4" w:rsidRDefault="00173EFE" w:rsidP="00015017">
            <w:pPr>
              <w:jc w:val="center"/>
              <w:rPr>
                <w:rFonts w:ascii="Times New Roman" w:hAnsi="Times New Roman" w:cs="Times New Roman"/>
                <w:bCs/>
                <w:sz w:val="20"/>
              </w:rPr>
            </w:pPr>
            <w:r w:rsidRPr="009C52C4">
              <w:rPr>
                <w:rFonts w:ascii="Times New Roman" w:hAnsi="Times New Roman" w:cs="Times New Roman"/>
                <w:bCs/>
                <w:sz w:val="20"/>
              </w:rPr>
              <w:t>24.938.144.069</w:t>
            </w:r>
          </w:p>
        </w:tc>
      </w:tr>
      <w:tr w:rsidR="00173EFE" w:rsidRPr="009C52C4" w14:paraId="012F31B7"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F9F5713"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Kumulativni trošak [mil HRK]</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EDC629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106.264</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BE5FD2"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117.915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D6EBA88"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129.566</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BF6B29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141.218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22D699A"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152.869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338F54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164.520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B25EDA5"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179.910</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291AB8C5"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195.299</w:t>
            </w:r>
          </w:p>
        </w:tc>
      </w:tr>
      <w:tr w:rsidR="00173EFE" w:rsidRPr="009C52C4" w14:paraId="3DFA4DE5"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0A92EC49"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godišnja stopa obnove [%]</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17F65D7"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F72CCB9"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224AEAD"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44DD1AD"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871C7D8"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3,5</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00C8CD3"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C834EF3"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3,0</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24788104"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3,0</w:t>
            </w:r>
          </w:p>
        </w:tc>
      </w:tr>
      <w:tr w:rsidR="00173EFE" w:rsidRPr="009C52C4" w14:paraId="45A52A46"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468B230E"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obnovljena površina godišnje [mil. m²]</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2CCBA42"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3125E93"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2C31D1F"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241016F"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2E0CAA1"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6,738</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4CA4B04"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5,776</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FACD211"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5,776</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74038228" w14:textId="77777777" w:rsidR="00173EFE" w:rsidRPr="009C52C4" w:rsidRDefault="00173EFE" w:rsidP="00015017">
            <w:pPr>
              <w:jc w:val="center"/>
              <w:rPr>
                <w:rFonts w:ascii="Times New Roman" w:eastAsia="Times New Roman" w:hAnsi="Times New Roman" w:cs="Times New Roman"/>
                <w:color w:val="auto"/>
                <w:sz w:val="20"/>
              </w:rPr>
            </w:pPr>
            <w:r w:rsidRPr="009C52C4">
              <w:rPr>
                <w:rFonts w:ascii="Times New Roman" w:eastAsia="Times New Roman" w:hAnsi="Times New Roman" w:cs="Times New Roman"/>
                <w:color w:val="auto"/>
                <w:sz w:val="20"/>
              </w:rPr>
              <w:t>5,776</w:t>
            </w:r>
          </w:p>
        </w:tc>
      </w:tr>
      <w:tr w:rsidR="00173EFE" w:rsidRPr="009C52C4" w14:paraId="26089C4D"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6C538F13"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 xml:space="preserve">Prosječna energetska ušteda </w:t>
            </w:r>
            <w:r w:rsidRPr="009C52C4">
              <w:rPr>
                <w:rFonts w:ascii="Times New Roman" w:eastAsia="Times New Roman" w:hAnsi="Times New Roman" w:cs="Times New Roman"/>
                <w:b/>
                <w:color w:val="auto"/>
                <w:sz w:val="20"/>
              </w:rPr>
              <w:lastRenderedPageBreak/>
              <w:t>godišnje [GWh]</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CA4CF5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lastRenderedPageBreak/>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9B29412"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2E7461E"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D799CA1"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D7A9B0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1.393.789</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399A9B6"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1.194.677</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910B356"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1.194.677</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40BCCCC6"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1.194.677</w:t>
            </w:r>
          </w:p>
        </w:tc>
      </w:tr>
      <w:tr w:rsidR="00173EFE" w:rsidRPr="009C52C4" w14:paraId="6ADBC800" w14:textId="77777777" w:rsidTr="00873572">
        <w:trPr>
          <w:trHeight w:val="252"/>
          <w:jc w:val="center"/>
        </w:trPr>
        <w:tc>
          <w:tcPr>
            <w:tcW w:w="3441"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3360FDAE"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Prosječna energetska ušteda godišnje [PJ]</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AF0CF88"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3566DA5"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5B93998"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DE3505D"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48ED8F3"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5,02</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25C1F7"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4,30</w:t>
            </w:r>
          </w:p>
        </w:tc>
        <w:tc>
          <w:tcPr>
            <w:tcW w:w="1307"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E8ED27B"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4,30</w:t>
            </w:r>
          </w:p>
        </w:tc>
        <w:tc>
          <w:tcPr>
            <w:tcW w:w="1307"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582DA9E6" w14:textId="77777777" w:rsidR="00173EFE" w:rsidRPr="009C52C4" w:rsidRDefault="00173EFE" w:rsidP="00015017">
            <w:pPr>
              <w:jc w:val="center"/>
              <w:rPr>
                <w:rFonts w:ascii="Times New Roman" w:hAnsi="Times New Roman" w:cs="Times New Roman"/>
                <w:sz w:val="20"/>
              </w:rPr>
            </w:pPr>
            <w:r w:rsidRPr="009C52C4">
              <w:rPr>
                <w:rFonts w:ascii="Times New Roman" w:hAnsi="Times New Roman" w:cs="Times New Roman"/>
                <w:sz w:val="20"/>
              </w:rPr>
              <w:t>4,30</w:t>
            </w:r>
          </w:p>
        </w:tc>
      </w:tr>
      <w:tr w:rsidR="00173EFE" w:rsidRPr="009C52C4" w14:paraId="525D7360" w14:textId="77777777" w:rsidTr="00873572">
        <w:trPr>
          <w:trHeight w:val="252"/>
          <w:jc w:val="center"/>
        </w:trPr>
        <w:tc>
          <w:tcPr>
            <w:tcW w:w="3441"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tcPr>
          <w:p w14:paraId="0C9493FA" w14:textId="77777777" w:rsidR="00173EFE" w:rsidRPr="009C52C4" w:rsidRDefault="00173EFE" w:rsidP="001C04C1">
            <w:pPr>
              <w:jc w:val="left"/>
              <w:rPr>
                <w:rFonts w:ascii="Times New Roman" w:eastAsia="Times New Roman" w:hAnsi="Times New Roman" w:cs="Times New Roman"/>
                <w:b/>
                <w:color w:val="auto"/>
                <w:sz w:val="20"/>
              </w:rPr>
            </w:pPr>
            <w:r w:rsidRPr="009C52C4">
              <w:rPr>
                <w:rFonts w:ascii="Times New Roman" w:eastAsia="Times New Roman" w:hAnsi="Times New Roman" w:cs="Times New Roman"/>
                <w:b/>
                <w:color w:val="auto"/>
                <w:sz w:val="20"/>
              </w:rPr>
              <w:t>Prosječno smanjenje emisija CO</w:t>
            </w:r>
            <w:r w:rsidRPr="009C52C4">
              <w:rPr>
                <w:rFonts w:ascii="Times New Roman" w:eastAsia="Times New Roman" w:hAnsi="Times New Roman" w:cs="Times New Roman"/>
                <w:b/>
                <w:color w:val="auto"/>
                <w:sz w:val="20"/>
                <w:vertAlign w:val="subscript"/>
              </w:rPr>
              <w:t>2</w:t>
            </w:r>
            <w:r w:rsidRPr="009C52C4">
              <w:rPr>
                <w:rFonts w:ascii="Times New Roman" w:eastAsia="Times New Roman" w:hAnsi="Times New Roman" w:cs="Times New Roman"/>
                <w:b/>
                <w:color w:val="auto"/>
                <w:sz w:val="20"/>
              </w:rPr>
              <w:t xml:space="preserve"> [kt]</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AFD878E"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2B463318"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F22F7C3"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B87B7BA"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60A023C6"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239,56</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7A894E86"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205,34</w:t>
            </w:r>
          </w:p>
        </w:tc>
        <w:tc>
          <w:tcPr>
            <w:tcW w:w="1307"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00966498"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205,34</w:t>
            </w:r>
          </w:p>
        </w:tc>
        <w:tc>
          <w:tcPr>
            <w:tcW w:w="1307"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tcPr>
          <w:p w14:paraId="249DBCB7" w14:textId="77777777" w:rsidR="00173EFE" w:rsidRPr="009C52C4" w:rsidRDefault="00173EFE" w:rsidP="00173EFE">
            <w:pPr>
              <w:jc w:val="center"/>
              <w:rPr>
                <w:rFonts w:ascii="Times New Roman" w:hAnsi="Times New Roman" w:cs="Times New Roman"/>
                <w:color w:val="auto"/>
                <w:sz w:val="20"/>
              </w:rPr>
            </w:pPr>
            <w:r w:rsidRPr="009C52C4">
              <w:rPr>
                <w:rFonts w:ascii="Times New Roman" w:hAnsi="Times New Roman" w:cs="Times New Roman"/>
                <w:color w:val="auto"/>
                <w:sz w:val="20"/>
              </w:rPr>
              <w:t>205,34</w:t>
            </w:r>
          </w:p>
        </w:tc>
      </w:tr>
    </w:tbl>
    <w:p w14:paraId="6620065F" w14:textId="77777777" w:rsidR="00582658" w:rsidRPr="009C52C4" w:rsidRDefault="00582658" w:rsidP="00582658">
      <w:pPr>
        <w:spacing w:after="120"/>
        <w:rPr>
          <w:rFonts w:ascii="Times New Roman" w:hAnsi="Times New Roman" w:cs="Times New Roman"/>
          <w:sz w:val="24"/>
          <w:szCs w:val="24"/>
        </w:rPr>
      </w:pPr>
    </w:p>
    <w:p w14:paraId="75A16099" w14:textId="77777777" w:rsidR="00582658" w:rsidRPr="009C52C4" w:rsidRDefault="00582658" w:rsidP="00582658">
      <w:pPr>
        <w:rPr>
          <w:rFonts w:ascii="Times New Roman" w:hAnsi="Times New Roman" w:cs="Times New Roman"/>
          <w:sz w:val="24"/>
          <w:szCs w:val="24"/>
        </w:rPr>
      </w:pPr>
      <w:r w:rsidRPr="009C52C4">
        <w:rPr>
          <w:rFonts w:ascii="Times New Roman" w:hAnsi="Times New Roman" w:cs="Times New Roman"/>
          <w:sz w:val="24"/>
          <w:szCs w:val="24"/>
        </w:rPr>
        <w:br w:type="page"/>
      </w:r>
    </w:p>
    <w:tbl>
      <w:tblPr>
        <w:tblW w:w="14658" w:type="dxa"/>
        <w:jc w:val="center"/>
        <w:tblCellMar>
          <w:top w:w="15" w:type="dxa"/>
          <w:bottom w:w="15" w:type="dxa"/>
        </w:tblCellMar>
        <w:tblLook w:val="04A0" w:firstRow="1" w:lastRow="0" w:firstColumn="1" w:lastColumn="0" w:noHBand="0" w:noVBand="1"/>
      </w:tblPr>
      <w:tblGrid>
        <w:gridCol w:w="2835"/>
        <w:gridCol w:w="1323"/>
        <w:gridCol w:w="1323"/>
        <w:gridCol w:w="1323"/>
        <w:gridCol w:w="1323"/>
        <w:gridCol w:w="1323"/>
        <w:gridCol w:w="1323"/>
        <w:gridCol w:w="1323"/>
        <w:gridCol w:w="1323"/>
        <w:gridCol w:w="1239"/>
      </w:tblGrid>
      <w:tr w:rsidR="00FE02B7" w:rsidRPr="009C52C4" w14:paraId="2C518F72" w14:textId="77777777" w:rsidTr="00873572">
        <w:trPr>
          <w:trHeight w:val="267"/>
          <w:jc w:val="center"/>
        </w:trPr>
        <w:tc>
          <w:tcPr>
            <w:tcW w:w="2835"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4B03B19C" w14:textId="77777777" w:rsidR="00582658" w:rsidRPr="009C52C4" w:rsidRDefault="00582658" w:rsidP="00A7635A">
            <w:pPr>
              <w:jc w:val="left"/>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lastRenderedPageBreak/>
              <w:t>Stavke/godina</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7C19A64"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2033.</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094CDDAD"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2034.</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4E0E62D"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2035.</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22EB2C42"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2036.</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330DA6A3"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2037.</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2DBE79B5"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2038.</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7F4FDAF5"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2039.</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358FF0C6"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2040.</w:t>
            </w:r>
          </w:p>
        </w:tc>
        <w:tc>
          <w:tcPr>
            <w:tcW w:w="1239" w:type="dxa"/>
            <w:tcBorders>
              <w:top w:val="nil"/>
              <w:left w:val="single" w:sz="4" w:space="0" w:color="000000"/>
              <w:bottom w:val="nil"/>
              <w:right w:val="nil"/>
            </w:tcBorders>
            <w:noWrap/>
            <w:vAlign w:val="center"/>
            <w:hideMark/>
          </w:tcPr>
          <w:p w14:paraId="6E14BADD" w14:textId="77777777" w:rsidR="00582658" w:rsidRPr="009C52C4" w:rsidRDefault="00582658" w:rsidP="00A7635A">
            <w:pPr>
              <w:jc w:val="center"/>
              <w:rPr>
                <w:rFonts w:ascii="Times New Roman" w:eastAsia="Times New Roman" w:hAnsi="Times New Roman" w:cs="Times New Roman"/>
                <w:sz w:val="16"/>
                <w:szCs w:val="16"/>
              </w:rPr>
            </w:pPr>
          </w:p>
        </w:tc>
      </w:tr>
      <w:tr w:rsidR="001C04C1" w:rsidRPr="009C52C4" w14:paraId="35FC2984" w14:textId="77777777" w:rsidTr="00873572">
        <w:trPr>
          <w:trHeight w:val="267"/>
          <w:jc w:val="center"/>
        </w:trPr>
        <w:tc>
          <w:tcPr>
            <w:tcW w:w="2835" w:type="dxa"/>
            <w:tcBorders>
              <w:top w:val="single" w:sz="4" w:space="0" w:color="auto"/>
              <w:left w:val="single" w:sz="4" w:space="0" w:color="auto"/>
              <w:bottom w:val="single" w:sz="4" w:space="0" w:color="000000"/>
              <w:right w:val="single" w:sz="4" w:space="0" w:color="000000"/>
            </w:tcBorders>
            <w:shd w:val="clear" w:color="000000" w:fill="C2D69B" w:themeFill="accent3" w:themeFillTint="99"/>
            <w:vAlign w:val="center"/>
            <w:hideMark/>
          </w:tcPr>
          <w:p w14:paraId="4FF8D644"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Početno ulaganje [HRK]</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840BDFB"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06C5006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4EAD4E6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69A691B9"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36315627"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DC2D7E2"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56E0B80A"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323" w:type="dxa"/>
            <w:tcBorders>
              <w:top w:val="single" w:sz="4" w:space="0" w:color="auto"/>
              <w:left w:val="single" w:sz="4" w:space="0" w:color="000000"/>
              <w:bottom w:val="single" w:sz="4" w:space="0" w:color="000000"/>
              <w:right w:val="single" w:sz="4" w:space="0" w:color="auto"/>
            </w:tcBorders>
            <w:shd w:val="clear" w:color="000000" w:fill="EAF1DD" w:themeFill="accent3" w:themeFillTint="33"/>
            <w:vAlign w:val="center"/>
            <w:hideMark/>
          </w:tcPr>
          <w:p w14:paraId="060147A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9.454.561.423</w:t>
            </w:r>
          </w:p>
        </w:tc>
        <w:tc>
          <w:tcPr>
            <w:tcW w:w="1239" w:type="dxa"/>
            <w:tcBorders>
              <w:top w:val="nil"/>
              <w:left w:val="nil"/>
              <w:bottom w:val="nil"/>
              <w:right w:val="nil"/>
            </w:tcBorders>
            <w:noWrap/>
            <w:vAlign w:val="center"/>
            <w:hideMark/>
          </w:tcPr>
          <w:p w14:paraId="7A269A58"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7948387D"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5D1770F"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Trošak održavanja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FD1469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11.189.419.646</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A8D6439"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12.009.651.908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D4AAB0F"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12.829.884.169</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4913BD0"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13.650.116.430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2B05A79"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14.470.348.692</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28BD1D5"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15.290.580.953</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8FDDE9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16.110.813.214</w:t>
            </w:r>
          </w:p>
        </w:tc>
        <w:tc>
          <w:tcPr>
            <w:tcW w:w="1323"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E50938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16.931.045.475</w:t>
            </w:r>
          </w:p>
        </w:tc>
        <w:tc>
          <w:tcPr>
            <w:tcW w:w="1239" w:type="dxa"/>
            <w:tcBorders>
              <w:top w:val="nil"/>
              <w:left w:val="nil"/>
              <w:bottom w:val="nil"/>
              <w:right w:val="nil"/>
            </w:tcBorders>
            <w:noWrap/>
            <w:vAlign w:val="center"/>
            <w:hideMark/>
          </w:tcPr>
          <w:p w14:paraId="34389210"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383213AE"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62AC1AF4"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Trošak zamjene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F92F31B"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385454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AC0636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1B33F3C"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48DDD8E"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17954B2"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6B30EC6"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0E4AA12B"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239" w:type="dxa"/>
            <w:tcBorders>
              <w:top w:val="nil"/>
              <w:left w:val="nil"/>
              <w:bottom w:val="nil"/>
              <w:right w:val="nil"/>
            </w:tcBorders>
            <w:noWrap/>
            <w:vAlign w:val="center"/>
            <w:hideMark/>
          </w:tcPr>
          <w:p w14:paraId="60159CED"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4E24E1BC"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429BD0B"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Ukupan trošak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046501A"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25.758.376.330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47BA7B9"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26.578.608.591</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6DE397A"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27.398.840.853</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64FDA4F"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28.219.073.114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076CC23"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29.039.305.375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882207A"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29.859.537.636</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3249FEB"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30.679.769.898</w:t>
            </w:r>
          </w:p>
        </w:tc>
        <w:tc>
          <w:tcPr>
            <w:tcW w:w="1323"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4F17CBAB"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31.500.002.159</w:t>
            </w:r>
          </w:p>
        </w:tc>
        <w:tc>
          <w:tcPr>
            <w:tcW w:w="1239" w:type="dxa"/>
            <w:tcBorders>
              <w:top w:val="nil"/>
              <w:left w:val="nil"/>
              <w:bottom w:val="nil"/>
              <w:right w:val="nil"/>
            </w:tcBorders>
            <w:noWrap/>
            <w:vAlign w:val="center"/>
            <w:hideMark/>
          </w:tcPr>
          <w:p w14:paraId="5EED3C08" w14:textId="77777777" w:rsidR="001C04C1" w:rsidRPr="009C52C4" w:rsidRDefault="001C04C1" w:rsidP="00A7635A">
            <w:pPr>
              <w:jc w:val="center"/>
              <w:rPr>
                <w:rFonts w:ascii="Times New Roman" w:eastAsia="Times New Roman" w:hAnsi="Times New Roman" w:cs="Times New Roman"/>
                <w:sz w:val="16"/>
                <w:szCs w:val="16"/>
              </w:rPr>
            </w:pPr>
          </w:p>
        </w:tc>
      </w:tr>
      <w:tr w:rsidR="00015017" w:rsidRPr="009C52C4" w14:paraId="35A11691"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7F4D989" w14:textId="77777777" w:rsidR="00015017" w:rsidRPr="009C52C4" w:rsidRDefault="00015017"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Kumulativni trošak [</w:t>
            </w:r>
            <w:r w:rsidR="005E0E3A" w:rsidRPr="009C52C4">
              <w:rPr>
                <w:rFonts w:ascii="Times New Roman" w:eastAsia="Times New Roman" w:hAnsi="Times New Roman" w:cs="Times New Roman"/>
                <w:b/>
                <w:color w:val="auto"/>
                <w:sz w:val="16"/>
                <w:szCs w:val="16"/>
              </w:rPr>
              <w:t xml:space="preserve">mil </w:t>
            </w:r>
            <w:r w:rsidRPr="009C52C4">
              <w:rPr>
                <w:rFonts w:ascii="Times New Roman" w:eastAsia="Times New Roman" w:hAnsi="Times New Roman" w:cs="Times New Roman"/>
                <w:b/>
                <w:color w:val="auto"/>
                <w:sz w:val="16"/>
                <w:szCs w:val="16"/>
              </w:rPr>
              <w:t>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4A60B9"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210.688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B6D47BD"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226.077</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A65EFC8"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241.466</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3ACA87D" w14:textId="77777777" w:rsidR="00015017" w:rsidRPr="009C52C4" w:rsidRDefault="00015017" w:rsidP="005E0E3A">
            <w:pPr>
              <w:jc w:val="center"/>
              <w:rPr>
                <w:rFonts w:ascii="Times New Roman" w:hAnsi="Times New Roman" w:cs="Times New Roman"/>
                <w:sz w:val="16"/>
                <w:szCs w:val="16"/>
              </w:rPr>
            </w:pPr>
            <w:r w:rsidRPr="009C52C4">
              <w:rPr>
                <w:rFonts w:ascii="Times New Roman" w:hAnsi="Times New Roman" w:cs="Times New Roman"/>
                <w:sz w:val="16"/>
                <w:szCs w:val="16"/>
              </w:rPr>
              <w:t>256.</w:t>
            </w:r>
            <w:r w:rsidR="005E0E3A" w:rsidRPr="009C52C4">
              <w:rPr>
                <w:rFonts w:ascii="Times New Roman" w:hAnsi="Times New Roman" w:cs="Times New Roman"/>
                <w:sz w:val="16"/>
                <w:szCs w:val="16"/>
              </w:rPr>
              <w:t>856</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1C8C5A3"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272.245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E52CC5D"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287.634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976F6EE"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303.023</w:t>
            </w:r>
          </w:p>
        </w:tc>
        <w:tc>
          <w:tcPr>
            <w:tcW w:w="1323"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43EBFEEC"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318.412</w:t>
            </w:r>
          </w:p>
        </w:tc>
        <w:tc>
          <w:tcPr>
            <w:tcW w:w="1239" w:type="dxa"/>
            <w:tcBorders>
              <w:top w:val="nil"/>
              <w:left w:val="nil"/>
              <w:bottom w:val="nil"/>
              <w:right w:val="nil"/>
            </w:tcBorders>
            <w:noWrap/>
            <w:vAlign w:val="center"/>
            <w:hideMark/>
          </w:tcPr>
          <w:p w14:paraId="4F9F843E" w14:textId="77777777" w:rsidR="00015017" w:rsidRPr="009C52C4" w:rsidRDefault="00015017" w:rsidP="00A7635A">
            <w:pPr>
              <w:jc w:val="center"/>
              <w:rPr>
                <w:rFonts w:ascii="Times New Roman" w:eastAsia="Times New Roman" w:hAnsi="Times New Roman" w:cs="Times New Roman"/>
                <w:sz w:val="16"/>
                <w:szCs w:val="16"/>
              </w:rPr>
            </w:pPr>
          </w:p>
        </w:tc>
      </w:tr>
      <w:tr w:rsidR="001C04C1" w:rsidRPr="009C52C4" w14:paraId="054DB5FB"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FEB7C8F"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godišnja stopa obnove [%]</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8166985"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EDAD8A0"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CB54CA4"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249F33E"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A0545D4"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7548141"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FEF46AC"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3,0</w:t>
            </w:r>
          </w:p>
        </w:tc>
        <w:tc>
          <w:tcPr>
            <w:tcW w:w="1323"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297706D5"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239" w:type="dxa"/>
            <w:tcBorders>
              <w:top w:val="nil"/>
              <w:left w:val="nil"/>
              <w:bottom w:val="nil"/>
              <w:right w:val="nil"/>
            </w:tcBorders>
            <w:noWrap/>
            <w:vAlign w:val="center"/>
            <w:hideMark/>
          </w:tcPr>
          <w:p w14:paraId="564DE4C1"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10B94693"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114B06F3"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obnovljena površina godišnje [mil. m²]</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06564490"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36910934"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51ACEE7"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20806AE8"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9920AD6"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2B6BBA9"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674A2F6A" w14:textId="77777777" w:rsidR="001C04C1" w:rsidRPr="009C52C4" w:rsidRDefault="001C04C1" w:rsidP="005E0E3A">
            <w:pPr>
              <w:jc w:val="center"/>
              <w:rPr>
                <w:rFonts w:ascii="Times New Roman" w:eastAsia="Times New Roman" w:hAnsi="Times New Roman" w:cs="Times New Roman"/>
                <w:color w:val="auto"/>
                <w:sz w:val="16"/>
                <w:szCs w:val="16"/>
              </w:rPr>
            </w:pPr>
            <w:r w:rsidRPr="009C52C4">
              <w:rPr>
                <w:rFonts w:ascii="Times New Roman" w:eastAsia="Times New Roman" w:hAnsi="Times New Roman" w:cs="Times New Roman"/>
                <w:color w:val="auto"/>
                <w:sz w:val="16"/>
                <w:szCs w:val="16"/>
              </w:rPr>
              <w:t>5,776</w:t>
            </w:r>
          </w:p>
        </w:tc>
        <w:tc>
          <w:tcPr>
            <w:tcW w:w="1323"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hideMark/>
          </w:tcPr>
          <w:p w14:paraId="2409DA70"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239" w:type="dxa"/>
            <w:tcBorders>
              <w:top w:val="nil"/>
              <w:left w:val="nil"/>
              <w:bottom w:val="nil"/>
              <w:right w:val="nil"/>
            </w:tcBorders>
            <w:noWrap/>
            <w:vAlign w:val="center"/>
            <w:hideMark/>
          </w:tcPr>
          <w:p w14:paraId="290DC7DE"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321B0392"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ED52E59"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energetska ušteda godišnje [GWh]</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435FE7F8"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152F48D"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67CAECB"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284A9F54"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1CF1D7A"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11AAA17F"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A024640"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1.194.677</w:t>
            </w:r>
          </w:p>
        </w:tc>
        <w:tc>
          <w:tcPr>
            <w:tcW w:w="1323"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hideMark/>
          </w:tcPr>
          <w:p w14:paraId="244DD92C"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597.338</w:t>
            </w:r>
          </w:p>
        </w:tc>
        <w:tc>
          <w:tcPr>
            <w:tcW w:w="1239" w:type="dxa"/>
            <w:tcBorders>
              <w:top w:val="nil"/>
              <w:left w:val="nil"/>
              <w:bottom w:val="nil"/>
              <w:right w:val="nil"/>
            </w:tcBorders>
            <w:noWrap/>
            <w:vAlign w:val="center"/>
            <w:hideMark/>
          </w:tcPr>
          <w:p w14:paraId="5991313E" w14:textId="77777777" w:rsidR="001C04C1" w:rsidRPr="009C52C4" w:rsidRDefault="001C04C1" w:rsidP="00A7635A">
            <w:pPr>
              <w:jc w:val="center"/>
              <w:rPr>
                <w:rFonts w:ascii="Times New Roman" w:eastAsia="Times New Roman" w:hAnsi="Times New Roman" w:cs="Times New Roman"/>
                <w:sz w:val="16"/>
                <w:szCs w:val="16"/>
              </w:rPr>
            </w:pPr>
          </w:p>
        </w:tc>
      </w:tr>
      <w:tr w:rsidR="001C04C1" w:rsidRPr="009C52C4" w14:paraId="15319CC3" w14:textId="77777777" w:rsidTr="00873572">
        <w:trPr>
          <w:trHeight w:val="267"/>
          <w:jc w:val="center"/>
        </w:trPr>
        <w:tc>
          <w:tcPr>
            <w:tcW w:w="2835"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5164CF08"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energetska ušteda godišnje [PJ]</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23673B54"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4A5BBBB0"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3C3C354A"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6CD5365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4A938FDC"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1A02D15A"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92628C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4,30</w:t>
            </w:r>
          </w:p>
        </w:tc>
        <w:tc>
          <w:tcPr>
            <w:tcW w:w="1323"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hideMark/>
          </w:tcPr>
          <w:p w14:paraId="47F77E9C"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2,15</w:t>
            </w:r>
          </w:p>
        </w:tc>
        <w:tc>
          <w:tcPr>
            <w:tcW w:w="1239" w:type="dxa"/>
            <w:tcBorders>
              <w:top w:val="nil"/>
              <w:left w:val="nil"/>
              <w:bottom w:val="nil"/>
              <w:right w:val="nil"/>
            </w:tcBorders>
            <w:noWrap/>
            <w:vAlign w:val="center"/>
            <w:hideMark/>
          </w:tcPr>
          <w:p w14:paraId="7CC10D8C" w14:textId="77777777" w:rsidR="001C04C1" w:rsidRPr="009C52C4" w:rsidRDefault="001C04C1" w:rsidP="00A7635A">
            <w:pPr>
              <w:jc w:val="center"/>
              <w:rPr>
                <w:rFonts w:ascii="Times New Roman" w:eastAsia="Times New Roman" w:hAnsi="Times New Roman" w:cs="Times New Roman"/>
                <w:color w:val="auto"/>
                <w:sz w:val="16"/>
                <w:szCs w:val="16"/>
              </w:rPr>
            </w:pPr>
          </w:p>
        </w:tc>
      </w:tr>
      <w:tr w:rsidR="00173EFE" w:rsidRPr="009C52C4" w14:paraId="73FC2EBA" w14:textId="77777777" w:rsidTr="00873572">
        <w:trPr>
          <w:trHeight w:val="267"/>
          <w:jc w:val="center"/>
        </w:trPr>
        <w:tc>
          <w:tcPr>
            <w:tcW w:w="2835"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2B57A3B5" w14:textId="77777777" w:rsidR="00173EFE" w:rsidRPr="009C52C4" w:rsidRDefault="00173EFE" w:rsidP="00AF660A">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Prosječno smanjenje emisija CO</w:t>
            </w:r>
            <w:r w:rsidRPr="009C52C4">
              <w:rPr>
                <w:rFonts w:ascii="Times New Roman" w:eastAsia="Times New Roman" w:hAnsi="Times New Roman" w:cs="Times New Roman"/>
                <w:b/>
                <w:color w:val="auto"/>
                <w:sz w:val="16"/>
                <w:szCs w:val="16"/>
                <w:vertAlign w:val="subscript"/>
              </w:rPr>
              <w:t>2</w:t>
            </w:r>
            <w:r w:rsidRPr="009C52C4">
              <w:rPr>
                <w:rFonts w:ascii="Times New Roman" w:eastAsia="Times New Roman" w:hAnsi="Times New Roman" w:cs="Times New Roman"/>
                <w:b/>
                <w:color w:val="auto"/>
                <w:sz w:val="16"/>
                <w:szCs w:val="16"/>
              </w:rPr>
              <w:t xml:space="preserve"> [kt]</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C301970"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3C4CD0DA"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69F51C00"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7B401FE9"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66152DC5"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5589CFC8"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hideMark/>
          </w:tcPr>
          <w:p w14:paraId="22F5171B"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205,34</w:t>
            </w:r>
          </w:p>
        </w:tc>
        <w:tc>
          <w:tcPr>
            <w:tcW w:w="1323"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hideMark/>
          </w:tcPr>
          <w:p w14:paraId="2F842C6B"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239" w:type="dxa"/>
            <w:tcBorders>
              <w:top w:val="nil"/>
              <w:left w:val="nil"/>
              <w:bottom w:val="nil"/>
              <w:right w:val="nil"/>
            </w:tcBorders>
            <w:noWrap/>
            <w:vAlign w:val="center"/>
            <w:hideMark/>
          </w:tcPr>
          <w:p w14:paraId="7CA8D4E4" w14:textId="77777777" w:rsidR="00173EFE" w:rsidRPr="009C52C4" w:rsidRDefault="00173EFE" w:rsidP="00AF660A">
            <w:pPr>
              <w:jc w:val="center"/>
              <w:rPr>
                <w:rFonts w:ascii="Times New Roman" w:eastAsia="Times New Roman" w:hAnsi="Times New Roman" w:cs="Times New Roman"/>
                <w:color w:val="auto"/>
                <w:sz w:val="16"/>
                <w:szCs w:val="16"/>
              </w:rPr>
            </w:pPr>
          </w:p>
        </w:tc>
      </w:tr>
      <w:tr w:rsidR="00FE02B7" w:rsidRPr="009C52C4" w14:paraId="72A397CB" w14:textId="77777777" w:rsidTr="00873572">
        <w:trPr>
          <w:trHeight w:val="267"/>
          <w:jc w:val="center"/>
        </w:trPr>
        <w:tc>
          <w:tcPr>
            <w:tcW w:w="2835" w:type="dxa"/>
            <w:tcBorders>
              <w:top w:val="nil"/>
              <w:left w:val="nil"/>
              <w:bottom w:val="single" w:sz="4" w:space="0" w:color="000000"/>
              <w:right w:val="nil"/>
            </w:tcBorders>
            <w:noWrap/>
            <w:vAlign w:val="center"/>
            <w:hideMark/>
          </w:tcPr>
          <w:p w14:paraId="2C99982C" w14:textId="77777777" w:rsidR="00582658" w:rsidRPr="009C52C4" w:rsidRDefault="00582658" w:rsidP="00A7635A">
            <w:pPr>
              <w:jc w:val="left"/>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1B6F9A8A"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23886FB5"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443248D9"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58217B5B"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178639B0"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135FD06F"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5DCBEE57"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323" w:type="dxa"/>
            <w:tcBorders>
              <w:top w:val="nil"/>
              <w:left w:val="nil"/>
              <w:bottom w:val="single" w:sz="4" w:space="0" w:color="000000"/>
              <w:right w:val="nil"/>
            </w:tcBorders>
            <w:noWrap/>
            <w:vAlign w:val="center"/>
            <w:hideMark/>
          </w:tcPr>
          <w:p w14:paraId="73836C66" w14:textId="77777777" w:rsidR="00582658" w:rsidRPr="009C52C4" w:rsidRDefault="00582658" w:rsidP="00A7635A">
            <w:pPr>
              <w:jc w:val="center"/>
              <w:rPr>
                <w:rFonts w:ascii="Times New Roman" w:eastAsia="Times New Roman" w:hAnsi="Times New Roman" w:cs="Times New Roman"/>
                <w:color w:val="auto"/>
                <w:sz w:val="16"/>
                <w:szCs w:val="16"/>
              </w:rPr>
            </w:pPr>
          </w:p>
        </w:tc>
        <w:tc>
          <w:tcPr>
            <w:tcW w:w="1239" w:type="dxa"/>
            <w:tcBorders>
              <w:top w:val="nil"/>
              <w:left w:val="nil"/>
              <w:bottom w:val="single" w:sz="4" w:space="0" w:color="000000"/>
              <w:right w:val="nil"/>
            </w:tcBorders>
            <w:noWrap/>
            <w:vAlign w:val="center"/>
            <w:hideMark/>
          </w:tcPr>
          <w:p w14:paraId="13E27B5F" w14:textId="77777777" w:rsidR="00582658" w:rsidRPr="009C52C4" w:rsidRDefault="00582658" w:rsidP="00A7635A">
            <w:pPr>
              <w:jc w:val="center"/>
              <w:rPr>
                <w:rFonts w:ascii="Times New Roman" w:eastAsia="Times New Roman" w:hAnsi="Times New Roman" w:cs="Times New Roman"/>
                <w:color w:val="auto"/>
                <w:sz w:val="16"/>
                <w:szCs w:val="16"/>
              </w:rPr>
            </w:pPr>
          </w:p>
        </w:tc>
      </w:tr>
      <w:tr w:rsidR="00FE02B7" w:rsidRPr="009C52C4" w14:paraId="3D6B25B1" w14:textId="77777777" w:rsidTr="00873572">
        <w:trPr>
          <w:trHeight w:val="267"/>
          <w:jc w:val="center"/>
        </w:trPr>
        <w:tc>
          <w:tcPr>
            <w:tcW w:w="2835"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hideMark/>
          </w:tcPr>
          <w:p w14:paraId="09032E00" w14:textId="77777777" w:rsidR="00582658" w:rsidRPr="009C52C4" w:rsidRDefault="00582658" w:rsidP="00A7635A">
            <w:pPr>
              <w:jc w:val="left"/>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Stavke/godina</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5A08752A"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2041.</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1183AAD2"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2042.</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033CF69C"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2043.</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54CD7A9D"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2044.</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9E5BEDD"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2045.</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2DD80F5C"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2046.</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54D2058D"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2047.</w:t>
            </w:r>
          </w:p>
        </w:tc>
        <w:tc>
          <w:tcPr>
            <w:tcW w:w="1323"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182BD6DB"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2048.</w:t>
            </w:r>
          </w:p>
        </w:tc>
        <w:tc>
          <w:tcPr>
            <w:tcW w:w="1239" w:type="dxa"/>
            <w:tcBorders>
              <w:top w:val="single" w:sz="4" w:space="0" w:color="000000"/>
              <w:left w:val="single" w:sz="4" w:space="0" w:color="000000"/>
              <w:bottom w:val="single" w:sz="4" w:space="0" w:color="auto"/>
              <w:right w:val="single" w:sz="4" w:space="0" w:color="000000"/>
            </w:tcBorders>
            <w:shd w:val="clear" w:color="000000" w:fill="C2D69B" w:themeFill="accent3" w:themeFillTint="99"/>
            <w:vAlign w:val="center"/>
            <w:hideMark/>
          </w:tcPr>
          <w:p w14:paraId="64DE40DC" w14:textId="77777777" w:rsidR="00582658" w:rsidRPr="009C52C4" w:rsidRDefault="00582658" w:rsidP="00A7635A">
            <w:pPr>
              <w:jc w:val="center"/>
              <w:rPr>
                <w:rFonts w:ascii="Times New Roman" w:eastAsia="Times New Roman" w:hAnsi="Times New Roman" w:cs="Times New Roman"/>
                <w:b/>
                <w:sz w:val="16"/>
                <w:szCs w:val="16"/>
              </w:rPr>
            </w:pPr>
            <w:r w:rsidRPr="009C52C4">
              <w:rPr>
                <w:rFonts w:ascii="Times New Roman" w:eastAsia="Times New Roman" w:hAnsi="Times New Roman" w:cs="Times New Roman"/>
                <w:b/>
                <w:sz w:val="16"/>
                <w:szCs w:val="16"/>
              </w:rPr>
              <w:t>2049.</w:t>
            </w:r>
          </w:p>
        </w:tc>
      </w:tr>
      <w:tr w:rsidR="001C04C1" w:rsidRPr="009C52C4" w14:paraId="2AF8ABEE" w14:textId="77777777" w:rsidTr="00873572">
        <w:trPr>
          <w:trHeight w:val="267"/>
          <w:jc w:val="center"/>
        </w:trPr>
        <w:tc>
          <w:tcPr>
            <w:tcW w:w="2835" w:type="dxa"/>
            <w:tcBorders>
              <w:top w:val="single" w:sz="4" w:space="0" w:color="auto"/>
              <w:left w:val="single" w:sz="4" w:space="0" w:color="auto"/>
              <w:bottom w:val="single" w:sz="4" w:space="0" w:color="000000"/>
              <w:right w:val="single" w:sz="4" w:space="0" w:color="000000"/>
            </w:tcBorders>
            <w:shd w:val="clear" w:color="000000" w:fill="C2D69B" w:themeFill="accent3" w:themeFillTint="99"/>
            <w:vAlign w:val="center"/>
            <w:hideMark/>
          </w:tcPr>
          <w:p w14:paraId="5291D51C"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Početno ulaganje [HRK]</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3FA97CE5"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6429425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1DE30C0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2A521FA6"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2B94DD60"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08FD7CF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7FAF3E48"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323" w:type="dxa"/>
            <w:tcBorders>
              <w:top w:val="single" w:sz="4" w:space="0" w:color="auto"/>
              <w:left w:val="single" w:sz="4" w:space="0" w:color="000000"/>
              <w:bottom w:val="single" w:sz="4" w:space="0" w:color="000000"/>
              <w:right w:val="single" w:sz="4" w:space="0" w:color="000000"/>
            </w:tcBorders>
            <w:shd w:val="clear" w:color="000000" w:fill="EAF1DD" w:themeFill="accent3" w:themeFillTint="33"/>
            <w:vAlign w:val="center"/>
            <w:hideMark/>
          </w:tcPr>
          <w:p w14:paraId="00F53F5B"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c>
          <w:tcPr>
            <w:tcW w:w="1239" w:type="dxa"/>
            <w:tcBorders>
              <w:top w:val="single" w:sz="4" w:space="0" w:color="auto"/>
              <w:left w:val="single" w:sz="4" w:space="0" w:color="000000"/>
              <w:bottom w:val="single" w:sz="4" w:space="0" w:color="000000"/>
              <w:right w:val="single" w:sz="4" w:space="0" w:color="auto"/>
            </w:tcBorders>
            <w:shd w:val="clear" w:color="000000" w:fill="EAF1DD" w:themeFill="accent3" w:themeFillTint="33"/>
            <w:vAlign w:val="center"/>
            <w:hideMark/>
          </w:tcPr>
          <w:p w14:paraId="5B8C287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4.727.280.712</w:t>
            </w:r>
          </w:p>
        </w:tc>
      </w:tr>
      <w:tr w:rsidR="001C04C1" w:rsidRPr="009C52C4" w14:paraId="798B6FE7"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0E89AD6"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Trošak održavanja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688C14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17.485.131.833</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76ADFB0"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18.039.218.190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A142D30"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18.593.304.547</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3168AD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19.147.390.904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2DA270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19.701.477.262</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6177921"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20.543.504.071</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D8EB511"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21.385.530.882</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6C50AFE"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22.227.557.693</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4043867E"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23.069.584.503</w:t>
            </w:r>
          </w:p>
        </w:tc>
      </w:tr>
      <w:tr w:rsidR="001C04C1" w:rsidRPr="009C52C4" w14:paraId="08D2FB51"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550F2D7"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Trošak zamjene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D81211C"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DE00485"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61A1186"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11F05CB"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E2DF47E"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5.114.395.260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4096503"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10.228.790.520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774D264"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10.228.790.520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7B85045"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10.228.790.520</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54EC5057"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10.228.790.520</w:t>
            </w:r>
          </w:p>
        </w:tc>
      </w:tr>
      <w:tr w:rsidR="001C04C1" w:rsidRPr="009C52C4" w14:paraId="06F6F325"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21000082"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Ukupan trošak [HRK]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82049E7"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27.326.807.804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9BFF21E"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27.880.894.162</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3B84283"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28.434.980.519</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EDC7EB9"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28.989.066.876</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BF63E99"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29.543.153.233</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0CC40AE"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35.499.575.304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6DA4FE4"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36.341.602.114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037C142"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37.183.628.925</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55FDDC3D" w14:textId="77777777" w:rsidR="001C04C1" w:rsidRPr="009C52C4" w:rsidRDefault="001C04C1" w:rsidP="005E0E3A">
            <w:pPr>
              <w:jc w:val="center"/>
              <w:rPr>
                <w:rFonts w:ascii="Times New Roman" w:hAnsi="Times New Roman" w:cs="Times New Roman"/>
                <w:bCs/>
                <w:sz w:val="16"/>
                <w:szCs w:val="16"/>
              </w:rPr>
            </w:pPr>
            <w:r w:rsidRPr="009C52C4">
              <w:rPr>
                <w:rFonts w:ascii="Times New Roman" w:hAnsi="Times New Roman" w:cs="Times New Roman"/>
                <w:bCs/>
                <w:sz w:val="16"/>
                <w:szCs w:val="16"/>
              </w:rPr>
              <w:t>38.025.655.735</w:t>
            </w:r>
          </w:p>
        </w:tc>
      </w:tr>
      <w:tr w:rsidR="00015017" w:rsidRPr="009C52C4" w14:paraId="5B7FE60E"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4ADA83E5" w14:textId="77777777" w:rsidR="00015017" w:rsidRPr="009C52C4" w:rsidRDefault="00015017"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Kumulativni trošak [</w:t>
            </w:r>
            <w:r w:rsidR="005E0E3A" w:rsidRPr="009C52C4">
              <w:rPr>
                <w:rFonts w:ascii="Times New Roman" w:eastAsia="Times New Roman" w:hAnsi="Times New Roman" w:cs="Times New Roman"/>
                <w:b/>
                <w:color w:val="auto"/>
                <w:sz w:val="16"/>
                <w:szCs w:val="16"/>
              </w:rPr>
              <w:t xml:space="preserve">mil </w:t>
            </w:r>
            <w:r w:rsidRPr="009C52C4">
              <w:rPr>
                <w:rFonts w:ascii="Times New Roman" w:eastAsia="Times New Roman" w:hAnsi="Times New Roman" w:cs="Times New Roman"/>
                <w:b/>
                <w:color w:val="auto"/>
                <w:sz w:val="16"/>
                <w:szCs w:val="16"/>
              </w:rPr>
              <w:t>HRK]</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C02BD89"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328.808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02E0656"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339.204</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0B5FBB8"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349.600</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0867997"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359.995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1F37517"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370.391</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3DFC806"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386.189</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B0971C3"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401.987</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45E08AD"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417.785</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67FAF96" w14:textId="77777777" w:rsidR="00015017" w:rsidRPr="009C52C4" w:rsidRDefault="005E0E3A" w:rsidP="005E0E3A">
            <w:pPr>
              <w:jc w:val="center"/>
              <w:rPr>
                <w:rFonts w:ascii="Times New Roman" w:hAnsi="Times New Roman" w:cs="Times New Roman"/>
                <w:sz w:val="16"/>
                <w:szCs w:val="16"/>
              </w:rPr>
            </w:pPr>
            <w:r w:rsidRPr="009C52C4">
              <w:rPr>
                <w:rFonts w:ascii="Times New Roman" w:hAnsi="Times New Roman" w:cs="Times New Roman"/>
                <w:sz w:val="16"/>
                <w:szCs w:val="16"/>
              </w:rPr>
              <w:t>433.583</w:t>
            </w:r>
          </w:p>
        </w:tc>
      </w:tr>
      <w:tr w:rsidR="001C04C1" w:rsidRPr="009C52C4" w14:paraId="1E04B3B2"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54A99BC0"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godišnja stopa obnove [%]</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9C8E779"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B64D4CF"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64510D1"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2A31971"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613ACA9"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BD3BA77"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4A56DBB"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96F5435"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1EFE54B7"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1,5</w:t>
            </w:r>
          </w:p>
        </w:tc>
      </w:tr>
      <w:tr w:rsidR="001C04C1" w:rsidRPr="009C52C4" w14:paraId="302D9963"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356E6485"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obnovljena površina godišnje [mil. m²]</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7130646"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FE4A1F7"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1266834"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9788D2D"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0CCBB9C"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0946155C"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0AE1B0C"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2509725"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8C31C9E" w14:textId="77777777" w:rsidR="001C04C1" w:rsidRPr="009C52C4" w:rsidRDefault="001C04C1" w:rsidP="005E0E3A">
            <w:pPr>
              <w:jc w:val="center"/>
              <w:rPr>
                <w:rFonts w:ascii="Times New Roman" w:eastAsia="Times New Roman" w:hAnsi="Times New Roman" w:cs="Times New Roman"/>
                <w:sz w:val="16"/>
                <w:szCs w:val="16"/>
              </w:rPr>
            </w:pPr>
            <w:r w:rsidRPr="009C52C4">
              <w:rPr>
                <w:rFonts w:ascii="Times New Roman" w:eastAsia="Times New Roman" w:hAnsi="Times New Roman" w:cs="Times New Roman"/>
                <w:sz w:val="16"/>
                <w:szCs w:val="16"/>
              </w:rPr>
              <w:t>2,888</w:t>
            </w:r>
          </w:p>
        </w:tc>
      </w:tr>
      <w:tr w:rsidR="001C04C1" w:rsidRPr="009C52C4" w14:paraId="47009BB6"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60624973"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energetska ušteda godišnje [GWh]</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5A89C7E"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0884DD7"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81EF032"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5F185C1"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5DA523EA"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35FA9F1"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2807458A"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A038172"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389C2BD" w14:textId="77777777" w:rsidR="001C04C1" w:rsidRPr="009C52C4" w:rsidRDefault="001C04C1" w:rsidP="005E0E3A">
            <w:pPr>
              <w:jc w:val="center"/>
              <w:rPr>
                <w:rFonts w:ascii="Times New Roman" w:hAnsi="Times New Roman" w:cs="Times New Roman"/>
                <w:sz w:val="16"/>
                <w:szCs w:val="16"/>
              </w:rPr>
            </w:pPr>
            <w:r w:rsidRPr="009C52C4">
              <w:rPr>
                <w:rFonts w:ascii="Times New Roman" w:hAnsi="Times New Roman" w:cs="Times New Roman"/>
                <w:sz w:val="16"/>
                <w:szCs w:val="16"/>
              </w:rPr>
              <w:t>597.338</w:t>
            </w:r>
          </w:p>
        </w:tc>
      </w:tr>
      <w:tr w:rsidR="001C04C1" w:rsidRPr="009C52C4" w14:paraId="4F100EA1" w14:textId="77777777" w:rsidTr="00873572">
        <w:trPr>
          <w:trHeight w:val="267"/>
          <w:jc w:val="center"/>
        </w:trPr>
        <w:tc>
          <w:tcPr>
            <w:tcW w:w="2835" w:type="dxa"/>
            <w:tcBorders>
              <w:top w:val="single" w:sz="4" w:space="0" w:color="000000"/>
              <w:left w:val="single" w:sz="4" w:space="0" w:color="auto"/>
              <w:bottom w:val="single" w:sz="4" w:space="0" w:color="000000"/>
              <w:right w:val="single" w:sz="4" w:space="0" w:color="000000"/>
            </w:tcBorders>
            <w:shd w:val="clear" w:color="000000" w:fill="C2D69B" w:themeFill="accent3" w:themeFillTint="99"/>
            <w:vAlign w:val="center"/>
            <w:hideMark/>
          </w:tcPr>
          <w:p w14:paraId="7D6260CB" w14:textId="77777777" w:rsidR="001C04C1" w:rsidRPr="009C52C4" w:rsidRDefault="001C04C1"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Prosječna energetska ušteda godišnje [PJ]</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4228371E"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BD75EFB"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306377EF"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72FCE0DD"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A4B84B4"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E2EE87F"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189A3AB0"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323" w:type="dxa"/>
            <w:tcBorders>
              <w:top w:val="single" w:sz="4" w:space="0" w:color="000000"/>
              <w:left w:val="single" w:sz="4" w:space="0" w:color="000000"/>
              <w:bottom w:val="single" w:sz="4" w:space="0" w:color="000000"/>
              <w:right w:val="single" w:sz="4" w:space="0" w:color="000000"/>
            </w:tcBorders>
            <w:shd w:val="clear" w:color="000000" w:fill="EAF1DD" w:themeFill="accent3" w:themeFillTint="33"/>
            <w:vAlign w:val="center"/>
            <w:hideMark/>
          </w:tcPr>
          <w:p w14:paraId="6FCA30CD"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c>
          <w:tcPr>
            <w:tcW w:w="1239" w:type="dxa"/>
            <w:tcBorders>
              <w:top w:val="single" w:sz="4" w:space="0" w:color="000000"/>
              <w:left w:val="single" w:sz="4" w:space="0" w:color="000000"/>
              <w:bottom w:val="single" w:sz="4" w:space="0" w:color="000000"/>
              <w:right w:val="single" w:sz="4" w:space="0" w:color="auto"/>
            </w:tcBorders>
            <w:shd w:val="clear" w:color="000000" w:fill="EAF1DD" w:themeFill="accent3" w:themeFillTint="33"/>
            <w:vAlign w:val="center"/>
            <w:hideMark/>
          </w:tcPr>
          <w:p w14:paraId="3ABF1186" w14:textId="77777777" w:rsidR="001C04C1" w:rsidRPr="009C52C4" w:rsidRDefault="001C04C1" w:rsidP="005E0E3A">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2,15</w:t>
            </w:r>
          </w:p>
        </w:tc>
      </w:tr>
      <w:tr w:rsidR="00173EFE" w:rsidRPr="009C52C4" w14:paraId="470423E5" w14:textId="77777777" w:rsidTr="00873572">
        <w:trPr>
          <w:trHeight w:val="267"/>
          <w:jc w:val="center"/>
        </w:trPr>
        <w:tc>
          <w:tcPr>
            <w:tcW w:w="2835" w:type="dxa"/>
            <w:tcBorders>
              <w:top w:val="single" w:sz="4" w:space="0" w:color="000000"/>
              <w:left w:val="single" w:sz="4" w:space="0" w:color="auto"/>
              <w:bottom w:val="single" w:sz="4" w:space="0" w:color="auto"/>
              <w:right w:val="single" w:sz="4" w:space="0" w:color="000000"/>
            </w:tcBorders>
            <w:shd w:val="clear" w:color="000000" w:fill="C2D69B" w:themeFill="accent3" w:themeFillTint="99"/>
            <w:vAlign w:val="center"/>
          </w:tcPr>
          <w:p w14:paraId="360E253C" w14:textId="77777777" w:rsidR="00173EFE" w:rsidRPr="009C52C4" w:rsidRDefault="00173EFE" w:rsidP="001C04C1">
            <w:pPr>
              <w:jc w:val="left"/>
              <w:rPr>
                <w:rFonts w:ascii="Times New Roman" w:eastAsia="Times New Roman" w:hAnsi="Times New Roman" w:cs="Times New Roman"/>
                <w:b/>
                <w:color w:val="auto"/>
                <w:sz w:val="16"/>
                <w:szCs w:val="16"/>
              </w:rPr>
            </w:pPr>
            <w:r w:rsidRPr="009C52C4">
              <w:rPr>
                <w:rFonts w:ascii="Times New Roman" w:eastAsia="Times New Roman" w:hAnsi="Times New Roman" w:cs="Times New Roman"/>
                <w:b/>
                <w:color w:val="auto"/>
                <w:sz w:val="16"/>
                <w:szCs w:val="16"/>
              </w:rPr>
              <w:t>Prosječno smanjenje emisija CO</w:t>
            </w:r>
            <w:r w:rsidRPr="009C52C4">
              <w:rPr>
                <w:rFonts w:ascii="Times New Roman" w:eastAsia="Times New Roman" w:hAnsi="Times New Roman" w:cs="Times New Roman"/>
                <w:b/>
                <w:color w:val="auto"/>
                <w:sz w:val="16"/>
                <w:szCs w:val="16"/>
                <w:vertAlign w:val="subscript"/>
              </w:rPr>
              <w:t>2</w:t>
            </w:r>
            <w:r w:rsidRPr="009C52C4">
              <w:rPr>
                <w:rFonts w:ascii="Times New Roman" w:eastAsia="Times New Roman" w:hAnsi="Times New Roman" w:cs="Times New Roman"/>
                <w:b/>
                <w:color w:val="auto"/>
                <w:sz w:val="16"/>
                <w:szCs w:val="16"/>
              </w:rPr>
              <w:t xml:space="preserve"> [kt]</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57B7341B"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2A56CA53"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5E9C95D0"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82C273A"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10E9ADAC"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6FB84B8A"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0C36E5D9"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323" w:type="dxa"/>
            <w:tcBorders>
              <w:top w:val="single" w:sz="4" w:space="0" w:color="000000"/>
              <w:left w:val="single" w:sz="4" w:space="0" w:color="000000"/>
              <w:bottom w:val="single" w:sz="4" w:space="0" w:color="auto"/>
              <w:right w:val="single" w:sz="4" w:space="0" w:color="000000"/>
            </w:tcBorders>
            <w:shd w:val="clear" w:color="000000" w:fill="EAF1DD" w:themeFill="accent3" w:themeFillTint="33"/>
            <w:vAlign w:val="center"/>
          </w:tcPr>
          <w:p w14:paraId="311C5AEC"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c>
          <w:tcPr>
            <w:tcW w:w="1239" w:type="dxa"/>
            <w:tcBorders>
              <w:top w:val="single" w:sz="4" w:space="0" w:color="000000"/>
              <w:left w:val="single" w:sz="4" w:space="0" w:color="000000"/>
              <w:bottom w:val="single" w:sz="4" w:space="0" w:color="auto"/>
              <w:right w:val="single" w:sz="4" w:space="0" w:color="auto"/>
            </w:tcBorders>
            <w:shd w:val="clear" w:color="000000" w:fill="EAF1DD" w:themeFill="accent3" w:themeFillTint="33"/>
            <w:vAlign w:val="center"/>
          </w:tcPr>
          <w:p w14:paraId="27D8E634" w14:textId="77777777" w:rsidR="00173EFE" w:rsidRPr="009C52C4" w:rsidRDefault="00173EFE" w:rsidP="00173EFE">
            <w:pPr>
              <w:jc w:val="center"/>
              <w:rPr>
                <w:rFonts w:ascii="Times New Roman" w:hAnsi="Times New Roman" w:cs="Times New Roman"/>
                <w:color w:val="auto"/>
                <w:sz w:val="16"/>
                <w:szCs w:val="16"/>
              </w:rPr>
            </w:pPr>
            <w:r w:rsidRPr="009C52C4">
              <w:rPr>
                <w:rFonts w:ascii="Times New Roman" w:hAnsi="Times New Roman" w:cs="Times New Roman"/>
                <w:color w:val="auto"/>
                <w:sz w:val="16"/>
                <w:szCs w:val="16"/>
              </w:rPr>
              <w:t>102,67</w:t>
            </w:r>
          </w:p>
        </w:tc>
      </w:tr>
    </w:tbl>
    <w:p w14:paraId="04E1DB37" w14:textId="77777777" w:rsidR="00B122B4" w:rsidRPr="009C52C4" w:rsidRDefault="00B122B4" w:rsidP="00300191">
      <w:pPr>
        <w:pStyle w:val="Heading1"/>
        <w:ind w:left="360" w:firstLine="0"/>
        <w:rPr>
          <w:rFonts w:ascii="Times New Roman" w:hAnsi="Times New Roman" w:cs="Times New Roman"/>
          <w:sz w:val="24"/>
          <w:szCs w:val="24"/>
        </w:rPr>
      </w:pPr>
      <w:bookmarkStart w:id="278" w:name="h.2hio093" w:colFirst="0" w:colLast="0"/>
      <w:bookmarkEnd w:id="278"/>
    </w:p>
    <w:sectPr w:rsidR="00B122B4" w:rsidRPr="009C52C4" w:rsidSect="00227458">
      <w:pgSz w:w="16838" w:h="11906" w:orient="landscape"/>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226F9" w14:textId="77777777" w:rsidR="00A209E4" w:rsidRDefault="00A209E4">
      <w:r>
        <w:separator/>
      </w:r>
    </w:p>
  </w:endnote>
  <w:endnote w:type="continuationSeparator" w:id="0">
    <w:p w14:paraId="1D46EBF9" w14:textId="77777777" w:rsidR="00A209E4" w:rsidRDefault="00A20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reekC">
    <w:altName w:val="Courier New"/>
    <w:charset w:val="EE"/>
    <w:family w:val="auto"/>
    <w:pitch w:val="variable"/>
    <w:sig w:usb0="00000000" w:usb1="00000000" w:usb2="00000000"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7F718" w14:textId="01EFAC43" w:rsidR="009C52C4" w:rsidRDefault="009C52C4">
    <w:pPr>
      <w:tabs>
        <w:tab w:val="center" w:pos="4536"/>
        <w:tab w:val="right" w:pos="9072"/>
      </w:tabs>
      <w:jc w:val="center"/>
    </w:pPr>
    <w:r>
      <w:fldChar w:fldCharType="begin"/>
    </w:r>
    <w:r>
      <w:instrText>PAGE</w:instrText>
    </w:r>
    <w:r>
      <w:fldChar w:fldCharType="separate"/>
    </w:r>
    <w:r w:rsidR="00CE1304">
      <w:rPr>
        <w:noProof/>
      </w:rPr>
      <w:t>2</w:t>
    </w:r>
    <w:r>
      <w:fldChar w:fldCharType="end"/>
    </w:r>
  </w:p>
  <w:p w14:paraId="0AAF2F0F" w14:textId="77777777" w:rsidR="009C52C4" w:rsidRDefault="009C52C4">
    <w:pP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403D1" w14:textId="77777777" w:rsidR="00A209E4" w:rsidRDefault="00A209E4">
      <w:r>
        <w:separator/>
      </w:r>
    </w:p>
  </w:footnote>
  <w:footnote w:type="continuationSeparator" w:id="0">
    <w:p w14:paraId="561F96A5" w14:textId="77777777" w:rsidR="00A209E4" w:rsidRDefault="00A209E4">
      <w:r>
        <w:continuationSeparator/>
      </w:r>
    </w:p>
  </w:footnote>
  <w:footnote w:id="1">
    <w:p w14:paraId="6A041B85" w14:textId="77777777" w:rsidR="009C52C4" w:rsidRDefault="009C52C4">
      <w:pPr>
        <w:pStyle w:val="FootnoteText"/>
      </w:pPr>
      <w:r w:rsidRPr="00A32240">
        <w:rPr>
          <w:rStyle w:val="FootnoteReference"/>
          <w:sz w:val="18"/>
          <w:szCs w:val="18"/>
        </w:rPr>
        <w:footnoteRef/>
      </w:r>
      <w:r w:rsidRPr="00A32240">
        <w:rPr>
          <w:sz w:val="18"/>
          <w:szCs w:val="18"/>
        </w:rPr>
        <w:t xml:space="preserve">Europska komisija (2012), </w:t>
      </w:r>
      <w:r w:rsidRPr="00A32240">
        <w:rPr>
          <w:i/>
          <w:sz w:val="18"/>
          <w:szCs w:val="18"/>
        </w:rPr>
        <w:t>Direktiva 2012/27/EU Europskog parlamenta i Vijeća od 25. listopada 2012. o energetskoj učinkovitosti, izmjeni direktiva 2009/125/EZ i 2010/30/EU i stavljanju izvan snage direktiva 2004/8/EZ i 2006/32/EZ (Tekst značajan za EGP)</w:t>
      </w:r>
      <w:r>
        <w:rPr>
          <w:sz w:val="18"/>
          <w:szCs w:val="18"/>
        </w:rPr>
        <w:t>,</w:t>
      </w:r>
      <w:r w:rsidRPr="00A32240">
        <w:rPr>
          <w:sz w:val="18"/>
          <w:szCs w:val="18"/>
        </w:rPr>
        <w:t xml:space="preserve"> </w:t>
      </w:r>
      <w:r>
        <w:rPr>
          <w:sz w:val="18"/>
          <w:szCs w:val="18"/>
        </w:rPr>
        <w:t>d</w:t>
      </w:r>
      <w:r w:rsidRPr="00A32240">
        <w:rPr>
          <w:sz w:val="18"/>
          <w:szCs w:val="18"/>
        </w:rPr>
        <w:t xml:space="preserve">ostupno na: </w:t>
      </w:r>
      <w:hyperlink r:id="rId1" w:history="1">
        <w:r w:rsidRPr="00A32240">
          <w:rPr>
            <w:rStyle w:val="Hyperlink"/>
            <w:sz w:val="18"/>
            <w:szCs w:val="18"/>
          </w:rPr>
          <w:t>http://eur-lex.europa.eu/legal-content/HR/ALL/?uri=celex:32012L0027</w:t>
        </w:r>
      </w:hyperlink>
      <w:r w:rsidRPr="00A32240">
        <w:t xml:space="preserve"> [2012.]</w:t>
      </w:r>
    </w:p>
  </w:footnote>
  <w:footnote w:id="2">
    <w:p w14:paraId="3AA0BCC5" w14:textId="77777777" w:rsidR="009C52C4" w:rsidRPr="00A12F52" w:rsidRDefault="009C52C4" w:rsidP="001804D4">
      <w:pPr>
        <w:pStyle w:val="FootnoteText"/>
        <w:rPr>
          <w:sz w:val="18"/>
          <w:szCs w:val="18"/>
        </w:rPr>
      </w:pPr>
      <w:r w:rsidRPr="00863B31">
        <w:rPr>
          <w:rStyle w:val="FootnoteReference"/>
          <w:sz w:val="18"/>
          <w:szCs w:val="18"/>
        </w:rPr>
        <w:footnoteRef/>
      </w:r>
      <w:r w:rsidRPr="00863B31">
        <w:rPr>
          <w:sz w:val="18"/>
          <w:szCs w:val="18"/>
        </w:rPr>
        <w:t xml:space="preserve">Zakon o energetskoj učinkovitosti, </w:t>
      </w:r>
      <w:r>
        <w:rPr>
          <w:sz w:val="18"/>
          <w:szCs w:val="18"/>
        </w:rPr>
        <w:t>(„Narodne novine“ broj 127/14)</w:t>
      </w:r>
      <w:r w:rsidRPr="00863B31">
        <w:rPr>
          <w:sz w:val="18"/>
          <w:szCs w:val="18"/>
        </w:rPr>
        <w:t xml:space="preserve"> (2040), dostupno na: </w:t>
      </w:r>
      <w:hyperlink r:id="rId2" w:history="1">
        <w:r w:rsidRPr="00863B31">
          <w:rPr>
            <w:rStyle w:val="Hyperlink"/>
            <w:sz w:val="18"/>
            <w:szCs w:val="18"/>
          </w:rPr>
          <w:t>http://narodne-novine.nn.hr/clanci/sluzbeni/2014_10_127_2399.html</w:t>
        </w:r>
      </w:hyperlink>
      <w:r>
        <w:rPr>
          <w:rStyle w:val="Hyperlink"/>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3">
    <w:p w14:paraId="5F04B52B" w14:textId="77777777" w:rsidR="009C52C4" w:rsidRPr="00863B31" w:rsidRDefault="009C52C4" w:rsidP="001804D4">
      <w:pPr>
        <w:rPr>
          <w:sz w:val="18"/>
          <w:szCs w:val="18"/>
        </w:rPr>
      </w:pPr>
      <w:r w:rsidRPr="00863B31">
        <w:rPr>
          <w:color w:val="auto"/>
          <w:sz w:val="18"/>
          <w:szCs w:val="18"/>
          <w:vertAlign w:val="superscript"/>
        </w:rPr>
        <w:footnoteRef/>
      </w:r>
      <w:r w:rsidRPr="00863B31">
        <w:rPr>
          <w:color w:val="auto"/>
          <w:sz w:val="18"/>
          <w:szCs w:val="18"/>
        </w:rPr>
        <w:t xml:space="preserve">Energy roadmap 2050. Luxembourg: Publications Office of the European Union, 2012, dostupno na: </w:t>
      </w:r>
      <w:hyperlink r:id="rId3" w:history="1">
        <w:r w:rsidRPr="00863B31">
          <w:rPr>
            <w:rStyle w:val="Hyperlink"/>
            <w:sz w:val="18"/>
            <w:szCs w:val="18"/>
          </w:rPr>
          <w:t>http://ec.europa.eu/energy/sites/ener/files/documents/2012_energy_roadmap_2050_en_0.pdf</w:t>
        </w:r>
      </w:hyperlink>
      <w:r>
        <w:rPr>
          <w:color w:val="auto"/>
          <w:sz w:val="18"/>
          <w:szCs w:val="18"/>
        </w:rPr>
        <w:t xml:space="preserve"> [19. svibnja 2017.]</w:t>
      </w:r>
      <w:hyperlink r:id="rId4"/>
    </w:p>
  </w:footnote>
  <w:footnote w:id="4">
    <w:p w14:paraId="52A72197" w14:textId="77777777" w:rsidR="009C52C4" w:rsidRPr="008D3F85" w:rsidRDefault="009C52C4" w:rsidP="001804D4">
      <w:pPr>
        <w:pStyle w:val="FootnoteText"/>
        <w:rPr>
          <w:sz w:val="18"/>
          <w:szCs w:val="18"/>
        </w:rPr>
      </w:pPr>
      <w:r w:rsidRPr="008D3F85">
        <w:rPr>
          <w:rStyle w:val="FootnoteReference"/>
          <w:sz w:val="18"/>
          <w:szCs w:val="18"/>
        </w:rPr>
        <w:footnoteRef/>
      </w:r>
      <w:r w:rsidRPr="002F4C8D">
        <w:rPr>
          <w:sz w:val="18"/>
          <w:szCs w:val="18"/>
        </w:rPr>
        <w:t>Europska komisija (201</w:t>
      </w:r>
      <w:r>
        <w:rPr>
          <w:sz w:val="18"/>
          <w:szCs w:val="18"/>
        </w:rPr>
        <w:t>6</w:t>
      </w:r>
      <w:r w:rsidRPr="002F4C8D">
        <w:rPr>
          <w:sz w:val="18"/>
          <w:szCs w:val="18"/>
        </w:rPr>
        <w:t xml:space="preserve">), </w:t>
      </w:r>
      <w:r>
        <w:rPr>
          <w:i/>
          <w:sz w:val="18"/>
          <w:szCs w:val="18"/>
        </w:rPr>
        <w:t>Prijedlog</w:t>
      </w:r>
      <w:r w:rsidRPr="002F4C8D">
        <w:rPr>
          <w:i/>
          <w:sz w:val="18"/>
          <w:szCs w:val="18"/>
        </w:rPr>
        <w:t xml:space="preserve"> Direktive Europskog parlamenta i Vijeća o izmjeni Direktive 2010/31/EU o energetskim svojstvima zgrada (Tekst značajan za EGP)</w:t>
      </w:r>
      <w:r>
        <w:rPr>
          <w:sz w:val="18"/>
          <w:szCs w:val="18"/>
        </w:rPr>
        <w:t>,</w:t>
      </w:r>
      <w:r w:rsidRPr="002F4C8D">
        <w:rPr>
          <w:sz w:val="18"/>
          <w:szCs w:val="18"/>
        </w:rPr>
        <w:t xml:space="preserve"> </w:t>
      </w:r>
      <w:r>
        <w:rPr>
          <w:sz w:val="18"/>
          <w:szCs w:val="18"/>
        </w:rPr>
        <w:t>d</w:t>
      </w:r>
      <w:r w:rsidRPr="008D3F85">
        <w:rPr>
          <w:sz w:val="18"/>
          <w:szCs w:val="18"/>
        </w:rPr>
        <w:t xml:space="preserve">ostupno na </w:t>
      </w:r>
      <w:hyperlink r:id="rId5" w:history="1">
        <w:r w:rsidRPr="00AF0F61">
          <w:rPr>
            <w:rStyle w:val="Hyperlink"/>
            <w:sz w:val="18"/>
            <w:szCs w:val="18"/>
          </w:rPr>
          <w:t>http://eur-lex.europa.eu/legal-content/HR/TXT/?uri=COM%3A2016%3A765%3AFIN</w:t>
        </w:r>
      </w:hyperlink>
      <w:r>
        <w:rPr>
          <w:sz w:val="18"/>
          <w:szCs w:val="18"/>
        </w:rPr>
        <w:t xml:space="preserve"> [30. travnja 2017.]</w:t>
      </w:r>
    </w:p>
  </w:footnote>
  <w:footnote w:id="5">
    <w:p w14:paraId="70C07811" w14:textId="77777777" w:rsidR="009C52C4" w:rsidRPr="002C4B9C" w:rsidRDefault="009C52C4">
      <w:pPr>
        <w:pStyle w:val="FootnoteText"/>
        <w:rPr>
          <w:sz w:val="18"/>
          <w:szCs w:val="18"/>
        </w:rPr>
      </w:pPr>
      <w:r w:rsidRPr="002C4B9C">
        <w:rPr>
          <w:rStyle w:val="FootnoteReference"/>
          <w:sz w:val="18"/>
          <w:szCs w:val="18"/>
        </w:rPr>
        <w:footnoteRef/>
      </w:r>
      <w:r w:rsidRPr="002C4B9C">
        <w:rPr>
          <w:sz w:val="18"/>
          <w:szCs w:val="18"/>
        </w:rPr>
        <w:t xml:space="preserve">Europska komisija (2010), </w:t>
      </w:r>
      <w:r>
        <w:rPr>
          <w:i/>
          <w:sz w:val="18"/>
          <w:szCs w:val="18"/>
        </w:rPr>
        <w:t>Direktiva</w:t>
      </w:r>
      <w:r w:rsidRPr="002C4B9C">
        <w:rPr>
          <w:i/>
          <w:sz w:val="18"/>
          <w:szCs w:val="18"/>
        </w:rPr>
        <w:t xml:space="preserve"> 2010/31/EU </w:t>
      </w:r>
      <w:r>
        <w:rPr>
          <w:i/>
          <w:sz w:val="18"/>
          <w:szCs w:val="18"/>
        </w:rPr>
        <w:t>Europskog parlamenta i Vijeća od 19. svibnja 2010. o energetskoj učinkovitosti zgrada (preinaka)</w:t>
      </w:r>
      <w:r>
        <w:rPr>
          <w:sz w:val="18"/>
          <w:szCs w:val="18"/>
        </w:rPr>
        <w:t>, d</w:t>
      </w:r>
      <w:r w:rsidRPr="002C4B9C">
        <w:rPr>
          <w:sz w:val="18"/>
          <w:szCs w:val="18"/>
        </w:rPr>
        <w:t xml:space="preserve">ostupno na: </w:t>
      </w:r>
      <w:hyperlink r:id="rId6" w:history="1">
        <w:r w:rsidRPr="00AF0F61">
          <w:rPr>
            <w:rStyle w:val="Hyperlink"/>
            <w:sz w:val="18"/>
            <w:szCs w:val="18"/>
          </w:rPr>
          <w:t>http://eur-lex.europa.eu/legal-content/HR/TXT/?uri=CELEX%3A32010L0031</w:t>
        </w:r>
      </w:hyperlink>
      <w:r w:rsidRPr="002C4B9C">
        <w:rPr>
          <w:sz w:val="18"/>
          <w:szCs w:val="18"/>
        </w:rPr>
        <w:t xml:space="preserve"> [2010.]</w:t>
      </w:r>
    </w:p>
  </w:footnote>
  <w:footnote w:id="6">
    <w:p w14:paraId="22CB18B1" w14:textId="77777777" w:rsidR="009C52C4" w:rsidRPr="00327450" w:rsidRDefault="009C52C4">
      <w:pPr>
        <w:pStyle w:val="FootnoteText"/>
        <w:rPr>
          <w:sz w:val="18"/>
          <w:szCs w:val="18"/>
        </w:rPr>
      </w:pPr>
      <w:r w:rsidRPr="00327450">
        <w:rPr>
          <w:rStyle w:val="FootnoteReference"/>
          <w:sz w:val="18"/>
          <w:szCs w:val="18"/>
        </w:rPr>
        <w:footnoteRef/>
      </w:r>
      <w:r w:rsidRPr="00327450">
        <w:rPr>
          <w:sz w:val="18"/>
          <w:szCs w:val="18"/>
        </w:rPr>
        <w:t xml:space="preserve">Europska komisija (2009), </w:t>
      </w:r>
      <w:r w:rsidRPr="00327450">
        <w:rPr>
          <w:i/>
          <w:sz w:val="18"/>
          <w:szCs w:val="18"/>
        </w:rPr>
        <w:t>Direktiva 2009/28/EZ Europskog parlamenta i Vijeća od 23. travnja 2009. o promicanju uporabe energije iz obnovljivih izvora te o izmjeni i kasnijem stavljanju izvan snage direktiva 2001/77/EZ i 2003/30/EZ (Tekst značajan za EGP)</w:t>
      </w:r>
      <w:r w:rsidRPr="00327450">
        <w:rPr>
          <w:sz w:val="18"/>
          <w:szCs w:val="18"/>
        </w:rPr>
        <w:t xml:space="preserve">, dostupno na: </w:t>
      </w:r>
      <w:hyperlink r:id="rId7" w:history="1">
        <w:r w:rsidRPr="00327450">
          <w:rPr>
            <w:rStyle w:val="Hyperlink"/>
            <w:sz w:val="18"/>
            <w:szCs w:val="18"/>
          </w:rPr>
          <w:t>http://eur-lex.europa.eu/legal-content/HR/TXT/?uri=CELEX%3A32009L0028</w:t>
        </w:r>
      </w:hyperlink>
      <w:r>
        <w:rPr>
          <w:sz w:val="18"/>
          <w:szCs w:val="18"/>
        </w:rPr>
        <w:t xml:space="preserve"> [2009.]</w:t>
      </w:r>
    </w:p>
  </w:footnote>
  <w:footnote w:id="7">
    <w:p w14:paraId="647F0328" w14:textId="77777777" w:rsidR="009C52C4" w:rsidRPr="00A12F52" w:rsidRDefault="009C52C4" w:rsidP="002F1F4B">
      <w:pPr>
        <w:pStyle w:val="FootnoteText"/>
        <w:jc w:val="left"/>
        <w:rPr>
          <w:sz w:val="18"/>
          <w:szCs w:val="18"/>
        </w:rPr>
      </w:pPr>
      <w:r w:rsidRPr="00A12F52">
        <w:rPr>
          <w:rStyle w:val="FootnoteReference"/>
          <w:sz w:val="18"/>
          <w:szCs w:val="18"/>
        </w:rPr>
        <w:footnoteRef/>
      </w:r>
      <w:r w:rsidRPr="006D1EC9">
        <w:rPr>
          <w:sz w:val="18"/>
          <w:szCs w:val="18"/>
        </w:rPr>
        <w:t>Nacionalni plan za povećanje zgrada gotovo nulte energije do 2020. godine</w:t>
      </w:r>
      <w:r>
        <w:rPr>
          <w:sz w:val="18"/>
          <w:szCs w:val="18"/>
        </w:rPr>
        <w:t>,</w:t>
      </w:r>
      <w:r w:rsidRPr="006D1EC9">
        <w:rPr>
          <w:sz w:val="18"/>
          <w:szCs w:val="18"/>
        </w:rPr>
        <w:t xml:space="preserve"> </w:t>
      </w:r>
      <w:r>
        <w:rPr>
          <w:sz w:val="18"/>
          <w:szCs w:val="18"/>
        </w:rPr>
        <w:t>prosinac</w:t>
      </w:r>
      <w:r w:rsidRPr="006D1EC9">
        <w:rPr>
          <w:sz w:val="18"/>
          <w:szCs w:val="18"/>
        </w:rPr>
        <w:t xml:space="preserve"> 2014., Ministarstvo graditeljstva i prostornoga uređenja</w:t>
      </w:r>
      <w:r>
        <w:rPr>
          <w:sz w:val="18"/>
          <w:szCs w:val="18"/>
        </w:rPr>
        <w:t>,</w:t>
      </w:r>
      <w:r w:rsidRPr="006D1EC9">
        <w:rPr>
          <w:sz w:val="18"/>
          <w:szCs w:val="18"/>
        </w:rPr>
        <w:t xml:space="preserve"> </w:t>
      </w:r>
      <w:r>
        <w:rPr>
          <w:sz w:val="18"/>
          <w:szCs w:val="18"/>
        </w:rPr>
        <w:t xml:space="preserve">dostupno na: </w:t>
      </w:r>
      <w:hyperlink r:id="rId8" w:history="1">
        <w:r w:rsidRPr="00A12F52">
          <w:rPr>
            <w:rStyle w:val="Hyperlink"/>
            <w:sz w:val="18"/>
            <w:szCs w:val="18"/>
          </w:rPr>
          <w:t>http://www.mgipu.hr/doc/Propisi/PLAN_PBZ_0_energije_do_2020.pdf</w:t>
        </w:r>
      </w:hyperlink>
      <w:r>
        <w:rPr>
          <w:rStyle w:val="Hyperlink"/>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8">
    <w:p w14:paraId="77A912F5" w14:textId="77777777" w:rsidR="009C52C4" w:rsidRPr="00A12F52" w:rsidRDefault="009C52C4" w:rsidP="002F1F4B">
      <w:pPr>
        <w:jc w:val="left"/>
        <w:rPr>
          <w:sz w:val="18"/>
          <w:szCs w:val="18"/>
        </w:rPr>
      </w:pPr>
      <w:r w:rsidRPr="00A12F52">
        <w:rPr>
          <w:sz w:val="18"/>
          <w:szCs w:val="18"/>
          <w:vertAlign w:val="superscript"/>
        </w:rPr>
        <w:footnoteRef/>
      </w:r>
      <w:r w:rsidRPr="00A12F52">
        <w:rPr>
          <w:sz w:val="18"/>
          <w:szCs w:val="18"/>
        </w:rPr>
        <w:t>Nacionalni program energetske učinkovitosti za razdoblje 2008.-2016. godine, Ministarstvo gospodarstva, ožujak 2010., dostupno na</w:t>
      </w:r>
      <w:r>
        <w:rPr>
          <w:sz w:val="18"/>
          <w:szCs w:val="18"/>
        </w:rPr>
        <w:t>:</w:t>
      </w:r>
      <w:r w:rsidRPr="00A12F52">
        <w:rPr>
          <w:sz w:val="18"/>
          <w:szCs w:val="18"/>
        </w:rPr>
        <w:t xml:space="preserve"> </w:t>
      </w:r>
      <w:hyperlink r:id="rId9" w:history="1">
        <w:r w:rsidRPr="00170BCC">
          <w:rPr>
            <w:rStyle w:val="Hyperlink"/>
            <w:sz w:val="18"/>
            <w:szCs w:val="18"/>
          </w:rPr>
          <w:t>http://www.mingo.hr/userdocsimages/energetika/Nacionalni%20program%20energetske%20u%C4%8Dinkovitosti%202008.%20-%202010..pdf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9">
    <w:p w14:paraId="2C4943C1" w14:textId="16979CFD" w:rsidR="009C52C4" w:rsidRPr="00A12F52" w:rsidRDefault="009C52C4" w:rsidP="002F1F4B">
      <w:pPr>
        <w:jc w:val="left"/>
        <w:rPr>
          <w:sz w:val="18"/>
          <w:szCs w:val="18"/>
        </w:rPr>
      </w:pPr>
      <w:r w:rsidRPr="00A12F52">
        <w:rPr>
          <w:sz w:val="18"/>
          <w:szCs w:val="18"/>
          <w:vertAlign w:val="superscript"/>
        </w:rPr>
        <w:footnoteRef/>
      </w:r>
      <w:r>
        <w:rPr>
          <w:sz w:val="18"/>
          <w:szCs w:val="18"/>
        </w:rPr>
        <w:t>Drugi</w:t>
      </w:r>
      <w:r w:rsidRPr="00A12F52">
        <w:rPr>
          <w:sz w:val="18"/>
          <w:szCs w:val="18"/>
        </w:rPr>
        <w:t xml:space="preserve"> Nacionalni akcijski plan energetske učinkovitosti za razdoblje </w:t>
      </w:r>
      <w:r>
        <w:rPr>
          <w:sz w:val="18"/>
          <w:szCs w:val="18"/>
        </w:rPr>
        <w:t xml:space="preserve">do kraja </w:t>
      </w:r>
      <w:r w:rsidRPr="00A12F52">
        <w:rPr>
          <w:sz w:val="18"/>
          <w:szCs w:val="18"/>
        </w:rPr>
        <w:t xml:space="preserve">2013, Ministarstvo gospodarstva, </w:t>
      </w:r>
      <w:r>
        <w:rPr>
          <w:sz w:val="18"/>
          <w:szCs w:val="18"/>
        </w:rPr>
        <w:t>veljača 2013.,</w:t>
      </w:r>
      <w:r w:rsidRPr="00A12F52">
        <w:rPr>
          <w:sz w:val="18"/>
          <w:szCs w:val="18"/>
        </w:rPr>
        <w:t xml:space="preserve"> dostupno na</w:t>
      </w:r>
      <w:r>
        <w:rPr>
          <w:sz w:val="18"/>
          <w:szCs w:val="18"/>
        </w:rPr>
        <w:t>:</w:t>
      </w:r>
      <w:r w:rsidRPr="00A12F52">
        <w:rPr>
          <w:sz w:val="18"/>
          <w:szCs w:val="18"/>
        </w:rPr>
        <w:t xml:space="preserve"> </w:t>
      </w:r>
      <w:hyperlink r:id="rId10" w:history="1">
        <w:r w:rsidRPr="00170BCC">
          <w:rPr>
            <w:rStyle w:val="Hyperlink"/>
            <w:sz w:val="18"/>
            <w:szCs w:val="18"/>
          </w:rPr>
          <w:t>http://www.mingo.hr/userdocsimages/2.%20Nacionalni%20akcijski%20plan%20energetske%20ucinkovitosti%20za%20razdoblje%20do%20kraja%202013.pdf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0">
    <w:p w14:paraId="11B91B9B" w14:textId="77777777" w:rsidR="009C52C4" w:rsidRPr="006D1EC9" w:rsidRDefault="009C52C4" w:rsidP="002F1F4B">
      <w:pPr>
        <w:pStyle w:val="FootnoteText"/>
        <w:jc w:val="left"/>
        <w:rPr>
          <w:sz w:val="18"/>
          <w:szCs w:val="18"/>
        </w:rPr>
      </w:pPr>
      <w:r w:rsidRPr="006D1EC9">
        <w:rPr>
          <w:rStyle w:val="FootnoteReference"/>
          <w:sz w:val="18"/>
          <w:szCs w:val="18"/>
        </w:rPr>
        <w:footnoteRef/>
      </w:r>
      <w:r>
        <w:rPr>
          <w:sz w:val="18"/>
          <w:szCs w:val="18"/>
        </w:rPr>
        <w:t>Treći</w:t>
      </w:r>
      <w:r w:rsidRPr="006D1EC9">
        <w:rPr>
          <w:sz w:val="18"/>
          <w:szCs w:val="18"/>
        </w:rPr>
        <w:t xml:space="preserve"> Nacionalni akcijski plan energetske učinkovitosti za razdoblje 2014.-2016. godine</w:t>
      </w:r>
      <w:r>
        <w:rPr>
          <w:sz w:val="18"/>
          <w:szCs w:val="18"/>
        </w:rPr>
        <w:t xml:space="preserve">, </w:t>
      </w:r>
      <w:r w:rsidRPr="006D1EC9">
        <w:rPr>
          <w:sz w:val="18"/>
          <w:szCs w:val="18"/>
        </w:rPr>
        <w:t xml:space="preserve">Ministarstvo gospodarstva, </w:t>
      </w:r>
      <w:r>
        <w:rPr>
          <w:sz w:val="18"/>
          <w:szCs w:val="18"/>
        </w:rPr>
        <w:t>srpanj</w:t>
      </w:r>
      <w:r w:rsidRPr="006D1EC9">
        <w:rPr>
          <w:sz w:val="18"/>
          <w:szCs w:val="18"/>
        </w:rPr>
        <w:t xml:space="preserve"> 201</w:t>
      </w:r>
      <w:r>
        <w:rPr>
          <w:sz w:val="18"/>
          <w:szCs w:val="18"/>
        </w:rPr>
        <w:t>4</w:t>
      </w:r>
      <w:r w:rsidRPr="006D1EC9">
        <w:rPr>
          <w:sz w:val="18"/>
          <w:szCs w:val="18"/>
        </w:rPr>
        <w:t>., dostupno na</w:t>
      </w:r>
      <w:r>
        <w:rPr>
          <w:sz w:val="18"/>
          <w:szCs w:val="18"/>
        </w:rPr>
        <w:t>:</w:t>
      </w:r>
      <w:r w:rsidRPr="006D1EC9">
        <w:rPr>
          <w:sz w:val="18"/>
          <w:szCs w:val="18"/>
        </w:rPr>
        <w:t xml:space="preserve"> </w:t>
      </w:r>
      <w:hyperlink r:id="rId11" w:history="1">
        <w:r w:rsidRPr="00A56C1B">
          <w:rPr>
            <w:rStyle w:val="Hyperlink"/>
            <w:sz w:val="18"/>
            <w:szCs w:val="18"/>
          </w:rPr>
          <w:t>http://www.mingo.hr/public/3%20Nacionalni_akcijski_plan.pdf</w:t>
        </w:r>
      </w:hyperlink>
      <w:r>
        <w:rPr>
          <w:rStyle w:val="Hyperlink"/>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1">
    <w:p w14:paraId="0564D0A5" w14:textId="77777777" w:rsidR="009C52C4" w:rsidRPr="00A12F52" w:rsidRDefault="009C52C4" w:rsidP="00D97178">
      <w:pPr>
        <w:rPr>
          <w:sz w:val="18"/>
          <w:szCs w:val="18"/>
        </w:rPr>
      </w:pPr>
      <w:r w:rsidRPr="00A12F52">
        <w:rPr>
          <w:sz w:val="18"/>
          <w:szCs w:val="18"/>
          <w:vertAlign w:val="superscript"/>
        </w:rPr>
        <w:footnoteRef/>
      </w:r>
      <w:r w:rsidRPr="00A12F52">
        <w:rPr>
          <w:sz w:val="18"/>
          <w:szCs w:val="18"/>
        </w:rPr>
        <w:t xml:space="preserve">Program energetske obnove obiteljskih kuća za razdoblje od 2014. do 2020. godine s detaljnim planom za razdoblje od 2014. do 2016. godine, </w:t>
      </w:r>
      <w:r>
        <w:rPr>
          <w:sz w:val="18"/>
          <w:szCs w:val="18"/>
        </w:rPr>
        <w:t>ožujak</w:t>
      </w:r>
      <w:r w:rsidRPr="00A12F52">
        <w:rPr>
          <w:sz w:val="18"/>
          <w:szCs w:val="18"/>
        </w:rPr>
        <w:t xml:space="preserve"> 201</w:t>
      </w:r>
      <w:r>
        <w:rPr>
          <w:sz w:val="18"/>
          <w:szCs w:val="18"/>
        </w:rPr>
        <w:t>4</w:t>
      </w:r>
      <w:r w:rsidRPr="00A12F52">
        <w:rPr>
          <w:sz w:val="18"/>
          <w:szCs w:val="18"/>
        </w:rPr>
        <w:t>., Ministarstvo graditeljstva i prostornog</w:t>
      </w:r>
      <w:r>
        <w:rPr>
          <w:sz w:val="18"/>
          <w:szCs w:val="18"/>
        </w:rPr>
        <w:t>a</w:t>
      </w:r>
      <w:r w:rsidRPr="00A12F52">
        <w:rPr>
          <w:sz w:val="18"/>
          <w:szCs w:val="18"/>
        </w:rPr>
        <w:t xml:space="preserve"> uređenja, dostupno na</w:t>
      </w:r>
      <w:r>
        <w:rPr>
          <w:sz w:val="18"/>
          <w:szCs w:val="18"/>
        </w:rPr>
        <w:t>:</w:t>
      </w:r>
      <w:r w:rsidRPr="00A12F52">
        <w:rPr>
          <w:sz w:val="18"/>
          <w:szCs w:val="18"/>
        </w:rPr>
        <w:t xml:space="preserve"> </w:t>
      </w:r>
      <w:hyperlink r:id="rId12" w:history="1">
        <w:r w:rsidRPr="00170BCC">
          <w:rPr>
            <w:rStyle w:val="Hyperlink"/>
            <w:sz w:val="18"/>
            <w:szCs w:val="18"/>
          </w:rPr>
          <w:t>http://narodne-novine.nn.hr/clanci/sluzbeni/dodatni/431066.pdf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2">
    <w:p w14:paraId="07A4FA6C" w14:textId="77777777" w:rsidR="009C52C4" w:rsidRPr="00A12F52" w:rsidRDefault="009C52C4" w:rsidP="00D97178">
      <w:pPr>
        <w:pStyle w:val="FootnoteText"/>
        <w:rPr>
          <w:sz w:val="18"/>
          <w:szCs w:val="18"/>
        </w:rPr>
      </w:pPr>
      <w:r w:rsidRPr="00A12F52">
        <w:rPr>
          <w:rStyle w:val="FootnoteReference"/>
          <w:sz w:val="18"/>
          <w:szCs w:val="18"/>
        </w:rPr>
        <w:footnoteRef/>
      </w:r>
      <w:r w:rsidRPr="00A12F52">
        <w:rPr>
          <w:sz w:val="18"/>
          <w:szCs w:val="18"/>
        </w:rPr>
        <w:t>Program energetske obnove višestambenih zgrada za razdoblje od 2014. do 2020. godine s detaljnim planom za raz</w:t>
      </w:r>
      <w:r>
        <w:rPr>
          <w:sz w:val="18"/>
          <w:szCs w:val="18"/>
        </w:rPr>
        <w:t>doblje od 2014. do 2016. godine, svibanj</w:t>
      </w:r>
      <w:r w:rsidRPr="00A12F52">
        <w:rPr>
          <w:sz w:val="18"/>
          <w:szCs w:val="18"/>
        </w:rPr>
        <w:t xml:space="preserve"> 2014., Ministarstvo graditeljstva i prostornoga uređenja, dostupno na</w:t>
      </w:r>
      <w:r>
        <w:rPr>
          <w:sz w:val="18"/>
          <w:szCs w:val="18"/>
        </w:rPr>
        <w:t xml:space="preserve">: </w:t>
      </w:r>
      <w:hyperlink r:id="rId13" w:history="1">
        <w:r w:rsidRPr="00170BCC">
          <w:rPr>
            <w:rStyle w:val="Hyperlink"/>
            <w:sz w:val="18"/>
            <w:szCs w:val="18"/>
          </w:rPr>
          <w:t>http://www.mgipu.hr/doc/Propisi/Program_EO_VS_ZGRADE.pdf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3">
    <w:p w14:paraId="5F27C8B7" w14:textId="77777777" w:rsidR="009C52C4" w:rsidRPr="00A12F52" w:rsidRDefault="009C52C4" w:rsidP="00D97178">
      <w:pPr>
        <w:rPr>
          <w:sz w:val="18"/>
          <w:szCs w:val="18"/>
        </w:rPr>
      </w:pPr>
      <w:r w:rsidRPr="00A12F52">
        <w:rPr>
          <w:sz w:val="18"/>
          <w:szCs w:val="18"/>
          <w:vertAlign w:val="superscript"/>
        </w:rPr>
        <w:footnoteRef/>
      </w:r>
      <w:r>
        <w:rPr>
          <w:sz w:val="18"/>
          <w:szCs w:val="18"/>
        </w:rPr>
        <w:t>P</w:t>
      </w:r>
      <w:r w:rsidRPr="00A12F52">
        <w:rPr>
          <w:sz w:val="18"/>
          <w:szCs w:val="18"/>
        </w:rPr>
        <w:t>rogram energetske obnove komercijalni</w:t>
      </w:r>
      <w:r>
        <w:rPr>
          <w:sz w:val="18"/>
          <w:szCs w:val="18"/>
        </w:rPr>
        <w:t>h</w:t>
      </w:r>
      <w:r w:rsidRPr="00A12F52">
        <w:rPr>
          <w:sz w:val="18"/>
          <w:szCs w:val="18"/>
        </w:rPr>
        <w:t xml:space="preserve"> </w:t>
      </w:r>
      <w:r>
        <w:rPr>
          <w:sz w:val="18"/>
          <w:szCs w:val="18"/>
        </w:rPr>
        <w:t xml:space="preserve">nestambenih </w:t>
      </w:r>
      <w:r w:rsidRPr="00A12F52">
        <w:rPr>
          <w:sz w:val="18"/>
          <w:szCs w:val="18"/>
        </w:rPr>
        <w:t>zgrada za razdoblje od 201</w:t>
      </w:r>
      <w:r>
        <w:rPr>
          <w:sz w:val="18"/>
          <w:szCs w:val="18"/>
        </w:rPr>
        <w:t>4</w:t>
      </w:r>
      <w:r w:rsidRPr="00A12F52">
        <w:rPr>
          <w:sz w:val="18"/>
          <w:szCs w:val="18"/>
        </w:rPr>
        <w:t>. do 2020. godine s detaljnim planom energetske obnove komercijalni</w:t>
      </w:r>
      <w:r>
        <w:rPr>
          <w:sz w:val="18"/>
          <w:szCs w:val="18"/>
        </w:rPr>
        <w:t>h</w:t>
      </w:r>
      <w:r w:rsidRPr="00A12F52">
        <w:rPr>
          <w:sz w:val="18"/>
          <w:szCs w:val="18"/>
        </w:rPr>
        <w:t xml:space="preserve"> </w:t>
      </w:r>
      <w:r>
        <w:rPr>
          <w:sz w:val="18"/>
          <w:szCs w:val="18"/>
        </w:rPr>
        <w:t xml:space="preserve">nestambenih </w:t>
      </w:r>
      <w:r w:rsidRPr="00A12F52">
        <w:rPr>
          <w:sz w:val="18"/>
          <w:szCs w:val="18"/>
        </w:rPr>
        <w:t xml:space="preserve">zgrada za razdoblje </w:t>
      </w:r>
      <w:r>
        <w:rPr>
          <w:sz w:val="18"/>
          <w:szCs w:val="18"/>
        </w:rPr>
        <w:t xml:space="preserve">od </w:t>
      </w:r>
      <w:r w:rsidRPr="00A12F52">
        <w:rPr>
          <w:sz w:val="18"/>
          <w:szCs w:val="18"/>
        </w:rPr>
        <w:t>201</w:t>
      </w:r>
      <w:r>
        <w:rPr>
          <w:sz w:val="18"/>
          <w:szCs w:val="18"/>
        </w:rPr>
        <w:t>4</w:t>
      </w:r>
      <w:r w:rsidRPr="00A12F52">
        <w:rPr>
          <w:sz w:val="18"/>
          <w:szCs w:val="18"/>
        </w:rPr>
        <w:t>.</w:t>
      </w:r>
      <w:r>
        <w:rPr>
          <w:sz w:val="18"/>
          <w:szCs w:val="18"/>
        </w:rPr>
        <w:t xml:space="preserve"> do </w:t>
      </w:r>
      <w:r w:rsidRPr="00A12F52">
        <w:rPr>
          <w:sz w:val="18"/>
          <w:szCs w:val="18"/>
        </w:rPr>
        <w:t xml:space="preserve">2016., </w:t>
      </w:r>
      <w:r>
        <w:rPr>
          <w:sz w:val="18"/>
          <w:szCs w:val="18"/>
        </w:rPr>
        <w:t>srpanj</w:t>
      </w:r>
      <w:r w:rsidRPr="00A12F52">
        <w:rPr>
          <w:sz w:val="18"/>
          <w:szCs w:val="18"/>
        </w:rPr>
        <w:t xml:space="preserve"> 201</w:t>
      </w:r>
      <w:r>
        <w:rPr>
          <w:sz w:val="18"/>
          <w:szCs w:val="18"/>
        </w:rPr>
        <w:t>4</w:t>
      </w:r>
      <w:r w:rsidRPr="00A12F52">
        <w:rPr>
          <w:sz w:val="18"/>
          <w:szCs w:val="18"/>
        </w:rPr>
        <w:t>., Ministarstvo graditeljstva i prostornog</w:t>
      </w:r>
      <w:r>
        <w:rPr>
          <w:sz w:val="18"/>
          <w:szCs w:val="18"/>
        </w:rPr>
        <w:t>a</w:t>
      </w:r>
      <w:r w:rsidRPr="00A12F52">
        <w:rPr>
          <w:sz w:val="18"/>
          <w:szCs w:val="18"/>
        </w:rPr>
        <w:t xml:space="preserve"> uređenja, dostupno na</w:t>
      </w:r>
      <w:r>
        <w:rPr>
          <w:sz w:val="18"/>
          <w:szCs w:val="18"/>
        </w:rPr>
        <w:t>:</w:t>
      </w:r>
      <w:r w:rsidRPr="00A12F52">
        <w:rPr>
          <w:sz w:val="18"/>
          <w:szCs w:val="18"/>
        </w:rPr>
        <w:t xml:space="preserve"> </w:t>
      </w:r>
      <w:hyperlink r:id="rId14" w:history="1">
        <w:r w:rsidRPr="00170BCC">
          <w:rPr>
            <w:rStyle w:val="Hyperlink"/>
            <w:sz w:val="18"/>
            <w:szCs w:val="18"/>
          </w:rPr>
          <w:t>http://narodne-novine.nn.hr/clanci/sluzbeni/dodatni/432768.pdf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4">
    <w:p w14:paraId="144BF943" w14:textId="77777777" w:rsidR="009C52C4" w:rsidRPr="00C84374" w:rsidRDefault="009C52C4" w:rsidP="00D97178">
      <w:pPr>
        <w:pStyle w:val="FootnoteText"/>
        <w:rPr>
          <w:sz w:val="18"/>
          <w:szCs w:val="18"/>
        </w:rPr>
      </w:pPr>
      <w:r w:rsidRPr="00C84374">
        <w:rPr>
          <w:rStyle w:val="FootnoteReference"/>
          <w:sz w:val="18"/>
          <w:szCs w:val="18"/>
        </w:rPr>
        <w:footnoteRef/>
      </w:r>
      <w:r w:rsidRPr="00C84374">
        <w:rPr>
          <w:sz w:val="18"/>
          <w:szCs w:val="18"/>
        </w:rPr>
        <w:t xml:space="preserve">Program energetske obnove zgrada javnog sektora za razdoblje od 2014. do 2015. godine, </w:t>
      </w:r>
      <w:r>
        <w:rPr>
          <w:sz w:val="18"/>
          <w:szCs w:val="18"/>
        </w:rPr>
        <w:t>listopad</w:t>
      </w:r>
      <w:r w:rsidRPr="00C84374">
        <w:rPr>
          <w:sz w:val="18"/>
          <w:szCs w:val="18"/>
        </w:rPr>
        <w:t xml:space="preserve"> 2013., Ministarstvo graditeljstva i prostornog</w:t>
      </w:r>
      <w:r>
        <w:rPr>
          <w:sz w:val="18"/>
          <w:szCs w:val="18"/>
        </w:rPr>
        <w:t>a</w:t>
      </w:r>
      <w:r w:rsidRPr="00C84374">
        <w:rPr>
          <w:sz w:val="18"/>
          <w:szCs w:val="18"/>
        </w:rPr>
        <w:t xml:space="preserve"> uređenja, dostupno na</w:t>
      </w:r>
      <w:r>
        <w:rPr>
          <w:sz w:val="18"/>
          <w:szCs w:val="18"/>
        </w:rPr>
        <w:t>:</w:t>
      </w:r>
      <w:r w:rsidRPr="00C84374">
        <w:rPr>
          <w:sz w:val="18"/>
          <w:szCs w:val="18"/>
        </w:rPr>
        <w:t xml:space="preserve"> </w:t>
      </w:r>
      <w:hyperlink r:id="rId15" w:history="1">
        <w:r w:rsidRPr="00170BCC">
          <w:rPr>
            <w:rStyle w:val="Hyperlink"/>
            <w:sz w:val="18"/>
            <w:szCs w:val="18"/>
          </w:rPr>
          <w:t>http://www.mgipu.hr/doc/EnergetskaUcinkovitost/Program_energetske_obnove_javnih_zgrada_2014-2015.pdf</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5">
    <w:p w14:paraId="41A63E94" w14:textId="77777777" w:rsidR="009C52C4" w:rsidRPr="00A12F52" w:rsidRDefault="009C52C4" w:rsidP="00D97178">
      <w:pPr>
        <w:rPr>
          <w:sz w:val="18"/>
          <w:szCs w:val="18"/>
        </w:rPr>
      </w:pPr>
      <w:r w:rsidRPr="00A12F52">
        <w:rPr>
          <w:sz w:val="18"/>
          <w:szCs w:val="18"/>
          <w:vertAlign w:val="superscript"/>
        </w:rPr>
        <w:footnoteRef/>
      </w:r>
      <w:r w:rsidRPr="00A12F52">
        <w:rPr>
          <w:sz w:val="18"/>
          <w:szCs w:val="18"/>
        </w:rPr>
        <w:t>Program energetske obnove zgrada javnog sektora za razdoblje 2016. – 2020.</w:t>
      </w:r>
      <w:r>
        <w:rPr>
          <w:sz w:val="18"/>
          <w:szCs w:val="18"/>
        </w:rPr>
        <w:t>, ožujak 2017.,</w:t>
      </w:r>
      <w:r w:rsidRPr="00A12F52">
        <w:rPr>
          <w:sz w:val="18"/>
          <w:szCs w:val="18"/>
        </w:rPr>
        <w:t xml:space="preserve"> Ministarstvo graditeljstva i prostornog</w:t>
      </w:r>
      <w:r>
        <w:rPr>
          <w:sz w:val="18"/>
          <w:szCs w:val="18"/>
        </w:rPr>
        <w:t>a</w:t>
      </w:r>
      <w:r w:rsidRPr="00A12F52">
        <w:rPr>
          <w:sz w:val="18"/>
          <w:szCs w:val="18"/>
        </w:rPr>
        <w:t xml:space="preserve"> uređenja, dostupno na</w:t>
      </w:r>
      <w:r>
        <w:rPr>
          <w:sz w:val="18"/>
          <w:szCs w:val="18"/>
        </w:rPr>
        <w:t>:</w:t>
      </w:r>
      <w:r w:rsidRPr="00A12F52">
        <w:rPr>
          <w:sz w:val="18"/>
          <w:szCs w:val="18"/>
        </w:rPr>
        <w:t xml:space="preserve"> </w:t>
      </w:r>
      <w:hyperlink r:id="rId16" w:history="1">
        <w:r w:rsidRPr="00170BCC">
          <w:rPr>
            <w:rStyle w:val="Hyperlink"/>
            <w:sz w:val="18"/>
            <w:szCs w:val="18"/>
          </w:rPr>
          <w:t>http://narodne-novine.nn.hr/clanci/sluzbeni/2017_03_22_508.html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6">
    <w:p w14:paraId="21BB994C" w14:textId="77777777" w:rsidR="009C52C4" w:rsidRPr="0075697D" w:rsidRDefault="009C52C4" w:rsidP="001804D4">
      <w:pPr>
        <w:rPr>
          <w:sz w:val="18"/>
          <w:szCs w:val="18"/>
        </w:rPr>
      </w:pPr>
      <w:r w:rsidRPr="0075697D">
        <w:rPr>
          <w:sz w:val="18"/>
          <w:szCs w:val="18"/>
          <w:vertAlign w:val="superscript"/>
        </w:rPr>
        <w:footnoteRef/>
      </w:r>
      <w:r w:rsidRPr="0075697D">
        <w:rPr>
          <w:sz w:val="18"/>
          <w:szCs w:val="18"/>
        </w:rPr>
        <w:t>Dugoročna st</w:t>
      </w:r>
      <w:r>
        <w:rPr>
          <w:sz w:val="18"/>
          <w:szCs w:val="18"/>
        </w:rPr>
        <w:t xml:space="preserve">rategija za poticanje ulaganja </w:t>
      </w:r>
      <w:r w:rsidRPr="0075697D">
        <w:rPr>
          <w:sz w:val="18"/>
          <w:szCs w:val="18"/>
        </w:rPr>
        <w:t xml:space="preserve">u obnovu nacionalnog fonda zgrada Republike Hrvatske, lipanj 2014., </w:t>
      </w:r>
      <w:r w:rsidRPr="00440951">
        <w:rPr>
          <w:sz w:val="18"/>
          <w:szCs w:val="18"/>
        </w:rPr>
        <w:t xml:space="preserve">Ministarstvo graditeljstva i prostornoga uređenja, dostupno na: </w:t>
      </w:r>
      <w:hyperlink r:id="rId17" w:history="1">
        <w:r w:rsidRPr="00170BCC">
          <w:rPr>
            <w:rStyle w:val="Hyperlink"/>
            <w:sz w:val="18"/>
            <w:szCs w:val="18"/>
          </w:rPr>
          <w:t>http://narodne-novine.nn.hr/clanci/sluzbeni/2014_06_74_1397.html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r>
        <w:rPr>
          <w:sz w:val="18"/>
          <w:szCs w:val="18"/>
        </w:rPr>
        <w:t>;</w:t>
      </w:r>
    </w:p>
  </w:footnote>
  <w:footnote w:id="17">
    <w:p w14:paraId="34F4B0CE" w14:textId="77777777" w:rsidR="009C52C4" w:rsidRPr="0075697D" w:rsidRDefault="009C52C4" w:rsidP="001804D4">
      <w:pPr>
        <w:rPr>
          <w:sz w:val="18"/>
          <w:szCs w:val="18"/>
        </w:rPr>
      </w:pPr>
      <w:r w:rsidRPr="00FA461E">
        <w:rPr>
          <w:sz w:val="18"/>
          <w:szCs w:val="18"/>
          <w:vertAlign w:val="superscript"/>
        </w:rPr>
        <w:footnoteRef/>
      </w:r>
      <w:r w:rsidRPr="00FA461E">
        <w:rPr>
          <w:sz w:val="18"/>
          <w:szCs w:val="18"/>
        </w:rPr>
        <w:t>Zakon o gradnji</w:t>
      </w:r>
      <w:r>
        <w:rPr>
          <w:sz w:val="18"/>
          <w:szCs w:val="18"/>
        </w:rPr>
        <w:t xml:space="preserve"> („Narodne novine“ broj 153/13 i 20/17)</w:t>
      </w:r>
      <w:r w:rsidRPr="00FA461E">
        <w:rPr>
          <w:sz w:val="18"/>
          <w:szCs w:val="18"/>
        </w:rPr>
        <w:t xml:space="preserve"> (</w:t>
      </w:r>
      <w:r>
        <w:rPr>
          <w:sz w:val="18"/>
          <w:szCs w:val="18"/>
        </w:rPr>
        <w:t>3221</w:t>
      </w:r>
      <w:r w:rsidRPr="00FA461E">
        <w:rPr>
          <w:sz w:val="18"/>
          <w:szCs w:val="18"/>
        </w:rPr>
        <w:t xml:space="preserve">), dostupno na: </w:t>
      </w:r>
      <w:hyperlink r:id="rId18" w:history="1">
        <w:r w:rsidRPr="00170BCC">
          <w:rPr>
            <w:rStyle w:val="Hyperlink"/>
            <w:sz w:val="18"/>
            <w:szCs w:val="18"/>
          </w:rPr>
          <w:t>http://narodne-novine.nn.hr/clanci/sluzbeni/2013_12_153_3221.html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8">
    <w:p w14:paraId="2A2FB185" w14:textId="77777777" w:rsidR="009C52C4" w:rsidRPr="0075697D" w:rsidRDefault="009C52C4" w:rsidP="001804D4">
      <w:pPr>
        <w:rPr>
          <w:sz w:val="18"/>
          <w:szCs w:val="18"/>
        </w:rPr>
      </w:pPr>
      <w:r w:rsidRPr="0075697D">
        <w:rPr>
          <w:sz w:val="18"/>
          <w:szCs w:val="18"/>
          <w:vertAlign w:val="superscript"/>
        </w:rPr>
        <w:footnoteRef/>
      </w:r>
      <w:r w:rsidRPr="00FA461E">
        <w:rPr>
          <w:sz w:val="18"/>
          <w:szCs w:val="18"/>
        </w:rPr>
        <w:t xml:space="preserve">Zakon o </w:t>
      </w:r>
      <w:r>
        <w:rPr>
          <w:sz w:val="18"/>
          <w:szCs w:val="18"/>
        </w:rPr>
        <w:t>prostornom uređenju („Narodne novine“ broj 153/13)</w:t>
      </w:r>
      <w:r w:rsidRPr="00FA461E">
        <w:rPr>
          <w:sz w:val="18"/>
          <w:szCs w:val="18"/>
        </w:rPr>
        <w:t xml:space="preserve"> (322</w:t>
      </w:r>
      <w:r>
        <w:rPr>
          <w:sz w:val="18"/>
          <w:szCs w:val="18"/>
        </w:rPr>
        <w:t>0</w:t>
      </w:r>
      <w:r w:rsidRPr="00FA461E">
        <w:rPr>
          <w:sz w:val="18"/>
          <w:szCs w:val="18"/>
        </w:rPr>
        <w:t xml:space="preserve">), dostupno na: </w:t>
      </w:r>
      <w:hyperlink r:id="rId19" w:history="1">
        <w:r w:rsidRPr="00170BCC">
          <w:rPr>
            <w:rStyle w:val="Hyperlink"/>
            <w:sz w:val="18"/>
            <w:szCs w:val="18"/>
          </w:rPr>
          <w:t>http://narodne-novine.nn.hr/clanci/sluzbeni/2013_12_153_3220.html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19">
    <w:p w14:paraId="02B9F743" w14:textId="3F75266D" w:rsidR="009C52C4" w:rsidRPr="0075697D" w:rsidRDefault="009C52C4" w:rsidP="001804D4">
      <w:pPr>
        <w:rPr>
          <w:sz w:val="18"/>
          <w:szCs w:val="18"/>
        </w:rPr>
      </w:pPr>
      <w:r w:rsidRPr="0075697D">
        <w:rPr>
          <w:sz w:val="18"/>
          <w:szCs w:val="18"/>
          <w:vertAlign w:val="superscript"/>
        </w:rPr>
        <w:footnoteRef/>
      </w:r>
      <w:r w:rsidRPr="0075697D">
        <w:rPr>
          <w:sz w:val="18"/>
          <w:szCs w:val="18"/>
        </w:rPr>
        <w:t>Tehnički propis o racionalnoj uporabi energije i toplinskoj zaštiti u zgradama</w:t>
      </w:r>
      <w:r>
        <w:rPr>
          <w:sz w:val="18"/>
          <w:szCs w:val="18"/>
        </w:rPr>
        <w:t xml:space="preserve"> (Narodne novine br </w:t>
      </w:r>
      <w:r w:rsidRPr="0075697D">
        <w:rPr>
          <w:sz w:val="18"/>
          <w:szCs w:val="18"/>
        </w:rPr>
        <w:t>128/15</w:t>
      </w:r>
      <w:r>
        <w:rPr>
          <w:sz w:val="18"/>
          <w:szCs w:val="18"/>
        </w:rPr>
        <w:t>, 70/18, 73/18 i 86/18) (2428), d</w:t>
      </w:r>
      <w:r w:rsidRPr="0075697D">
        <w:rPr>
          <w:sz w:val="18"/>
          <w:szCs w:val="18"/>
        </w:rPr>
        <w:t xml:space="preserve">ostupno na: </w:t>
      </w:r>
      <w:hyperlink r:id="rId20" w:history="1">
        <w:r w:rsidRPr="0075697D">
          <w:rPr>
            <w:rStyle w:val="Hyperlink"/>
            <w:sz w:val="18"/>
            <w:szCs w:val="18"/>
          </w:rPr>
          <w:t>http://narodne-novine.nn.hr/clanci/sluzbeni/2015_11_128_2428.html</w:t>
        </w:r>
      </w:hyperlink>
      <w:r w:rsidRPr="0075697D">
        <w:rPr>
          <w:sz w:val="18"/>
          <w:szCs w:val="18"/>
        </w:rPr>
        <w:t xml:space="preserve"> [3</w:t>
      </w:r>
      <w:r>
        <w:rPr>
          <w:sz w:val="18"/>
          <w:szCs w:val="18"/>
        </w:rPr>
        <w:t>0</w:t>
      </w:r>
      <w:r w:rsidRPr="0075697D">
        <w:rPr>
          <w:sz w:val="18"/>
          <w:szCs w:val="18"/>
        </w:rPr>
        <w:t xml:space="preserve">. </w:t>
      </w:r>
      <w:r>
        <w:rPr>
          <w:sz w:val="18"/>
          <w:szCs w:val="18"/>
        </w:rPr>
        <w:t>travnja, 2017</w:t>
      </w:r>
      <w:r w:rsidRPr="0075697D">
        <w:rPr>
          <w:sz w:val="18"/>
          <w:szCs w:val="18"/>
        </w:rPr>
        <w:t>]</w:t>
      </w:r>
    </w:p>
  </w:footnote>
  <w:footnote w:id="20">
    <w:p w14:paraId="334F84CE" w14:textId="24210734" w:rsidR="009C52C4" w:rsidRPr="0075697D" w:rsidRDefault="009C52C4" w:rsidP="001804D4">
      <w:pPr>
        <w:rPr>
          <w:sz w:val="18"/>
          <w:szCs w:val="18"/>
        </w:rPr>
      </w:pPr>
      <w:r w:rsidRPr="0075697D">
        <w:rPr>
          <w:sz w:val="18"/>
          <w:szCs w:val="18"/>
          <w:vertAlign w:val="superscript"/>
        </w:rPr>
        <w:footnoteRef/>
      </w:r>
      <w:r w:rsidRPr="0075697D">
        <w:rPr>
          <w:sz w:val="18"/>
          <w:szCs w:val="18"/>
        </w:rPr>
        <w:t>Registar javni</w:t>
      </w:r>
      <w:r>
        <w:rPr>
          <w:sz w:val="18"/>
          <w:szCs w:val="18"/>
        </w:rPr>
        <w:t>h</w:t>
      </w:r>
      <w:r w:rsidRPr="0075697D">
        <w:rPr>
          <w:sz w:val="18"/>
          <w:szCs w:val="18"/>
        </w:rPr>
        <w:t xml:space="preserve"> zgrada središnje države i izračun ciljeva prema Direktivi 2012/27/EU</w:t>
      </w:r>
      <w:r>
        <w:rPr>
          <w:sz w:val="18"/>
          <w:szCs w:val="18"/>
        </w:rPr>
        <w:t xml:space="preserve">, </w:t>
      </w:r>
      <w:r w:rsidRPr="0075697D">
        <w:rPr>
          <w:sz w:val="18"/>
          <w:szCs w:val="18"/>
        </w:rPr>
        <w:t xml:space="preserve">prosinac 2013., Energetski institut Hrvoje Požar, dostupno na </w:t>
      </w:r>
      <w:hyperlink r:id="rId21" w:history="1">
        <w:r w:rsidRPr="0075697D">
          <w:rPr>
            <w:rStyle w:val="Hyperlink"/>
            <w:sz w:val="18"/>
            <w:szCs w:val="18"/>
          </w:rPr>
          <w:t>http://www.mgipu.hr</w:t>
        </w:r>
      </w:hyperlink>
      <w:r w:rsidRPr="0075697D">
        <w:rPr>
          <w:sz w:val="18"/>
          <w:szCs w:val="18"/>
        </w:rPr>
        <w:t xml:space="preserve"> [3</w:t>
      </w:r>
      <w:r>
        <w:rPr>
          <w:sz w:val="18"/>
          <w:szCs w:val="18"/>
        </w:rPr>
        <w:t>0</w:t>
      </w:r>
      <w:r w:rsidRPr="0075697D">
        <w:rPr>
          <w:sz w:val="18"/>
          <w:szCs w:val="18"/>
        </w:rPr>
        <w:t xml:space="preserve">. </w:t>
      </w:r>
      <w:r>
        <w:rPr>
          <w:sz w:val="18"/>
          <w:szCs w:val="18"/>
        </w:rPr>
        <w:t>travnja, 2017</w:t>
      </w:r>
      <w:r w:rsidRPr="0075697D">
        <w:rPr>
          <w:sz w:val="18"/>
          <w:szCs w:val="18"/>
        </w:rPr>
        <w:t xml:space="preserve">] </w:t>
      </w:r>
    </w:p>
  </w:footnote>
  <w:footnote w:id="21">
    <w:p w14:paraId="0CA6A6E9" w14:textId="77777777" w:rsidR="009C52C4" w:rsidRDefault="009C52C4">
      <w:pPr>
        <w:pStyle w:val="FootnoteText"/>
      </w:pPr>
      <w:r w:rsidRPr="00936C06">
        <w:rPr>
          <w:rStyle w:val="FootnoteReference"/>
        </w:rPr>
        <w:footnoteRef/>
      </w:r>
      <w:r w:rsidRPr="00936C06">
        <w:t xml:space="preserve"> </w:t>
      </w:r>
      <w:r w:rsidRPr="00936C06">
        <w:rPr>
          <w:sz w:val="18"/>
          <w:szCs w:val="18"/>
        </w:rPr>
        <w:t xml:space="preserve">Metodologija provođenja energetskog pregleda građevina[online], lipanj 2014., Ministarstvo graditeljstva i prostornoga uređenja, dostupno na: </w:t>
      </w:r>
      <w:hyperlink r:id="rId22" w:history="1">
        <w:r w:rsidRPr="00170BCC">
          <w:rPr>
            <w:rStyle w:val="Hyperlink"/>
            <w:sz w:val="18"/>
            <w:szCs w:val="18"/>
          </w:rPr>
          <w:t>http://www.mgipu.hr/doc/EnergetskaUcinkovitost/METODOLOGIJA_EPG.pdf</w:t>
        </w:r>
      </w:hyperlink>
      <w:r w:rsidRPr="00936C06">
        <w:rPr>
          <w:sz w:val="18"/>
          <w:szCs w:val="18"/>
        </w:rPr>
        <w:t xml:space="preserve"> [30. travnja, 2017]</w:t>
      </w:r>
    </w:p>
  </w:footnote>
  <w:footnote w:id="22">
    <w:p w14:paraId="705DFB7A" w14:textId="77777777" w:rsidR="009C52C4" w:rsidRPr="006E597E" w:rsidRDefault="009C52C4">
      <w:pPr>
        <w:pStyle w:val="FootnoteText"/>
      </w:pPr>
      <w:r>
        <w:rPr>
          <w:rStyle w:val="FootnoteReference"/>
        </w:rPr>
        <w:footnoteRef/>
      </w:r>
      <w:r w:rsidRPr="006E597E">
        <w:rPr>
          <w:sz w:val="18"/>
          <w:szCs w:val="18"/>
        </w:rPr>
        <w:t xml:space="preserve">Državni zavod za statistiku (1953-1970), </w:t>
      </w:r>
      <w:r w:rsidRPr="006E597E">
        <w:rPr>
          <w:i/>
          <w:sz w:val="18"/>
          <w:szCs w:val="18"/>
        </w:rPr>
        <w:t xml:space="preserve">Statistički ljetopis Republike Hrvatske </w:t>
      </w:r>
      <w:r w:rsidRPr="006E597E">
        <w:rPr>
          <w:sz w:val="18"/>
          <w:szCs w:val="18"/>
        </w:rPr>
        <w:t xml:space="preserve">[online], Zagreb, dostupno na: </w:t>
      </w:r>
      <w:hyperlink r:id="rId23" w:history="1">
        <w:r w:rsidRPr="006E597E">
          <w:rPr>
            <w:rStyle w:val="Hyperlink"/>
            <w:sz w:val="18"/>
            <w:szCs w:val="18"/>
          </w:rPr>
          <w:t>http://www.dzs.hr/</w:t>
        </w:r>
      </w:hyperlink>
      <w:r w:rsidRPr="006E597E">
        <w:rPr>
          <w:sz w:val="18"/>
          <w:szCs w:val="18"/>
        </w:rPr>
        <w:t xml:space="preserve"> [30.travnja, 2017]</w:t>
      </w:r>
    </w:p>
  </w:footnote>
  <w:footnote w:id="23">
    <w:p w14:paraId="6085786C" w14:textId="77777777" w:rsidR="009C52C4" w:rsidRPr="00CC62DD" w:rsidRDefault="009C52C4" w:rsidP="00D97178">
      <w:pPr>
        <w:pStyle w:val="FootnoteText"/>
        <w:rPr>
          <w:sz w:val="18"/>
          <w:szCs w:val="18"/>
        </w:rPr>
      </w:pPr>
      <w:r w:rsidRPr="00CC62DD">
        <w:rPr>
          <w:rStyle w:val="FootnoteReference"/>
          <w:sz w:val="18"/>
          <w:szCs w:val="18"/>
        </w:rPr>
        <w:footnoteRef/>
      </w:r>
      <w:r w:rsidRPr="00CC62DD">
        <w:rPr>
          <w:sz w:val="18"/>
          <w:szCs w:val="18"/>
        </w:rPr>
        <w:t xml:space="preserve">Dostupno na: </w:t>
      </w:r>
      <w:hyperlink r:id="rId24" w:history="1">
        <w:r w:rsidRPr="00DE4792">
          <w:rPr>
            <w:rStyle w:val="Hyperlink"/>
            <w:sz w:val="18"/>
            <w:szCs w:val="18"/>
          </w:rPr>
          <w:t>http://cei.hr/smiv-sustav-mjerenje-pracenje-i-verifikaciju-usteda-energije/</w:t>
        </w:r>
      </w:hyperlink>
    </w:p>
  </w:footnote>
  <w:footnote w:id="24">
    <w:p w14:paraId="7B699FDF" w14:textId="77777777" w:rsidR="009C52C4" w:rsidRPr="0075697D" w:rsidRDefault="009C52C4" w:rsidP="00BD461D">
      <w:pPr>
        <w:rPr>
          <w:sz w:val="18"/>
          <w:szCs w:val="18"/>
        </w:rPr>
      </w:pPr>
      <w:r w:rsidRPr="0075697D">
        <w:rPr>
          <w:sz w:val="18"/>
          <w:szCs w:val="18"/>
          <w:vertAlign w:val="superscript"/>
        </w:rPr>
        <w:footnoteRef/>
      </w:r>
      <w:r w:rsidRPr="008D6E44">
        <w:rPr>
          <w:sz w:val="18"/>
          <w:szCs w:val="18"/>
        </w:rPr>
        <w:t>Pravilnik o energetskom pregledu zgrade i energetskom certificiranju</w:t>
      </w:r>
      <w:r>
        <w:rPr>
          <w:sz w:val="18"/>
          <w:szCs w:val="18"/>
        </w:rPr>
        <w:t xml:space="preserve"> („Narodne novine“ broj</w:t>
      </w:r>
      <w:r w:rsidRPr="008D6E44">
        <w:rPr>
          <w:sz w:val="18"/>
          <w:szCs w:val="18"/>
        </w:rPr>
        <w:t xml:space="preserve"> 48/2014, 150/2014, 133/2015, 22/2016, 49/2016, 87/2016 i 17/2017</w:t>
      </w:r>
      <w:r>
        <w:rPr>
          <w:sz w:val="18"/>
          <w:szCs w:val="18"/>
        </w:rPr>
        <w:t>)</w:t>
      </w:r>
      <w:r w:rsidRPr="008D6E44">
        <w:rPr>
          <w:sz w:val="18"/>
          <w:szCs w:val="18"/>
        </w:rPr>
        <w:t xml:space="preserve"> (929)</w:t>
      </w:r>
      <w:r>
        <w:rPr>
          <w:sz w:val="18"/>
          <w:szCs w:val="18"/>
        </w:rPr>
        <w:t>,</w:t>
      </w:r>
      <w:r w:rsidRPr="008D6E44">
        <w:rPr>
          <w:sz w:val="18"/>
          <w:szCs w:val="18"/>
        </w:rPr>
        <w:t xml:space="preserve"> dostupno na </w:t>
      </w:r>
      <w:hyperlink r:id="rId25" w:history="1">
        <w:r w:rsidRPr="00170BCC">
          <w:rPr>
            <w:rStyle w:val="Hyperlink"/>
            <w:sz w:val="18"/>
            <w:szCs w:val="18"/>
          </w:rPr>
          <w:t>http://narodne-novine.nn.hr/clanci/sluzbeni/2014_04_48_929.html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25">
    <w:p w14:paraId="1E2729A5" w14:textId="77777777" w:rsidR="009C52C4" w:rsidRPr="0075697D" w:rsidRDefault="009C52C4" w:rsidP="00BD461D">
      <w:pPr>
        <w:rPr>
          <w:sz w:val="18"/>
          <w:szCs w:val="18"/>
        </w:rPr>
      </w:pPr>
      <w:r w:rsidRPr="0075697D">
        <w:rPr>
          <w:sz w:val="18"/>
          <w:szCs w:val="18"/>
          <w:vertAlign w:val="superscript"/>
        </w:rPr>
        <w:footnoteRef/>
      </w:r>
      <w:r w:rsidRPr="0075697D">
        <w:rPr>
          <w:sz w:val="18"/>
          <w:szCs w:val="18"/>
        </w:rPr>
        <w:t>Model diferencijacije urbani, ruralni i prijelazni naselja u Republici Hrvatskoj , Metodološke upute 67, Državni zavo</w:t>
      </w:r>
      <w:r>
        <w:rPr>
          <w:sz w:val="18"/>
          <w:szCs w:val="18"/>
        </w:rPr>
        <w:t>d za statistiku, 2011. godina; d</w:t>
      </w:r>
      <w:r w:rsidRPr="0075697D">
        <w:rPr>
          <w:sz w:val="18"/>
          <w:szCs w:val="18"/>
        </w:rPr>
        <w:t xml:space="preserve">ostupno na: </w:t>
      </w:r>
      <w:hyperlink r:id="rId26" w:history="1">
        <w:r w:rsidRPr="0075697D">
          <w:rPr>
            <w:rStyle w:val="Hyperlink"/>
            <w:sz w:val="18"/>
            <w:szCs w:val="18"/>
          </w:rPr>
          <w:t>http://www.dzs.hr/</w:t>
        </w:r>
      </w:hyperlink>
      <w:r w:rsidRPr="0075697D">
        <w:rPr>
          <w:sz w:val="18"/>
          <w:szCs w:val="18"/>
        </w:rPr>
        <w:t xml:space="preserve"> [3</w:t>
      </w:r>
      <w:r>
        <w:rPr>
          <w:sz w:val="18"/>
          <w:szCs w:val="18"/>
        </w:rPr>
        <w:t>0</w:t>
      </w:r>
      <w:r w:rsidRPr="0075697D">
        <w:rPr>
          <w:sz w:val="18"/>
          <w:szCs w:val="18"/>
        </w:rPr>
        <w:t xml:space="preserve">. </w:t>
      </w:r>
      <w:r>
        <w:rPr>
          <w:sz w:val="18"/>
          <w:szCs w:val="18"/>
        </w:rPr>
        <w:t>travnja, 2017</w:t>
      </w:r>
      <w:r w:rsidRPr="0075697D">
        <w:rPr>
          <w:sz w:val="18"/>
          <w:szCs w:val="18"/>
        </w:rPr>
        <w:t>]</w:t>
      </w:r>
    </w:p>
  </w:footnote>
  <w:footnote w:id="26">
    <w:p w14:paraId="5F756DB0" w14:textId="77777777" w:rsidR="009C52C4" w:rsidRPr="0075697D" w:rsidRDefault="009C52C4" w:rsidP="00BD461D">
      <w:pPr>
        <w:rPr>
          <w:sz w:val="18"/>
          <w:szCs w:val="18"/>
        </w:rPr>
      </w:pPr>
      <w:r w:rsidRPr="0075697D">
        <w:rPr>
          <w:sz w:val="18"/>
          <w:szCs w:val="18"/>
          <w:vertAlign w:val="superscript"/>
        </w:rPr>
        <w:footnoteRef/>
      </w:r>
      <w:r w:rsidRPr="0075697D">
        <w:rPr>
          <w:sz w:val="18"/>
          <w:szCs w:val="18"/>
        </w:rPr>
        <w:t>Program Ujedinjeni</w:t>
      </w:r>
      <w:r>
        <w:rPr>
          <w:sz w:val="18"/>
          <w:szCs w:val="18"/>
        </w:rPr>
        <w:t>h</w:t>
      </w:r>
      <w:r w:rsidRPr="0075697D">
        <w:rPr>
          <w:sz w:val="18"/>
          <w:szCs w:val="18"/>
        </w:rPr>
        <w:t xml:space="preserve"> naroda za razvoj-UNDP. (2010.)</w:t>
      </w:r>
      <w:r w:rsidRPr="0075697D">
        <w:rPr>
          <w:i/>
          <w:sz w:val="18"/>
          <w:szCs w:val="18"/>
        </w:rPr>
        <w:t xml:space="preserve"> Priručnik za energetsko certificiranje.</w:t>
      </w:r>
      <w:r>
        <w:rPr>
          <w:sz w:val="18"/>
          <w:szCs w:val="18"/>
        </w:rPr>
        <w:t xml:space="preserve"> Zelina: Tiskara Zelina</w:t>
      </w:r>
    </w:p>
  </w:footnote>
  <w:footnote w:id="27">
    <w:p w14:paraId="36FDF578" w14:textId="77777777" w:rsidR="009C52C4" w:rsidRPr="0075697D" w:rsidRDefault="009C52C4" w:rsidP="00F27E84">
      <w:pPr>
        <w:rPr>
          <w:sz w:val="18"/>
          <w:szCs w:val="18"/>
        </w:rPr>
      </w:pPr>
      <w:r w:rsidRPr="0075697D">
        <w:rPr>
          <w:sz w:val="18"/>
          <w:szCs w:val="18"/>
          <w:vertAlign w:val="superscript"/>
        </w:rPr>
        <w:footnoteRef/>
      </w:r>
      <w:r w:rsidRPr="0075697D">
        <w:rPr>
          <w:sz w:val="18"/>
          <w:szCs w:val="18"/>
        </w:rPr>
        <w:t>Skupina autora, Priručnik za energetsko certificiranje zgrada, UNDP, Zagreb, 2010.</w:t>
      </w:r>
    </w:p>
  </w:footnote>
  <w:footnote w:id="28">
    <w:p w14:paraId="47BED216" w14:textId="25F40342" w:rsidR="009C52C4" w:rsidRPr="0075697D" w:rsidRDefault="009C52C4" w:rsidP="00362848">
      <w:pPr>
        <w:rPr>
          <w:sz w:val="18"/>
          <w:szCs w:val="18"/>
        </w:rPr>
      </w:pPr>
      <w:r w:rsidRPr="0075697D">
        <w:rPr>
          <w:sz w:val="18"/>
          <w:szCs w:val="18"/>
          <w:vertAlign w:val="superscript"/>
        </w:rPr>
        <w:footnoteRef/>
      </w:r>
      <w:r w:rsidRPr="0075697D">
        <w:rPr>
          <w:sz w:val="18"/>
          <w:szCs w:val="18"/>
        </w:rPr>
        <w:t>Reknagel, Šprenger, Šramek, Čeperković (2004</w:t>
      </w:r>
      <w:r w:rsidRPr="0075697D">
        <w:rPr>
          <w:i/>
          <w:sz w:val="18"/>
          <w:szCs w:val="18"/>
        </w:rPr>
        <w:t>), Grejanje i klimatizacija uključujući toplu vodu i te</w:t>
      </w:r>
      <w:r>
        <w:rPr>
          <w:i/>
          <w:sz w:val="18"/>
          <w:szCs w:val="18"/>
        </w:rPr>
        <w:t>h</w:t>
      </w:r>
      <w:r w:rsidRPr="0075697D">
        <w:rPr>
          <w:i/>
          <w:sz w:val="18"/>
          <w:szCs w:val="18"/>
        </w:rPr>
        <w:t xml:space="preserve">niku lađenja. </w:t>
      </w:r>
      <w:r w:rsidRPr="0075697D">
        <w:rPr>
          <w:sz w:val="18"/>
          <w:szCs w:val="18"/>
        </w:rPr>
        <w:t xml:space="preserve"> INTE</w:t>
      </w:r>
      <w:r>
        <w:rPr>
          <w:sz w:val="18"/>
          <w:szCs w:val="18"/>
        </w:rPr>
        <w:t>RKLIMA-GRAFIKA , Vrnjačka Banja</w:t>
      </w:r>
    </w:p>
  </w:footnote>
  <w:footnote w:id="29">
    <w:p w14:paraId="7E8E797E" w14:textId="77777777" w:rsidR="009C52C4" w:rsidRPr="0075697D" w:rsidRDefault="009C52C4" w:rsidP="00362848">
      <w:pPr>
        <w:rPr>
          <w:sz w:val="18"/>
          <w:szCs w:val="18"/>
        </w:rPr>
      </w:pPr>
      <w:r w:rsidRPr="0075697D">
        <w:rPr>
          <w:sz w:val="18"/>
          <w:szCs w:val="18"/>
          <w:vertAlign w:val="superscript"/>
        </w:rPr>
        <w:footnoteRef/>
      </w:r>
      <w:r w:rsidRPr="0075697D">
        <w:rPr>
          <w:sz w:val="18"/>
          <w:szCs w:val="18"/>
        </w:rPr>
        <w:t>Balen I.,</w:t>
      </w:r>
      <w:r w:rsidRPr="0075697D">
        <w:rPr>
          <w:b/>
          <w:sz w:val="18"/>
          <w:szCs w:val="18"/>
        </w:rPr>
        <w:t xml:space="preserve"> </w:t>
      </w:r>
      <w:r w:rsidRPr="0075697D">
        <w:rPr>
          <w:i/>
          <w:sz w:val="18"/>
          <w:szCs w:val="18"/>
        </w:rPr>
        <w:t>Grijanje-kratka povijest, podjela sustava grijanja.</w:t>
      </w:r>
      <w:r w:rsidRPr="0075697D">
        <w:rPr>
          <w:sz w:val="18"/>
          <w:szCs w:val="18"/>
        </w:rPr>
        <w:t xml:space="preserve"> Fakultet str</w:t>
      </w:r>
      <w:r>
        <w:rPr>
          <w:sz w:val="18"/>
          <w:szCs w:val="18"/>
        </w:rPr>
        <w:t>ojarstva i brodogradnje, Zagreb</w:t>
      </w:r>
    </w:p>
  </w:footnote>
  <w:footnote w:id="30">
    <w:p w14:paraId="3AD7DF5E" w14:textId="77777777" w:rsidR="009C52C4" w:rsidRPr="007014C8" w:rsidRDefault="009C52C4">
      <w:pPr>
        <w:pStyle w:val="FootnoteText"/>
        <w:rPr>
          <w:sz w:val="18"/>
          <w:szCs w:val="18"/>
        </w:rPr>
      </w:pPr>
      <w:r w:rsidRPr="007014C8">
        <w:rPr>
          <w:rStyle w:val="FootnoteReference"/>
          <w:sz w:val="18"/>
          <w:szCs w:val="18"/>
        </w:rPr>
        <w:footnoteRef/>
      </w:r>
      <w:r w:rsidRPr="007014C8">
        <w:rPr>
          <w:bCs/>
          <w:sz w:val="18"/>
          <w:szCs w:val="18"/>
        </w:rPr>
        <w:t>Zakon o obnovljivim izvorima energije i visokoučinkovitoj kogeneraciji</w:t>
      </w:r>
      <w:r>
        <w:rPr>
          <w:sz w:val="18"/>
          <w:szCs w:val="18"/>
        </w:rPr>
        <w:t xml:space="preserve"> („Narodne novine“ broj</w:t>
      </w:r>
      <w:r w:rsidRPr="007014C8">
        <w:rPr>
          <w:sz w:val="18"/>
          <w:szCs w:val="18"/>
        </w:rPr>
        <w:t xml:space="preserve"> 1</w:t>
      </w:r>
      <w:r>
        <w:rPr>
          <w:sz w:val="18"/>
          <w:szCs w:val="18"/>
        </w:rPr>
        <w:t>00</w:t>
      </w:r>
      <w:r w:rsidRPr="007014C8">
        <w:rPr>
          <w:sz w:val="18"/>
          <w:szCs w:val="18"/>
        </w:rPr>
        <w:t>/2015</w:t>
      </w:r>
      <w:r>
        <w:rPr>
          <w:sz w:val="18"/>
          <w:szCs w:val="18"/>
        </w:rPr>
        <w:t xml:space="preserve"> i 123/2016) </w:t>
      </w:r>
      <w:r w:rsidRPr="007014C8">
        <w:rPr>
          <w:sz w:val="18"/>
          <w:szCs w:val="18"/>
        </w:rPr>
        <w:t>(</w:t>
      </w:r>
      <w:r>
        <w:rPr>
          <w:sz w:val="18"/>
          <w:szCs w:val="18"/>
        </w:rPr>
        <w:t>1937</w:t>
      </w:r>
      <w:r w:rsidRPr="007014C8">
        <w:rPr>
          <w:sz w:val="18"/>
          <w:szCs w:val="18"/>
        </w:rPr>
        <w:t xml:space="preserve">), dostupno na: </w:t>
      </w:r>
      <w:hyperlink r:id="rId27" w:history="1">
        <w:r w:rsidRPr="00C97A8D">
          <w:rPr>
            <w:rStyle w:val="Hyperlink"/>
            <w:sz w:val="18"/>
            <w:szCs w:val="18"/>
          </w:rPr>
          <w:t>http://narodne-novine.nn.hr/clanci/sluzbeni/2015_09_100_1937.html</w:t>
        </w:r>
      </w:hyperlink>
      <w:r w:rsidRPr="007014C8">
        <w:rPr>
          <w:sz w:val="18"/>
          <w:szCs w:val="18"/>
        </w:rPr>
        <w:t xml:space="preserve"> [30. travnja, 2017]</w:t>
      </w:r>
    </w:p>
  </w:footnote>
  <w:footnote w:id="31">
    <w:p w14:paraId="06A0F816" w14:textId="77777777" w:rsidR="009C52C4" w:rsidRPr="00C960C8" w:rsidRDefault="009C52C4">
      <w:pPr>
        <w:pStyle w:val="FootnoteText"/>
        <w:rPr>
          <w:sz w:val="18"/>
          <w:szCs w:val="18"/>
        </w:rPr>
      </w:pPr>
      <w:r w:rsidRPr="00C960C8">
        <w:rPr>
          <w:rStyle w:val="FootnoteReference"/>
          <w:sz w:val="18"/>
          <w:szCs w:val="18"/>
        </w:rPr>
        <w:footnoteRef/>
      </w:r>
      <w:r w:rsidRPr="00C960C8">
        <w:rPr>
          <w:sz w:val="18"/>
          <w:szCs w:val="18"/>
        </w:rPr>
        <w:t>IRENA – The power to change: solar and wind ost reduction potential to 2025 [online]</w:t>
      </w:r>
      <w:r>
        <w:rPr>
          <w:sz w:val="18"/>
          <w:szCs w:val="18"/>
        </w:rPr>
        <w:t>, d</w:t>
      </w:r>
      <w:r w:rsidRPr="00C960C8">
        <w:rPr>
          <w:sz w:val="18"/>
          <w:szCs w:val="18"/>
        </w:rPr>
        <w:t xml:space="preserve">ostupno na: </w:t>
      </w:r>
      <w:hyperlink r:id="rId28" w:history="1">
        <w:r w:rsidRPr="00C960C8">
          <w:rPr>
            <w:rStyle w:val="Hyperlink"/>
            <w:sz w:val="18"/>
            <w:szCs w:val="18"/>
          </w:rPr>
          <w:t>http://www.irena.org/menu/index.aspx?mnu=Subcat&amp;PriMenuID=36&amp;CatID=141&amp;SubcatID=2733</w:t>
        </w:r>
      </w:hyperlink>
      <w:r>
        <w:rPr>
          <w:sz w:val="18"/>
          <w:szCs w:val="18"/>
        </w:rPr>
        <w:t xml:space="preserve"> [30. travnja, 2017]</w:t>
      </w:r>
    </w:p>
  </w:footnote>
  <w:footnote w:id="32">
    <w:p w14:paraId="685A1CC9" w14:textId="60ABF338" w:rsidR="009C52C4" w:rsidRPr="0075697D" w:rsidRDefault="009C52C4" w:rsidP="0011603D">
      <w:pPr>
        <w:ind w:right="357"/>
        <w:rPr>
          <w:sz w:val="18"/>
          <w:szCs w:val="18"/>
        </w:rPr>
      </w:pPr>
      <w:r w:rsidRPr="0075697D">
        <w:rPr>
          <w:sz w:val="18"/>
          <w:szCs w:val="18"/>
          <w:vertAlign w:val="superscript"/>
        </w:rPr>
        <w:footnoteRef/>
      </w:r>
      <w:r w:rsidRPr="000B210F">
        <w:rPr>
          <w:sz w:val="18"/>
          <w:szCs w:val="18"/>
        </w:rPr>
        <w:t>Zakon o tržištu toplinske energije</w:t>
      </w:r>
      <w:r>
        <w:rPr>
          <w:sz w:val="18"/>
          <w:szCs w:val="18"/>
        </w:rPr>
        <w:t xml:space="preserve"> (Narodne novine br.</w:t>
      </w:r>
      <w:r w:rsidRPr="000B210F">
        <w:rPr>
          <w:sz w:val="18"/>
          <w:szCs w:val="18"/>
        </w:rPr>
        <w:t xml:space="preserve"> </w:t>
      </w:r>
      <w:r>
        <w:rPr>
          <w:sz w:val="18"/>
          <w:szCs w:val="18"/>
        </w:rPr>
        <w:t>80</w:t>
      </w:r>
      <w:r w:rsidRPr="000B210F">
        <w:rPr>
          <w:sz w:val="18"/>
          <w:szCs w:val="18"/>
        </w:rPr>
        <w:t>/1</w:t>
      </w:r>
      <w:r>
        <w:rPr>
          <w:sz w:val="18"/>
          <w:szCs w:val="18"/>
        </w:rPr>
        <w:t>3, 14/14, 102/14 i 95/15)</w:t>
      </w:r>
      <w:r w:rsidRPr="000B210F">
        <w:rPr>
          <w:sz w:val="18"/>
          <w:szCs w:val="18"/>
        </w:rPr>
        <w:t xml:space="preserve"> (1</w:t>
      </w:r>
      <w:r>
        <w:rPr>
          <w:sz w:val="18"/>
          <w:szCs w:val="18"/>
        </w:rPr>
        <w:t>655</w:t>
      </w:r>
      <w:r w:rsidRPr="000B210F">
        <w:rPr>
          <w:sz w:val="18"/>
          <w:szCs w:val="18"/>
        </w:rPr>
        <w:t xml:space="preserve">), dostupno na: </w:t>
      </w:r>
      <w:hyperlink r:id="rId29" w:history="1">
        <w:r w:rsidRPr="00170BCC">
          <w:rPr>
            <w:rStyle w:val="Hyperlink"/>
            <w:sz w:val="18"/>
            <w:szCs w:val="18"/>
          </w:rPr>
          <w:t>http://narodne-novine.nn.hr/clanci/sluzbeni/2013_06_80_1655.html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hyperlink r:id="rId30"/>
    </w:p>
  </w:footnote>
  <w:footnote w:id="33">
    <w:p w14:paraId="640F3F15" w14:textId="0AB0103C" w:rsidR="009C52C4" w:rsidRPr="0075697D" w:rsidRDefault="009C52C4" w:rsidP="0011603D">
      <w:pPr>
        <w:ind w:right="357"/>
        <w:rPr>
          <w:sz w:val="18"/>
          <w:szCs w:val="18"/>
        </w:rPr>
      </w:pPr>
      <w:r w:rsidRPr="0075697D">
        <w:rPr>
          <w:sz w:val="18"/>
          <w:szCs w:val="18"/>
          <w:vertAlign w:val="superscript"/>
        </w:rPr>
        <w:footnoteRef/>
      </w:r>
      <w:r w:rsidRPr="0075697D">
        <w:rPr>
          <w:sz w:val="18"/>
          <w:szCs w:val="18"/>
        </w:rPr>
        <w:t>Opći uvjeti za opskrbu toplinskom energijom</w:t>
      </w:r>
      <w:r>
        <w:rPr>
          <w:sz w:val="18"/>
          <w:szCs w:val="18"/>
        </w:rPr>
        <w:t xml:space="preserve"> (Narodne novine br.</w:t>
      </w:r>
      <w:r w:rsidRPr="0075697D">
        <w:rPr>
          <w:sz w:val="18"/>
          <w:szCs w:val="18"/>
        </w:rPr>
        <w:t xml:space="preserve"> 35/14</w:t>
      </w:r>
      <w:r>
        <w:rPr>
          <w:sz w:val="18"/>
          <w:szCs w:val="18"/>
        </w:rPr>
        <w:t>) (628),</w:t>
      </w:r>
      <w:r w:rsidRPr="0075697D">
        <w:rPr>
          <w:sz w:val="18"/>
          <w:szCs w:val="18"/>
        </w:rPr>
        <w:t xml:space="preserve"> </w:t>
      </w:r>
      <w:r>
        <w:rPr>
          <w:sz w:val="18"/>
          <w:szCs w:val="18"/>
        </w:rPr>
        <w:t>d</w:t>
      </w:r>
      <w:r w:rsidRPr="0075697D">
        <w:rPr>
          <w:sz w:val="18"/>
          <w:szCs w:val="18"/>
        </w:rPr>
        <w:t xml:space="preserve">ostupno na: </w:t>
      </w:r>
      <w:hyperlink r:id="rId31" w:history="1">
        <w:r w:rsidRPr="00170BCC">
          <w:rPr>
            <w:rStyle w:val="Hyperlink"/>
            <w:sz w:val="18"/>
            <w:szCs w:val="18"/>
          </w:rPr>
          <w:t>http://narodne-novine.nn.hr/clanci/sluzbeni/2014_03_35_628.html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hyperlink r:id="rId32"/>
    </w:p>
  </w:footnote>
  <w:footnote w:id="34">
    <w:p w14:paraId="37F3F055" w14:textId="1112A24F" w:rsidR="009C52C4" w:rsidRPr="0075697D" w:rsidRDefault="009C52C4" w:rsidP="0011603D">
      <w:pPr>
        <w:rPr>
          <w:sz w:val="18"/>
          <w:szCs w:val="18"/>
        </w:rPr>
      </w:pPr>
      <w:r w:rsidRPr="0075697D">
        <w:rPr>
          <w:sz w:val="18"/>
          <w:szCs w:val="18"/>
          <w:vertAlign w:val="superscript"/>
        </w:rPr>
        <w:footnoteRef/>
      </w:r>
      <w:r w:rsidRPr="0075697D">
        <w:rPr>
          <w:sz w:val="18"/>
          <w:szCs w:val="18"/>
        </w:rPr>
        <w:t>Opći uvjeti za isporuku toplinske energije</w:t>
      </w:r>
      <w:r>
        <w:rPr>
          <w:sz w:val="18"/>
          <w:szCs w:val="18"/>
        </w:rPr>
        <w:t xml:space="preserve"> (Narodne novine br. </w:t>
      </w:r>
      <w:r w:rsidRPr="0075697D">
        <w:rPr>
          <w:sz w:val="18"/>
          <w:szCs w:val="18"/>
        </w:rPr>
        <w:t>35/14</w:t>
      </w:r>
      <w:r>
        <w:rPr>
          <w:sz w:val="18"/>
          <w:szCs w:val="18"/>
        </w:rPr>
        <w:t xml:space="preserve"> i 129/15) (629),</w:t>
      </w:r>
      <w:r w:rsidRPr="0075697D">
        <w:rPr>
          <w:sz w:val="18"/>
          <w:szCs w:val="18"/>
        </w:rPr>
        <w:t xml:space="preserve"> </w:t>
      </w:r>
      <w:r>
        <w:rPr>
          <w:sz w:val="18"/>
          <w:szCs w:val="18"/>
        </w:rPr>
        <w:t>d</w:t>
      </w:r>
      <w:r w:rsidRPr="0075697D">
        <w:rPr>
          <w:sz w:val="18"/>
          <w:szCs w:val="18"/>
        </w:rPr>
        <w:t xml:space="preserve">ostupno na: </w:t>
      </w:r>
      <w:hyperlink r:id="rId33" w:history="1">
        <w:r w:rsidRPr="00170BCC">
          <w:rPr>
            <w:rStyle w:val="Hyperlink"/>
            <w:sz w:val="18"/>
            <w:szCs w:val="18"/>
          </w:rPr>
          <w:t>http://narodne-novine.nn.hr/clanci/sluzbeni/2014_03_35_629.html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hyperlink r:id="rId34"/>
      <w:hyperlink r:id="rId35"/>
    </w:p>
  </w:footnote>
  <w:footnote w:id="35">
    <w:p w14:paraId="2457AF58" w14:textId="10834CE5" w:rsidR="009C52C4" w:rsidRPr="0075697D" w:rsidRDefault="009C52C4" w:rsidP="0011603D">
      <w:pPr>
        <w:rPr>
          <w:sz w:val="18"/>
          <w:szCs w:val="18"/>
        </w:rPr>
      </w:pPr>
      <w:r w:rsidRPr="0075697D">
        <w:rPr>
          <w:sz w:val="18"/>
          <w:szCs w:val="18"/>
          <w:vertAlign w:val="superscript"/>
        </w:rPr>
        <w:footnoteRef/>
      </w:r>
      <w:r w:rsidRPr="0075697D">
        <w:rPr>
          <w:sz w:val="18"/>
          <w:szCs w:val="18"/>
        </w:rPr>
        <w:t>Mrežna pravila za distribuciju toplinske energije</w:t>
      </w:r>
      <w:r>
        <w:rPr>
          <w:sz w:val="18"/>
          <w:szCs w:val="18"/>
        </w:rPr>
        <w:t xml:space="preserve"> (Narodne novine br.</w:t>
      </w:r>
      <w:r w:rsidRPr="0075697D">
        <w:rPr>
          <w:sz w:val="18"/>
          <w:szCs w:val="18"/>
        </w:rPr>
        <w:t xml:space="preserve"> 35/14</w:t>
      </w:r>
      <w:r>
        <w:rPr>
          <w:sz w:val="18"/>
          <w:szCs w:val="18"/>
        </w:rPr>
        <w:t>) (630),</w:t>
      </w:r>
      <w:r w:rsidRPr="0075697D">
        <w:rPr>
          <w:sz w:val="18"/>
          <w:szCs w:val="18"/>
        </w:rPr>
        <w:t xml:space="preserve"> </w:t>
      </w:r>
      <w:r>
        <w:rPr>
          <w:sz w:val="18"/>
          <w:szCs w:val="18"/>
        </w:rPr>
        <w:t>d</w:t>
      </w:r>
      <w:r w:rsidRPr="0075697D">
        <w:rPr>
          <w:sz w:val="18"/>
          <w:szCs w:val="18"/>
        </w:rPr>
        <w:t xml:space="preserve">ostupno na: </w:t>
      </w:r>
      <w:hyperlink r:id="rId36" w:history="1">
        <w:r w:rsidRPr="00170BCC">
          <w:rPr>
            <w:rStyle w:val="Hyperlink"/>
            <w:sz w:val="18"/>
            <w:szCs w:val="18"/>
          </w:rPr>
          <w:t>http://narodne-novine.nn.hr/clanci/sluzbeni/2014_03_35_630.html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36">
    <w:p w14:paraId="52EE7ADD" w14:textId="156B4BF0" w:rsidR="009C52C4" w:rsidRPr="0075697D" w:rsidRDefault="009C52C4" w:rsidP="00362848">
      <w:pPr>
        <w:rPr>
          <w:color w:val="auto"/>
          <w:sz w:val="18"/>
          <w:szCs w:val="18"/>
        </w:rPr>
      </w:pPr>
      <w:r w:rsidRPr="0075697D">
        <w:rPr>
          <w:color w:val="auto"/>
          <w:sz w:val="18"/>
          <w:szCs w:val="18"/>
          <w:vertAlign w:val="superscript"/>
        </w:rPr>
        <w:footnoteRef/>
      </w:r>
      <w:r w:rsidRPr="0075697D">
        <w:rPr>
          <w:color w:val="auto"/>
          <w:sz w:val="18"/>
          <w:szCs w:val="18"/>
        </w:rPr>
        <w:t>Zakon o energiji</w:t>
      </w:r>
      <w:r>
        <w:rPr>
          <w:color w:val="auto"/>
          <w:sz w:val="18"/>
          <w:szCs w:val="18"/>
        </w:rPr>
        <w:t xml:space="preserve"> (Narodne novine br.</w:t>
      </w:r>
      <w:r w:rsidRPr="0075697D">
        <w:rPr>
          <w:color w:val="auto"/>
          <w:sz w:val="18"/>
          <w:szCs w:val="18"/>
        </w:rPr>
        <w:t xml:space="preserve"> 120/12, 14/14, 95/15</w:t>
      </w:r>
      <w:r>
        <w:rPr>
          <w:color w:val="auto"/>
          <w:sz w:val="18"/>
          <w:szCs w:val="18"/>
        </w:rPr>
        <w:t xml:space="preserve"> i</w:t>
      </w:r>
      <w:r w:rsidRPr="0075697D">
        <w:rPr>
          <w:color w:val="auto"/>
          <w:sz w:val="18"/>
          <w:szCs w:val="18"/>
        </w:rPr>
        <w:t xml:space="preserve"> 102/15</w:t>
      </w:r>
      <w:r>
        <w:rPr>
          <w:color w:val="auto"/>
          <w:sz w:val="18"/>
          <w:szCs w:val="18"/>
        </w:rPr>
        <w:t>) (2583</w:t>
      </w:r>
      <w:r w:rsidRPr="0075697D">
        <w:rPr>
          <w:color w:val="auto"/>
          <w:sz w:val="18"/>
          <w:szCs w:val="18"/>
        </w:rPr>
        <w:t>)</w:t>
      </w:r>
      <w:r>
        <w:rPr>
          <w:color w:val="auto"/>
          <w:sz w:val="18"/>
          <w:szCs w:val="18"/>
        </w:rPr>
        <w:t>,</w:t>
      </w:r>
      <w:r w:rsidRPr="0075697D">
        <w:rPr>
          <w:color w:val="auto"/>
          <w:sz w:val="18"/>
          <w:szCs w:val="18"/>
        </w:rPr>
        <w:t xml:space="preserve"> </w:t>
      </w:r>
      <w:r>
        <w:rPr>
          <w:color w:val="auto"/>
          <w:sz w:val="18"/>
          <w:szCs w:val="18"/>
        </w:rPr>
        <w:t>d</w:t>
      </w:r>
      <w:r w:rsidRPr="0075697D">
        <w:rPr>
          <w:color w:val="auto"/>
          <w:sz w:val="18"/>
          <w:szCs w:val="18"/>
        </w:rPr>
        <w:t>ostupno na:</w:t>
      </w:r>
      <w:r>
        <w:rPr>
          <w:color w:val="auto"/>
          <w:sz w:val="18"/>
          <w:szCs w:val="18"/>
        </w:rPr>
        <w:t xml:space="preserve"> </w:t>
      </w:r>
      <w:hyperlink r:id="rId37" w:history="1">
        <w:r w:rsidRPr="00170BCC">
          <w:rPr>
            <w:rStyle w:val="Hyperlink"/>
            <w:sz w:val="18"/>
            <w:szCs w:val="18"/>
          </w:rPr>
          <w:t>http://narodne-novine.nn.hr/clanci/sluzbeni/2012_10_120_2583.html</w:t>
        </w:r>
      </w:hyperlink>
      <w:r>
        <w:rPr>
          <w:color w:val="auto"/>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37">
    <w:p w14:paraId="21EC5D75" w14:textId="35B18DE1" w:rsidR="009C52C4" w:rsidRPr="0075697D" w:rsidRDefault="009C52C4" w:rsidP="00362848">
      <w:pPr>
        <w:rPr>
          <w:color w:val="auto"/>
          <w:sz w:val="18"/>
          <w:szCs w:val="18"/>
        </w:rPr>
      </w:pPr>
      <w:r w:rsidRPr="0075697D">
        <w:rPr>
          <w:color w:val="auto"/>
          <w:sz w:val="18"/>
          <w:szCs w:val="18"/>
          <w:vertAlign w:val="superscript"/>
        </w:rPr>
        <w:footnoteRef/>
      </w:r>
      <w:r w:rsidRPr="0075697D">
        <w:rPr>
          <w:color w:val="auto"/>
          <w:sz w:val="18"/>
          <w:szCs w:val="18"/>
        </w:rPr>
        <w:t>Tarifni sustav za proizvodnju električne energije iz obnovljivi</w:t>
      </w:r>
      <w:r>
        <w:rPr>
          <w:color w:val="auto"/>
          <w:sz w:val="18"/>
          <w:szCs w:val="18"/>
        </w:rPr>
        <w:t>h</w:t>
      </w:r>
      <w:r w:rsidRPr="0075697D">
        <w:rPr>
          <w:color w:val="auto"/>
          <w:sz w:val="18"/>
          <w:szCs w:val="18"/>
        </w:rPr>
        <w:t xml:space="preserve"> izvora energije i kogeneracije</w:t>
      </w:r>
      <w:r>
        <w:rPr>
          <w:color w:val="auto"/>
          <w:sz w:val="18"/>
          <w:szCs w:val="18"/>
        </w:rPr>
        <w:t xml:space="preserve"> (Narodne novine br.</w:t>
      </w:r>
      <w:r w:rsidRPr="0075697D">
        <w:rPr>
          <w:color w:val="auto"/>
          <w:sz w:val="18"/>
          <w:szCs w:val="18"/>
        </w:rPr>
        <w:t xml:space="preserve"> 133/13, 151/13, 20/14, 107/14, 100/15</w:t>
      </w:r>
      <w:r>
        <w:rPr>
          <w:color w:val="auto"/>
          <w:sz w:val="18"/>
          <w:szCs w:val="18"/>
        </w:rPr>
        <w:t>)</w:t>
      </w:r>
      <w:r w:rsidRPr="0075697D">
        <w:rPr>
          <w:color w:val="auto"/>
          <w:sz w:val="18"/>
          <w:szCs w:val="18"/>
        </w:rPr>
        <w:t xml:space="preserve"> </w:t>
      </w:r>
      <w:r>
        <w:rPr>
          <w:color w:val="auto"/>
          <w:sz w:val="18"/>
          <w:szCs w:val="18"/>
        </w:rPr>
        <w:t>(2888</w:t>
      </w:r>
      <w:r w:rsidRPr="0075697D">
        <w:rPr>
          <w:color w:val="auto"/>
          <w:sz w:val="18"/>
          <w:szCs w:val="18"/>
        </w:rPr>
        <w:t>)</w:t>
      </w:r>
      <w:r>
        <w:rPr>
          <w:color w:val="auto"/>
          <w:sz w:val="18"/>
          <w:szCs w:val="18"/>
        </w:rPr>
        <w:t>,</w:t>
      </w:r>
      <w:r w:rsidRPr="0075697D">
        <w:rPr>
          <w:color w:val="auto"/>
          <w:sz w:val="18"/>
          <w:szCs w:val="18"/>
        </w:rPr>
        <w:t xml:space="preserve"> </w:t>
      </w:r>
      <w:r>
        <w:rPr>
          <w:color w:val="auto"/>
          <w:sz w:val="18"/>
          <w:szCs w:val="18"/>
        </w:rPr>
        <w:t>d</w:t>
      </w:r>
      <w:r w:rsidRPr="0075697D">
        <w:rPr>
          <w:color w:val="auto"/>
          <w:sz w:val="18"/>
          <w:szCs w:val="18"/>
        </w:rPr>
        <w:t xml:space="preserve">ostupno na: </w:t>
      </w:r>
      <w:hyperlink r:id="rId38" w:history="1">
        <w:r w:rsidRPr="00170BCC">
          <w:rPr>
            <w:rStyle w:val="Hyperlink"/>
            <w:sz w:val="18"/>
            <w:szCs w:val="18"/>
          </w:rPr>
          <w:t>http://narodne-novine.nn.hr/clanci/sluzbeni/2013_11_133_2888.html</w:t>
        </w:r>
      </w:hyperlink>
      <w:r>
        <w:rPr>
          <w:color w:val="auto"/>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footnote>
  <w:footnote w:id="38">
    <w:p w14:paraId="26DFCC8B" w14:textId="47DBE5BB" w:rsidR="009C52C4" w:rsidRDefault="009C52C4">
      <w:pPr>
        <w:pStyle w:val="FootnoteText"/>
      </w:pPr>
      <w:r>
        <w:rPr>
          <w:rStyle w:val="FootnoteReference"/>
        </w:rPr>
        <w:footnoteRef/>
      </w:r>
      <w:r>
        <w:t xml:space="preserve"> </w:t>
      </w:r>
      <w:r w:rsidRPr="00CF4129">
        <w:rPr>
          <w:sz w:val="18"/>
          <w:szCs w:val="18"/>
        </w:rPr>
        <w:t xml:space="preserve">Dostupno na: </w:t>
      </w:r>
      <w:hyperlink r:id="rId39" w:history="1">
        <w:r w:rsidRPr="00CF4129">
          <w:rPr>
            <w:rStyle w:val="Hyperlink"/>
            <w:sz w:val="18"/>
            <w:szCs w:val="18"/>
          </w:rPr>
          <w:t>http://www.enu.fzoeu.hr/ee-savjeti/pasivne-i-niskoenergetske-kuce</w:t>
        </w:r>
      </w:hyperlink>
      <w:r w:rsidRPr="00CF4129">
        <w:rPr>
          <w:sz w:val="18"/>
          <w:szCs w:val="18"/>
        </w:rPr>
        <w:t xml:space="preserve"> [30.travnja, 2017]</w:t>
      </w:r>
    </w:p>
    <w:p w14:paraId="0DB7A41A" w14:textId="77777777" w:rsidR="009C52C4" w:rsidRDefault="009C52C4">
      <w:pPr>
        <w:pStyle w:val="FootnoteText"/>
      </w:pPr>
    </w:p>
  </w:footnote>
  <w:footnote w:id="39">
    <w:p w14:paraId="03CA1DEF" w14:textId="77777777" w:rsidR="009C52C4" w:rsidRPr="0075697D" w:rsidRDefault="009C52C4" w:rsidP="00634901">
      <w:pPr>
        <w:rPr>
          <w:sz w:val="18"/>
          <w:szCs w:val="18"/>
        </w:rPr>
      </w:pPr>
      <w:r w:rsidRPr="0075697D">
        <w:rPr>
          <w:sz w:val="18"/>
          <w:szCs w:val="18"/>
          <w:vertAlign w:val="superscript"/>
        </w:rPr>
        <w:footnoteRef/>
      </w:r>
      <w:r w:rsidRPr="0075697D">
        <w:rPr>
          <w:sz w:val="18"/>
          <w:szCs w:val="18"/>
        </w:rPr>
        <w:t xml:space="preserve">Regionalna energetska agencija Sjeverozapadne Hrvatske (2013), </w:t>
      </w:r>
      <w:r w:rsidRPr="0075697D">
        <w:rPr>
          <w:i/>
          <w:sz w:val="18"/>
          <w:szCs w:val="18"/>
        </w:rPr>
        <w:t>Projektne smjernice za održivu gradnju</w:t>
      </w:r>
      <w:r w:rsidRPr="0075697D">
        <w:rPr>
          <w:sz w:val="18"/>
          <w:szCs w:val="18"/>
        </w:rPr>
        <w:t xml:space="preserve">, Zagreb; Gradski ured za energetiku, zaštitu okoliša i održivi razvoj Grada Zagreba i Regionalna energetska agencija Sjeverozapadne Hrvatske (2013), </w:t>
      </w:r>
      <w:r w:rsidRPr="0075697D">
        <w:rPr>
          <w:i/>
          <w:sz w:val="18"/>
          <w:szCs w:val="18"/>
        </w:rPr>
        <w:t>Projekt Zagreb – Energy Efficient City</w:t>
      </w:r>
      <w:r w:rsidRPr="0075697D">
        <w:rPr>
          <w:sz w:val="18"/>
          <w:szCs w:val="18"/>
        </w:rPr>
        <w:t xml:space="preserve">, Zagreb; Regionalna energetska agencija Sjeverozapadne Hrvatske (2013), </w:t>
      </w:r>
      <w:r w:rsidRPr="0075697D">
        <w:rPr>
          <w:i/>
          <w:sz w:val="18"/>
          <w:szCs w:val="18"/>
        </w:rPr>
        <w:t>Izvješće o energetskom pregledu zgrade Osnovne škole Dubovac, Karlovac</w:t>
      </w:r>
      <w:r w:rsidRPr="0075697D">
        <w:rPr>
          <w:sz w:val="18"/>
          <w:szCs w:val="18"/>
        </w:rPr>
        <w:t xml:space="preserve">; Regionalna energetska agencija Sjeverozapadne Hrvatske (2013), </w:t>
      </w:r>
      <w:r w:rsidRPr="0075697D">
        <w:rPr>
          <w:i/>
          <w:sz w:val="18"/>
          <w:szCs w:val="18"/>
        </w:rPr>
        <w:t>Izvješće o energetskom pregledu zgrade hostela Karlovac</w:t>
      </w:r>
      <w:r w:rsidRPr="0075697D">
        <w:rPr>
          <w:sz w:val="18"/>
          <w:szCs w:val="18"/>
        </w:rPr>
        <w:t xml:space="preserve">, Karlovac; Regionalna energetska agencija Sjeverozapadne Hrvatske (2013), </w:t>
      </w:r>
      <w:r w:rsidRPr="0075697D">
        <w:rPr>
          <w:i/>
          <w:sz w:val="18"/>
          <w:szCs w:val="18"/>
        </w:rPr>
        <w:t>Analiza sustava unutarnje rasvjete u zgradi Gimnazije Velika Gorica</w:t>
      </w:r>
      <w:r w:rsidRPr="0075697D">
        <w:rPr>
          <w:sz w:val="18"/>
          <w:szCs w:val="18"/>
        </w:rPr>
        <w:t xml:space="preserve">, Zagreb, Regionalna energetska agencija Sjeverozapadne Hrvatske (2013), </w:t>
      </w:r>
      <w:r w:rsidRPr="0075697D">
        <w:rPr>
          <w:i/>
          <w:sz w:val="18"/>
          <w:szCs w:val="18"/>
        </w:rPr>
        <w:t>Akcijski plan energetski održivog razvitka Grada Zagreba</w:t>
      </w:r>
      <w:r w:rsidRPr="0075697D">
        <w:rPr>
          <w:sz w:val="18"/>
          <w:szCs w:val="18"/>
        </w:rPr>
        <w:t>, Zagreb</w:t>
      </w:r>
    </w:p>
  </w:footnote>
  <w:footnote w:id="40">
    <w:p w14:paraId="7BEB17C9" w14:textId="77777777" w:rsidR="009C52C4" w:rsidRPr="0075697D" w:rsidRDefault="009C52C4" w:rsidP="00634901">
      <w:pPr>
        <w:rPr>
          <w:color w:val="auto"/>
          <w:sz w:val="18"/>
          <w:szCs w:val="18"/>
        </w:rPr>
      </w:pPr>
      <w:r w:rsidRPr="0075697D">
        <w:rPr>
          <w:sz w:val="18"/>
          <w:szCs w:val="18"/>
          <w:vertAlign w:val="superscript"/>
        </w:rPr>
        <w:footnoteRef/>
      </w:r>
      <w:r w:rsidRPr="0075697D">
        <w:rPr>
          <w:sz w:val="18"/>
          <w:szCs w:val="18"/>
        </w:rPr>
        <w:t>International Energy Agency (2017), Onl</w:t>
      </w:r>
      <w:r>
        <w:rPr>
          <w:sz w:val="18"/>
          <w:szCs w:val="18"/>
        </w:rPr>
        <w:t>ine Report for Croatia [online],</w:t>
      </w:r>
      <w:r w:rsidRPr="0075697D">
        <w:rPr>
          <w:sz w:val="18"/>
          <w:szCs w:val="18"/>
        </w:rPr>
        <w:t xml:space="preserve"> </w:t>
      </w:r>
      <w:r>
        <w:rPr>
          <w:sz w:val="18"/>
          <w:szCs w:val="18"/>
        </w:rPr>
        <w:t>d</w:t>
      </w:r>
      <w:r w:rsidRPr="0075697D">
        <w:rPr>
          <w:sz w:val="18"/>
          <w:szCs w:val="18"/>
        </w:rPr>
        <w:t xml:space="preserve">ostupno na: </w:t>
      </w:r>
      <w:hyperlink r:id="rId40" w:history="1">
        <w:r w:rsidRPr="00170BCC">
          <w:rPr>
            <w:rStyle w:val="Hyperlink"/>
            <w:sz w:val="18"/>
            <w:szCs w:val="18"/>
          </w:rPr>
          <w:t>http://www.iea.org/statistics/statisticssearch/report/?country=CROATIA&amp;product=Balances&amp;year=2014</w:t>
        </w:r>
      </w:hyperlink>
      <w:r w:rsidRPr="0075697D">
        <w:rPr>
          <w:color w:val="auto"/>
          <w:sz w:val="18"/>
          <w:szCs w:val="18"/>
        </w:rPr>
        <w:t xml:space="preserve"> [30. travnja, 2017.]</w:t>
      </w:r>
    </w:p>
  </w:footnote>
  <w:footnote w:id="41">
    <w:p w14:paraId="04FC828B" w14:textId="2DAB1121" w:rsidR="009C52C4" w:rsidRDefault="009C52C4" w:rsidP="00634901">
      <w:pPr>
        <w:rPr>
          <w:sz w:val="18"/>
          <w:szCs w:val="18"/>
        </w:rPr>
      </w:pPr>
      <w:r w:rsidRPr="0075697D">
        <w:rPr>
          <w:sz w:val="18"/>
          <w:szCs w:val="18"/>
          <w:vertAlign w:val="superscript"/>
        </w:rPr>
        <w:footnoteRef/>
      </w:r>
      <w:r w:rsidRPr="00664CF1">
        <w:rPr>
          <w:sz w:val="18"/>
          <w:szCs w:val="18"/>
        </w:rPr>
        <w:t>Odluka o iznosu tarifnih stavki za opskrbu električnom energijom u okviru univerzalne usluge</w:t>
      </w:r>
      <w:r>
        <w:rPr>
          <w:sz w:val="18"/>
          <w:szCs w:val="18"/>
        </w:rPr>
        <w:t xml:space="preserve"> (Narodne novine br</w:t>
      </w:r>
      <w:r w:rsidRPr="00664CF1">
        <w:rPr>
          <w:sz w:val="18"/>
          <w:szCs w:val="18"/>
        </w:rPr>
        <w:t xml:space="preserve"> 63/15 (1219)</w:t>
      </w:r>
      <w:r>
        <w:rPr>
          <w:sz w:val="18"/>
          <w:szCs w:val="18"/>
        </w:rPr>
        <w:t xml:space="preserve">, dostupno na: </w:t>
      </w:r>
      <w:hyperlink r:id="rId41" w:history="1">
        <w:r w:rsidRPr="00170BCC">
          <w:rPr>
            <w:rStyle w:val="Hyperlink"/>
            <w:sz w:val="18"/>
            <w:szCs w:val="18"/>
          </w:rPr>
          <w:t>http://narodne-novine.nn.hr/clanci/sluzbeni/2015_06_63_1219.html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r>
        <w:rPr>
          <w:sz w:val="18"/>
          <w:szCs w:val="18"/>
        </w:rPr>
        <w:t>;</w:t>
      </w:r>
    </w:p>
    <w:p w14:paraId="6628C02C" w14:textId="065A42C1" w:rsidR="009C52C4" w:rsidRDefault="00A209E4" w:rsidP="00634901">
      <w:pPr>
        <w:rPr>
          <w:sz w:val="18"/>
          <w:szCs w:val="18"/>
        </w:rPr>
      </w:pPr>
      <w:hyperlink r:id="rId42">
        <w:r w:rsidR="009C52C4" w:rsidRPr="00664CF1">
          <w:rPr>
            <w:sz w:val="18"/>
            <w:szCs w:val="18"/>
          </w:rPr>
          <w:t>Odluka o iznosu tarifnih stavki za distribuciju električne energije</w:t>
        </w:r>
      </w:hyperlink>
      <w:r w:rsidR="009C52C4">
        <w:rPr>
          <w:sz w:val="18"/>
          <w:szCs w:val="18"/>
        </w:rPr>
        <w:t xml:space="preserve"> (Narodne novine br</w:t>
      </w:r>
      <w:r w:rsidR="009C52C4" w:rsidRPr="00664CF1">
        <w:rPr>
          <w:sz w:val="18"/>
          <w:szCs w:val="18"/>
        </w:rPr>
        <w:t xml:space="preserve"> 134/15</w:t>
      </w:r>
      <w:r w:rsidR="009C52C4">
        <w:rPr>
          <w:sz w:val="18"/>
          <w:szCs w:val="18"/>
        </w:rPr>
        <w:t>)</w:t>
      </w:r>
      <w:r w:rsidR="009C52C4" w:rsidRPr="00664CF1">
        <w:rPr>
          <w:sz w:val="18"/>
          <w:szCs w:val="18"/>
        </w:rPr>
        <w:t xml:space="preserve"> (2533)</w:t>
      </w:r>
      <w:r w:rsidR="009C52C4">
        <w:rPr>
          <w:sz w:val="18"/>
          <w:szCs w:val="18"/>
        </w:rPr>
        <w:t>,</w:t>
      </w:r>
      <w:r w:rsidR="009C52C4" w:rsidRPr="0075697D">
        <w:rPr>
          <w:sz w:val="18"/>
          <w:szCs w:val="18"/>
        </w:rPr>
        <w:t xml:space="preserve"> </w:t>
      </w:r>
      <w:r w:rsidR="009C52C4">
        <w:rPr>
          <w:sz w:val="18"/>
          <w:szCs w:val="18"/>
        </w:rPr>
        <w:t>d</w:t>
      </w:r>
      <w:r w:rsidR="009C52C4" w:rsidRPr="0075697D">
        <w:rPr>
          <w:sz w:val="18"/>
          <w:szCs w:val="18"/>
        </w:rPr>
        <w:t xml:space="preserve">ostupno na: </w:t>
      </w:r>
      <w:hyperlink r:id="rId43" w:history="1">
        <w:r w:rsidR="009C52C4" w:rsidRPr="00170BCC">
          <w:rPr>
            <w:rStyle w:val="Hyperlink"/>
            <w:sz w:val="18"/>
            <w:szCs w:val="18"/>
          </w:rPr>
          <w:t>http://narodne-novine.nn.hr/clanci/sluzbeni/2015_12_134_2533.html</w:t>
        </w:r>
      </w:hyperlink>
      <w:r w:rsidR="009C52C4">
        <w:rPr>
          <w:sz w:val="18"/>
          <w:szCs w:val="18"/>
        </w:rPr>
        <w:t xml:space="preserve"> </w:t>
      </w:r>
      <w:r w:rsidR="009C52C4" w:rsidRPr="0075697D">
        <w:rPr>
          <w:sz w:val="18"/>
          <w:szCs w:val="18"/>
        </w:rPr>
        <w:t>[3</w:t>
      </w:r>
      <w:r w:rsidR="009C52C4">
        <w:rPr>
          <w:sz w:val="18"/>
          <w:szCs w:val="18"/>
        </w:rPr>
        <w:t>0</w:t>
      </w:r>
      <w:r w:rsidR="009C52C4" w:rsidRPr="0075697D">
        <w:rPr>
          <w:sz w:val="18"/>
          <w:szCs w:val="18"/>
        </w:rPr>
        <w:t xml:space="preserve">. </w:t>
      </w:r>
      <w:r w:rsidR="009C52C4">
        <w:rPr>
          <w:sz w:val="18"/>
          <w:szCs w:val="18"/>
        </w:rPr>
        <w:t>travnja, 2017</w:t>
      </w:r>
      <w:r w:rsidR="009C52C4" w:rsidRPr="0075697D">
        <w:rPr>
          <w:sz w:val="18"/>
          <w:szCs w:val="18"/>
        </w:rPr>
        <w:t>]</w:t>
      </w:r>
    </w:p>
    <w:p w14:paraId="4461423C" w14:textId="310D12C7" w:rsidR="009C52C4" w:rsidRPr="0075697D" w:rsidRDefault="009C52C4" w:rsidP="00634901">
      <w:pPr>
        <w:rPr>
          <w:sz w:val="18"/>
          <w:szCs w:val="18"/>
        </w:rPr>
      </w:pPr>
      <w:r w:rsidRPr="00664CF1">
        <w:rPr>
          <w:sz w:val="18"/>
          <w:szCs w:val="18"/>
        </w:rPr>
        <w:t>Odluka o iznosu tarifnih stavki za prijenos električne energije</w:t>
      </w:r>
      <w:r>
        <w:rPr>
          <w:sz w:val="18"/>
          <w:szCs w:val="18"/>
        </w:rPr>
        <w:t xml:space="preserve"> (Narodne novine br.</w:t>
      </w:r>
      <w:r w:rsidRPr="00664CF1">
        <w:rPr>
          <w:sz w:val="18"/>
          <w:szCs w:val="18"/>
        </w:rPr>
        <w:t xml:space="preserve"> 134/15</w:t>
      </w:r>
      <w:r>
        <w:rPr>
          <w:sz w:val="18"/>
          <w:szCs w:val="18"/>
        </w:rPr>
        <w:t>)</w:t>
      </w:r>
      <w:r w:rsidRPr="00664CF1">
        <w:rPr>
          <w:sz w:val="18"/>
          <w:szCs w:val="18"/>
        </w:rPr>
        <w:t xml:space="preserve"> (2532)</w:t>
      </w:r>
      <w:r>
        <w:rPr>
          <w:sz w:val="18"/>
          <w:szCs w:val="18"/>
        </w:rPr>
        <w:t>, d</w:t>
      </w:r>
      <w:r w:rsidRPr="0075697D">
        <w:rPr>
          <w:sz w:val="18"/>
          <w:szCs w:val="18"/>
        </w:rPr>
        <w:t xml:space="preserve">ostupno na: </w:t>
      </w:r>
      <w:hyperlink r:id="rId44" w:history="1">
        <w:r w:rsidRPr="00170BCC">
          <w:rPr>
            <w:rStyle w:val="Hyperlink"/>
            <w:sz w:val="18"/>
            <w:szCs w:val="18"/>
          </w:rPr>
          <w:t>http://narodne-novine.nn.hr/clanci/sluzbeni/2015_12_134_2532.html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p>
    <w:p w14:paraId="6236C100" w14:textId="2F71574B" w:rsidR="009C52C4" w:rsidRPr="0075697D" w:rsidRDefault="00A209E4" w:rsidP="00634901">
      <w:pPr>
        <w:rPr>
          <w:sz w:val="18"/>
          <w:szCs w:val="18"/>
        </w:rPr>
      </w:pPr>
      <w:hyperlink r:id="rId45" w:history="1">
        <w:r w:rsidR="009C52C4" w:rsidRPr="00947CE3">
          <w:rPr>
            <w:rStyle w:val="Hyperlink"/>
            <w:sz w:val="18"/>
            <w:szCs w:val="18"/>
          </w:rPr>
          <w:t>Odluka o visini tarifni stavki u Tarifnom sustavu za opskrbu prirodnim plinom, s iznimkom povlaštenih kupaca, bez visine tarifni stavki („Narodne novine“ broj 49/2012 i 99/2012) (2199),</w:t>
        </w:r>
        <w:r w:rsidR="009C52C4" w:rsidRPr="00947CE3">
          <w:rPr>
            <w:rStyle w:val="Hyperlink"/>
            <w:i/>
            <w:sz w:val="18"/>
            <w:szCs w:val="18"/>
          </w:rPr>
          <w:t xml:space="preserve"> </w:t>
        </w:r>
      </w:hyperlink>
      <w:r w:rsidR="009C52C4">
        <w:rPr>
          <w:sz w:val="18"/>
          <w:szCs w:val="18"/>
        </w:rPr>
        <w:t>d</w:t>
      </w:r>
      <w:r w:rsidR="009C52C4" w:rsidRPr="0075697D">
        <w:rPr>
          <w:sz w:val="18"/>
          <w:szCs w:val="18"/>
        </w:rPr>
        <w:t xml:space="preserve">ostupno na: </w:t>
      </w:r>
      <w:hyperlink r:id="rId46" w:history="1">
        <w:r w:rsidR="009C52C4" w:rsidRPr="00170BCC">
          <w:rPr>
            <w:rStyle w:val="Hyperlink"/>
            <w:sz w:val="18"/>
            <w:szCs w:val="18"/>
          </w:rPr>
          <w:t>http://narodne-novine.nn.hr/clanci/sluzbeni/2012_08_99_2199.html</w:t>
        </w:r>
      </w:hyperlink>
      <w:r w:rsidR="009C52C4">
        <w:rPr>
          <w:sz w:val="18"/>
          <w:szCs w:val="18"/>
        </w:rPr>
        <w:t xml:space="preserve"> </w:t>
      </w:r>
      <w:r w:rsidR="009C52C4" w:rsidRPr="0075697D">
        <w:rPr>
          <w:sz w:val="18"/>
          <w:szCs w:val="18"/>
        </w:rPr>
        <w:t>[3</w:t>
      </w:r>
      <w:r w:rsidR="009C52C4">
        <w:rPr>
          <w:sz w:val="18"/>
          <w:szCs w:val="18"/>
        </w:rPr>
        <w:t>0</w:t>
      </w:r>
      <w:r w:rsidR="009C52C4" w:rsidRPr="0075697D">
        <w:rPr>
          <w:sz w:val="18"/>
          <w:szCs w:val="18"/>
        </w:rPr>
        <w:t xml:space="preserve">. </w:t>
      </w:r>
      <w:r w:rsidR="009C52C4">
        <w:rPr>
          <w:sz w:val="18"/>
          <w:szCs w:val="18"/>
        </w:rPr>
        <w:t>travnja, 2017</w:t>
      </w:r>
      <w:r w:rsidR="009C52C4" w:rsidRPr="0075697D">
        <w:rPr>
          <w:sz w:val="18"/>
          <w:szCs w:val="18"/>
        </w:rPr>
        <w:t>]</w:t>
      </w:r>
    </w:p>
    <w:p w14:paraId="69970898" w14:textId="5D962546" w:rsidR="009C52C4" w:rsidRPr="0075697D" w:rsidRDefault="00A209E4" w:rsidP="00634901">
      <w:pPr>
        <w:rPr>
          <w:sz w:val="18"/>
          <w:szCs w:val="18"/>
        </w:rPr>
      </w:pPr>
      <w:hyperlink r:id="rId47">
        <w:r w:rsidR="009C52C4" w:rsidRPr="005D1FDD">
          <w:rPr>
            <w:sz w:val="18"/>
            <w:szCs w:val="18"/>
          </w:rPr>
          <w:t>Metodologija utvrđivanja iznosa tarifnih stavki za javnu uslugu opskrbe plinom i zajamčenu opskrbu</w:t>
        </w:r>
        <w:r w:rsidR="009C52C4">
          <w:rPr>
            <w:sz w:val="18"/>
            <w:szCs w:val="18"/>
          </w:rPr>
          <w:t xml:space="preserve"> („Narodne novine“ broj</w:t>
        </w:r>
        <w:r w:rsidR="009C52C4" w:rsidRPr="005D1FDD">
          <w:rPr>
            <w:sz w:val="18"/>
            <w:szCs w:val="18"/>
          </w:rPr>
          <w:t xml:space="preserve"> </w:t>
        </w:r>
      </w:hyperlink>
      <w:r w:rsidR="009C52C4" w:rsidRPr="005D1FDD">
        <w:rPr>
          <w:sz w:val="18"/>
          <w:szCs w:val="18"/>
        </w:rPr>
        <w:t>26/</w:t>
      </w:r>
      <w:r w:rsidR="009C52C4">
        <w:rPr>
          <w:sz w:val="18"/>
          <w:szCs w:val="18"/>
        </w:rPr>
        <w:t>20</w:t>
      </w:r>
      <w:r w:rsidR="009C52C4" w:rsidRPr="005D1FDD">
        <w:rPr>
          <w:sz w:val="18"/>
          <w:szCs w:val="18"/>
        </w:rPr>
        <w:t>17</w:t>
      </w:r>
      <w:r w:rsidR="009C52C4">
        <w:rPr>
          <w:sz w:val="18"/>
          <w:szCs w:val="18"/>
        </w:rPr>
        <w:t>)</w:t>
      </w:r>
      <w:r w:rsidR="009C52C4" w:rsidRPr="005D1FDD">
        <w:rPr>
          <w:sz w:val="18"/>
          <w:szCs w:val="18"/>
        </w:rPr>
        <w:t xml:space="preserve"> </w:t>
      </w:r>
      <w:r w:rsidR="009C52C4">
        <w:rPr>
          <w:sz w:val="18"/>
          <w:szCs w:val="18"/>
        </w:rPr>
        <w:t>(585</w:t>
      </w:r>
      <w:r w:rsidR="009C52C4" w:rsidRPr="0075697D">
        <w:rPr>
          <w:sz w:val="18"/>
          <w:szCs w:val="18"/>
        </w:rPr>
        <w:t>)</w:t>
      </w:r>
      <w:r w:rsidR="009C52C4">
        <w:rPr>
          <w:sz w:val="18"/>
          <w:szCs w:val="18"/>
        </w:rPr>
        <w:t>,</w:t>
      </w:r>
      <w:r w:rsidR="009C52C4" w:rsidRPr="0075697D">
        <w:rPr>
          <w:sz w:val="18"/>
          <w:szCs w:val="18"/>
        </w:rPr>
        <w:t xml:space="preserve"> </w:t>
      </w:r>
      <w:r w:rsidR="009C52C4">
        <w:rPr>
          <w:sz w:val="18"/>
          <w:szCs w:val="18"/>
        </w:rPr>
        <w:t>d</w:t>
      </w:r>
      <w:r w:rsidR="009C52C4" w:rsidRPr="0075697D">
        <w:rPr>
          <w:sz w:val="18"/>
          <w:szCs w:val="18"/>
        </w:rPr>
        <w:t xml:space="preserve">ostupno na: </w:t>
      </w:r>
      <w:hyperlink r:id="rId48" w:history="1">
        <w:r w:rsidR="009C52C4" w:rsidRPr="00170BCC">
          <w:rPr>
            <w:rStyle w:val="Hyperlink"/>
            <w:sz w:val="18"/>
            <w:szCs w:val="18"/>
          </w:rPr>
          <w:t>http://narodne-novine.nn.hr/clanci/sluzbeni/2017_03_26_585.html</w:t>
        </w:r>
      </w:hyperlink>
      <w:r w:rsidR="009C52C4">
        <w:rPr>
          <w:sz w:val="18"/>
          <w:szCs w:val="18"/>
        </w:rPr>
        <w:t xml:space="preserve"> </w:t>
      </w:r>
      <w:r w:rsidR="009C52C4" w:rsidRPr="0075697D">
        <w:rPr>
          <w:sz w:val="18"/>
          <w:szCs w:val="18"/>
        </w:rPr>
        <w:t>[3</w:t>
      </w:r>
      <w:r w:rsidR="009C52C4">
        <w:rPr>
          <w:sz w:val="18"/>
          <w:szCs w:val="18"/>
        </w:rPr>
        <w:t>0</w:t>
      </w:r>
      <w:r w:rsidR="009C52C4" w:rsidRPr="0075697D">
        <w:rPr>
          <w:sz w:val="18"/>
          <w:szCs w:val="18"/>
        </w:rPr>
        <w:t xml:space="preserve">. </w:t>
      </w:r>
      <w:r w:rsidR="009C52C4">
        <w:rPr>
          <w:sz w:val="18"/>
          <w:szCs w:val="18"/>
        </w:rPr>
        <w:t>travnja, 2017</w:t>
      </w:r>
      <w:r w:rsidR="009C52C4" w:rsidRPr="0075697D">
        <w:rPr>
          <w:sz w:val="18"/>
          <w:szCs w:val="18"/>
        </w:rPr>
        <w:t>]</w:t>
      </w:r>
    </w:p>
    <w:p w14:paraId="6231A920" w14:textId="170B8170" w:rsidR="009C52C4" w:rsidRPr="0075697D" w:rsidRDefault="009C52C4" w:rsidP="00634901">
      <w:pPr>
        <w:rPr>
          <w:sz w:val="18"/>
          <w:szCs w:val="18"/>
        </w:rPr>
      </w:pPr>
      <w:r w:rsidRPr="0075697D">
        <w:rPr>
          <w:sz w:val="18"/>
          <w:szCs w:val="18"/>
        </w:rPr>
        <w:t>Odluka o iznosu tarifnih stavki za distribuciju toplinske energije za centralne toplinske sustave Zagreb, Osijek i Sisak za energetski subjekt HEP - Toplinarstvo d.o.o., Miševečka 15/a</w:t>
      </w:r>
      <w:r>
        <w:rPr>
          <w:sz w:val="18"/>
          <w:szCs w:val="18"/>
        </w:rPr>
        <w:t xml:space="preserve"> </w:t>
      </w:r>
      <w:r w:rsidRPr="00494596">
        <w:rPr>
          <w:sz w:val="18"/>
          <w:szCs w:val="18"/>
        </w:rPr>
        <w:t xml:space="preserve">(„Narodne novine“ broj </w:t>
      </w:r>
      <w:r w:rsidRPr="0075697D">
        <w:rPr>
          <w:sz w:val="18"/>
          <w:szCs w:val="18"/>
        </w:rPr>
        <w:t>105/2014</w:t>
      </w:r>
      <w:r>
        <w:rPr>
          <w:sz w:val="18"/>
          <w:szCs w:val="18"/>
        </w:rPr>
        <w:t>)</w:t>
      </w:r>
      <w:r w:rsidRPr="0075697D">
        <w:rPr>
          <w:sz w:val="18"/>
          <w:szCs w:val="18"/>
        </w:rPr>
        <w:t xml:space="preserve"> (2040), </w:t>
      </w:r>
      <w:r>
        <w:rPr>
          <w:sz w:val="18"/>
          <w:szCs w:val="18"/>
        </w:rPr>
        <w:t>d</w:t>
      </w:r>
      <w:r w:rsidRPr="0075697D">
        <w:rPr>
          <w:sz w:val="18"/>
          <w:szCs w:val="18"/>
        </w:rPr>
        <w:t xml:space="preserve">ostupno na: </w:t>
      </w:r>
      <w:hyperlink r:id="rId49" w:history="1">
        <w:r w:rsidRPr="00170BCC">
          <w:rPr>
            <w:rStyle w:val="Hyperlink"/>
            <w:sz w:val="18"/>
            <w:szCs w:val="18"/>
          </w:rPr>
          <w:t>http://narodne-novine.nn.hr/clanci/sluzbeni/2014_08_105_2040.html</w:t>
        </w:r>
      </w:hyperlink>
      <w:r>
        <w:rPr>
          <w:sz w:val="18"/>
          <w:szCs w:val="18"/>
        </w:rPr>
        <w:t xml:space="preserve"> </w:t>
      </w:r>
      <w:r w:rsidRPr="0075697D">
        <w:rPr>
          <w:sz w:val="18"/>
          <w:szCs w:val="18"/>
        </w:rPr>
        <w:t>[3</w:t>
      </w:r>
      <w:r>
        <w:rPr>
          <w:sz w:val="18"/>
          <w:szCs w:val="18"/>
        </w:rPr>
        <w:t>0</w:t>
      </w:r>
      <w:r w:rsidRPr="0075697D">
        <w:rPr>
          <w:sz w:val="18"/>
          <w:szCs w:val="18"/>
        </w:rPr>
        <w:t xml:space="preserve">. </w:t>
      </w:r>
      <w:r>
        <w:rPr>
          <w:sz w:val="18"/>
          <w:szCs w:val="18"/>
        </w:rPr>
        <w:t>travnja, 2017</w:t>
      </w:r>
      <w:r w:rsidRPr="0075697D">
        <w:rPr>
          <w:sz w:val="18"/>
          <w:szCs w:val="18"/>
        </w:rPr>
        <w:t>]</w:t>
      </w:r>
      <w:r>
        <w:rPr>
          <w:sz w:val="18"/>
          <w:szCs w:val="18"/>
        </w:rPr>
        <w:t>;</w:t>
      </w:r>
      <w:r w:rsidRPr="0075697D">
        <w:rPr>
          <w:sz w:val="18"/>
          <w:szCs w:val="18"/>
        </w:rPr>
        <w:t xml:space="preserve"> Odluka o iznosu tarifnih stavki za distribuciju toplinske energije za centralne toplinske sustave Dubrava, Velika Gorica i Samobor za energetski subjekt HEP - Toplinarstvo d.o.o., Miš</w:t>
      </w:r>
      <w:r>
        <w:rPr>
          <w:sz w:val="18"/>
          <w:szCs w:val="18"/>
        </w:rPr>
        <w:t xml:space="preserve">evečka 15/a </w:t>
      </w:r>
      <w:r w:rsidRPr="00494596">
        <w:rPr>
          <w:sz w:val="18"/>
          <w:szCs w:val="18"/>
        </w:rPr>
        <w:t>(„Narodne novine“ broj</w:t>
      </w:r>
      <w:r>
        <w:rPr>
          <w:sz w:val="18"/>
          <w:szCs w:val="18"/>
        </w:rPr>
        <w:t xml:space="preserve"> 105/2014)</w:t>
      </w:r>
      <w:r w:rsidRPr="0075697D">
        <w:rPr>
          <w:sz w:val="18"/>
          <w:szCs w:val="18"/>
        </w:rPr>
        <w:t xml:space="preserve"> (2039), </w:t>
      </w:r>
      <w:r>
        <w:rPr>
          <w:sz w:val="18"/>
          <w:szCs w:val="18"/>
        </w:rPr>
        <w:t>d</w:t>
      </w:r>
      <w:r w:rsidRPr="0075697D">
        <w:rPr>
          <w:sz w:val="18"/>
          <w:szCs w:val="18"/>
        </w:rPr>
        <w:t xml:space="preserve">ostupno na: </w:t>
      </w:r>
      <w:hyperlink r:id="rId50" w:history="1">
        <w:r w:rsidRPr="00170BCC">
          <w:rPr>
            <w:rStyle w:val="Hyperlink"/>
            <w:sz w:val="18"/>
            <w:szCs w:val="18"/>
          </w:rPr>
          <w:t>http://narodne-novine.nn.hr/clanci/sluzbeni/2014_08_105_2039.html</w:t>
        </w:r>
      </w:hyperlink>
      <w:r>
        <w:rPr>
          <w:sz w:val="18"/>
          <w:szCs w:val="18"/>
        </w:rPr>
        <w:t xml:space="preserve"> </w:t>
      </w:r>
      <w:r w:rsidRPr="0075697D">
        <w:rPr>
          <w:sz w:val="18"/>
          <w:szCs w:val="18"/>
        </w:rPr>
        <w:t>; Odluka o iznosu tarifnih stavki za distribuciju toplinske energije za centralne toplinske sustave Dubrava, Velika Gorica i Samobor za energetski subjekt HEP - Toplinarstvo d.o.o., Miš</w:t>
      </w:r>
      <w:r>
        <w:rPr>
          <w:sz w:val="18"/>
          <w:szCs w:val="18"/>
        </w:rPr>
        <w:t xml:space="preserve">evečka 15/a </w:t>
      </w:r>
      <w:r w:rsidRPr="00494596">
        <w:rPr>
          <w:sz w:val="18"/>
          <w:szCs w:val="18"/>
        </w:rPr>
        <w:t xml:space="preserve">(„Narodne novine“ broj </w:t>
      </w:r>
      <w:r>
        <w:rPr>
          <w:sz w:val="18"/>
          <w:szCs w:val="18"/>
        </w:rPr>
        <w:t>105/2014)</w:t>
      </w:r>
      <w:r w:rsidRPr="0075697D">
        <w:rPr>
          <w:sz w:val="18"/>
          <w:szCs w:val="18"/>
        </w:rPr>
        <w:t xml:space="preserve"> (2039), </w:t>
      </w:r>
      <w:r>
        <w:rPr>
          <w:sz w:val="18"/>
          <w:szCs w:val="18"/>
        </w:rPr>
        <w:t>d</w:t>
      </w:r>
      <w:r w:rsidRPr="0075697D">
        <w:rPr>
          <w:sz w:val="18"/>
          <w:szCs w:val="18"/>
        </w:rPr>
        <w:t xml:space="preserve">ostupno na: </w:t>
      </w:r>
      <w:hyperlink r:id="rId51" w:history="1">
        <w:r w:rsidRPr="00170BCC">
          <w:rPr>
            <w:rStyle w:val="Hyperlink"/>
            <w:sz w:val="18"/>
            <w:szCs w:val="18"/>
          </w:rPr>
          <w:t>http://narodne-novine.nn.hr/clanci/sluzbeni/2014_08_105_2038.html</w:t>
        </w:r>
      </w:hyperlink>
      <w:r>
        <w:rPr>
          <w:sz w:val="18"/>
          <w:szCs w:val="18"/>
        </w:rPr>
        <w:t xml:space="preserve"> </w:t>
      </w:r>
      <w:r w:rsidRPr="0075697D">
        <w:rPr>
          <w:sz w:val="18"/>
          <w:szCs w:val="18"/>
        </w:rPr>
        <w:t>; Odluka o iznosu tarifnih stavki za proizvodnju toplinske energije za centralne toplinske sustave Zagreb, Osijek i Sisak, za energetski subjekt HEP - Proizvodnja d.o.o., Ulica grada Vukovara 37</w:t>
      </w:r>
      <w:r>
        <w:rPr>
          <w:sz w:val="18"/>
          <w:szCs w:val="18"/>
        </w:rPr>
        <w:t xml:space="preserve"> </w:t>
      </w:r>
      <w:r w:rsidRPr="00494596">
        <w:rPr>
          <w:sz w:val="18"/>
          <w:szCs w:val="18"/>
        </w:rPr>
        <w:t>(„Narodne novine“ broj</w:t>
      </w:r>
      <w:r w:rsidRPr="0075697D">
        <w:rPr>
          <w:sz w:val="18"/>
          <w:szCs w:val="18"/>
        </w:rPr>
        <w:t xml:space="preserve"> 105/2014</w:t>
      </w:r>
      <w:r>
        <w:rPr>
          <w:sz w:val="18"/>
          <w:szCs w:val="18"/>
        </w:rPr>
        <w:t>)</w:t>
      </w:r>
      <w:r w:rsidRPr="0075697D">
        <w:rPr>
          <w:sz w:val="18"/>
          <w:szCs w:val="18"/>
        </w:rPr>
        <w:t xml:space="preserve"> (2037), </w:t>
      </w:r>
      <w:r>
        <w:rPr>
          <w:sz w:val="18"/>
          <w:szCs w:val="18"/>
        </w:rPr>
        <w:t>d</w:t>
      </w:r>
      <w:r w:rsidRPr="0075697D">
        <w:rPr>
          <w:sz w:val="18"/>
          <w:szCs w:val="18"/>
        </w:rPr>
        <w:t xml:space="preserve">ostupno na: </w:t>
      </w:r>
      <w:hyperlink r:id="rId52" w:history="1">
        <w:r w:rsidRPr="00170BCC">
          <w:rPr>
            <w:rStyle w:val="Hyperlink"/>
            <w:sz w:val="18"/>
            <w:szCs w:val="18"/>
          </w:rPr>
          <w:t>http://narodne-novine.nn.hr/clanci/sluzbeni/2014_08_105_2037.html</w:t>
        </w:r>
      </w:hyperlink>
      <w:r>
        <w:rPr>
          <w:sz w:val="18"/>
          <w:szCs w:val="18"/>
        </w:rPr>
        <w:t xml:space="preserve"> </w:t>
      </w:r>
      <w:r w:rsidRPr="0075697D">
        <w:rPr>
          <w:sz w:val="18"/>
          <w:szCs w:val="18"/>
        </w:rPr>
        <w:t xml:space="preserve">; Odluka o iznosu tarifnih stavki za distribuciju toplinske energije za centralni toplinski sustav Karlovac, za energetski subjekt Gradska toplana d.o.o., Tina Ujevića 7, Karlovac </w:t>
      </w:r>
      <w:r w:rsidRPr="00494596">
        <w:rPr>
          <w:sz w:val="18"/>
          <w:szCs w:val="18"/>
        </w:rPr>
        <w:t>(„Narodne novine“ broj</w:t>
      </w:r>
      <w:r w:rsidRPr="0075697D">
        <w:rPr>
          <w:sz w:val="18"/>
          <w:szCs w:val="18"/>
        </w:rPr>
        <w:t xml:space="preserve"> 105/2014</w:t>
      </w:r>
      <w:r>
        <w:rPr>
          <w:sz w:val="18"/>
          <w:szCs w:val="18"/>
        </w:rPr>
        <w:t>)</w:t>
      </w:r>
      <w:r w:rsidRPr="0075697D">
        <w:rPr>
          <w:sz w:val="18"/>
          <w:szCs w:val="18"/>
        </w:rPr>
        <w:t xml:space="preserve"> (2036), </w:t>
      </w:r>
      <w:r>
        <w:rPr>
          <w:sz w:val="18"/>
          <w:szCs w:val="18"/>
        </w:rPr>
        <w:t>d</w:t>
      </w:r>
      <w:r w:rsidRPr="0075697D">
        <w:rPr>
          <w:sz w:val="18"/>
          <w:szCs w:val="18"/>
        </w:rPr>
        <w:t xml:space="preserve">ostupno na: </w:t>
      </w:r>
      <w:hyperlink r:id="rId53" w:history="1">
        <w:r w:rsidRPr="00170BCC">
          <w:rPr>
            <w:rStyle w:val="Hyperlink"/>
            <w:sz w:val="18"/>
            <w:szCs w:val="18"/>
          </w:rPr>
          <w:t>http://narodne-novine.nn.hr/clanci/sluzbeni/2014_08_105_2036.html</w:t>
        </w:r>
      </w:hyperlink>
      <w:r>
        <w:rPr>
          <w:sz w:val="18"/>
          <w:szCs w:val="18"/>
        </w:rPr>
        <w:t xml:space="preserve"> </w:t>
      </w:r>
      <w:r w:rsidRPr="0075697D">
        <w:rPr>
          <w:sz w:val="18"/>
          <w:szCs w:val="18"/>
        </w:rPr>
        <w:t xml:space="preserve">; Odluka o iznosu tarifnih stavki za proizvodnju toplinske energije za centralni toplinski sustav Karlovac, za energetski subjekt Gradska toplana d.o.o., Tina </w:t>
      </w:r>
      <w:r>
        <w:rPr>
          <w:sz w:val="18"/>
          <w:szCs w:val="18"/>
        </w:rPr>
        <w:t xml:space="preserve">Ujevića 7, Karlovac </w:t>
      </w:r>
      <w:r w:rsidRPr="00494596">
        <w:rPr>
          <w:sz w:val="18"/>
          <w:szCs w:val="18"/>
        </w:rPr>
        <w:t>(„Narodne novine“ broj</w:t>
      </w:r>
      <w:r>
        <w:rPr>
          <w:sz w:val="18"/>
          <w:szCs w:val="18"/>
        </w:rPr>
        <w:t xml:space="preserve"> 105/2014)</w:t>
      </w:r>
      <w:r w:rsidRPr="0075697D">
        <w:rPr>
          <w:sz w:val="18"/>
          <w:szCs w:val="18"/>
        </w:rPr>
        <w:t xml:space="preserve"> (2035), </w:t>
      </w:r>
      <w:r>
        <w:rPr>
          <w:sz w:val="18"/>
          <w:szCs w:val="18"/>
        </w:rPr>
        <w:t>d</w:t>
      </w:r>
      <w:r w:rsidRPr="0075697D">
        <w:rPr>
          <w:sz w:val="18"/>
          <w:szCs w:val="18"/>
        </w:rPr>
        <w:t xml:space="preserve">ostupno na: </w:t>
      </w:r>
      <w:hyperlink r:id="rId54" w:history="1">
        <w:r w:rsidRPr="00170BCC">
          <w:rPr>
            <w:rStyle w:val="Hyperlink"/>
            <w:sz w:val="18"/>
            <w:szCs w:val="18"/>
          </w:rPr>
          <w:t>http://narodne-novine.nn.hr/clanci/sluzbeni/2014_08_105_2035.html</w:t>
        </w:r>
      </w:hyperlink>
      <w:r>
        <w:rPr>
          <w:sz w:val="18"/>
          <w:szCs w:val="18"/>
        </w:rPr>
        <w:t xml:space="preserve"> </w:t>
      </w:r>
      <w:r w:rsidRPr="0075697D">
        <w:rPr>
          <w:sz w:val="18"/>
          <w:szCs w:val="18"/>
        </w:rPr>
        <w:t>; Odluka o iznosu tarifnih stavki za distribuciju toplinske energije za centralne toplinske sustave Gornja Vežica, Vojak i Krnjevo za energetski subjekt Energo d.o.o</w:t>
      </w:r>
      <w:r>
        <w:rPr>
          <w:sz w:val="18"/>
          <w:szCs w:val="18"/>
        </w:rPr>
        <w:t xml:space="preserve">., Dolac 14, Rijeka </w:t>
      </w:r>
      <w:r w:rsidRPr="00494596">
        <w:rPr>
          <w:sz w:val="18"/>
          <w:szCs w:val="18"/>
        </w:rPr>
        <w:t xml:space="preserve">(„Narodne novine“ broj </w:t>
      </w:r>
      <w:r>
        <w:rPr>
          <w:sz w:val="18"/>
          <w:szCs w:val="18"/>
        </w:rPr>
        <w:t>105/2014)</w:t>
      </w:r>
      <w:r w:rsidRPr="0075697D">
        <w:rPr>
          <w:sz w:val="18"/>
          <w:szCs w:val="18"/>
        </w:rPr>
        <w:t xml:space="preserve"> (2034), </w:t>
      </w:r>
      <w:r>
        <w:rPr>
          <w:sz w:val="18"/>
          <w:szCs w:val="18"/>
        </w:rPr>
        <w:t>d</w:t>
      </w:r>
      <w:r w:rsidRPr="0075697D">
        <w:rPr>
          <w:sz w:val="18"/>
          <w:szCs w:val="18"/>
        </w:rPr>
        <w:t xml:space="preserve">ostupno na: </w:t>
      </w:r>
      <w:hyperlink r:id="rId55" w:history="1">
        <w:r w:rsidRPr="00170BCC">
          <w:rPr>
            <w:rStyle w:val="Hyperlink"/>
            <w:sz w:val="18"/>
            <w:szCs w:val="18"/>
          </w:rPr>
          <w:t>http://narodne-novine.nn.hr/clanci/sluzbeni/2014_08_105_2034.html</w:t>
        </w:r>
      </w:hyperlink>
      <w:r>
        <w:rPr>
          <w:sz w:val="18"/>
          <w:szCs w:val="18"/>
        </w:rPr>
        <w:t xml:space="preserve"> </w:t>
      </w:r>
      <w:r w:rsidRPr="0075697D">
        <w:rPr>
          <w:sz w:val="18"/>
          <w:szCs w:val="18"/>
        </w:rPr>
        <w:t xml:space="preserve">; Odluka o iznosu tarifnih stavki za proizvodnju toplinske energije za centralne toplinske sustave Gornja Vežica, Vojak i Krnjevo za energetski subjekt Energo d.o.o., Dolac 14, Rijeka </w:t>
      </w:r>
      <w:r w:rsidRPr="00494596">
        <w:rPr>
          <w:sz w:val="18"/>
          <w:szCs w:val="18"/>
        </w:rPr>
        <w:t>(„Narodne novine“ broj</w:t>
      </w:r>
      <w:r w:rsidRPr="0075697D">
        <w:rPr>
          <w:sz w:val="18"/>
          <w:szCs w:val="18"/>
        </w:rPr>
        <w:t xml:space="preserve"> 105</w:t>
      </w:r>
      <w:r>
        <w:rPr>
          <w:sz w:val="18"/>
          <w:szCs w:val="18"/>
        </w:rPr>
        <w:t>/2014)</w:t>
      </w:r>
      <w:r w:rsidRPr="0075697D">
        <w:rPr>
          <w:sz w:val="18"/>
          <w:szCs w:val="18"/>
        </w:rPr>
        <w:t xml:space="preserve"> (2033), </w:t>
      </w:r>
      <w:r>
        <w:rPr>
          <w:sz w:val="18"/>
          <w:szCs w:val="18"/>
        </w:rPr>
        <w:t>d</w:t>
      </w:r>
      <w:r w:rsidRPr="0075697D">
        <w:rPr>
          <w:sz w:val="18"/>
          <w:szCs w:val="18"/>
        </w:rPr>
        <w:t xml:space="preserve">ostupno na: </w:t>
      </w:r>
      <w:hyperlink r:id="rId56" w:history="1">
        <w:r w:rsidRPr="00170BCC">
          <w:rPr>
            <w:rStyle w:val="Hyperlink"/>
            <w:sz w:val="18"/>
            <w:szCs w:val="18"/>
          </w:rPr>
          <w:t>http://narodne-novine.nn.hr/clanci/sluzbeni/2014_08_105_2033.html</w:t>
        </w:r>
      </w:hyperlink>
      <w:r>
        <w:rPr>
          <w:sz w:val="18"/>
          <w:szCs w:val="18"/>
        </w:rPr>
        <w:t xml:space="preserve"> </w:t>
      </w:r>
      <w:r w:rsidRPr="0075697D">
        <w:rPr>
          <w:sz w:val="18"/>
          <w:szCs w:val="18"/>
        </w:rPr>
        <w:t xml:space="preserve">; Odluka o iznosu tarifnih stavki za distribuciju toplinske energije za centralne toplinske sustave Borovo Naselje i Olajnica za energetski subjekt Tehnostan d.o.o., Dr. Franje </w:t>
      </w:r>
      <w:r>
        <w:rPr>
          <w:sz w:val="18"/>
          <w:szCs w:val="18"/>
        </w:rPr>
        <w:t xml:space="preserve">Tuđmana 23, Vukovar </w:t>
      </w:r>
      <w:r w:rsidRPr="00494596">
        <w:rPr>
          <w:sz w:val="18"/>
          <w:szCs w:val="18"/>
        </w:rPr>
        <w:t>(„Narodne novine“ broj</w:t>
      </w:r>
      <w:r>
        <w:rPr>
          <w:sz w:val="18"/>
          <w:szCs w:val="18"/>
        </w:rPr>
        <w:t xml:space="preserve"> 105/2014)</w:t>
      </w:r>
      <w:r w:rsidRPr="0075697D">
        <w:rPr>
          <w:sz w:val="18"/>
          <w:szCs w:val="18"/>
        </w:rPr>
        <w:t xml:space="preserve"> (2032), </w:t>
      </w:r>
      <w:r>
        <w:rPr>
          <w:sz w:val="18"/>
          <w:szCs w:val="18"/>
        </w:rPr>
        <w:t>d</w:t>
      </w:r>
      <w:r w:rsidRPr="0075697D">
        <w:rPr>
          <w:sz w:val="18"/>
          <w:szCs w:val="18"/>
        </w:rPr>
        <w:t xml:space="preserve">ostupno na: </w:t>
      </w:r>
      <w:hyperlink r:id="rId57" w:history="1">
        <w:r w:rsidRPr="00170BCC">
          <w:rPr>
            <w:rStyle w:val="Hyperlink"/>
            <w:sz w:val="18"/>
            <w:szCs w:val="18"/>
          </w:rPr>
          <w:t>http://narodne-novine.nn.hr/clanci/sluzbeni/2014_08_105_2032.html</w:t>
        </w:r>
      </w:hyperlink>
      <w:r>
        <w:rPr>
          <w:sz w:val="18"/>
          <w:szCs w:val="18"/>
        </w:rPr>
        <w:t xml:space="preserve"> </w:t>
      </w:r>
      <w:r w:rsidRPr="0075697D">
        <w:rPr>
          <w:sz w:val="18"/>
          <w:szCs w:val="18"/>
        </w:rPr>
        <w:t xml:space="preserve">; Odluka o iznosu tarifnih stavki za proizvodnju toplinske energije za centralne toplinske sustave Borovo Naselje i Olajnica za energetski subjekt Tehnostan d.o.o., Dr. Franje </w:t>
      </w:r>
      <w:r>
        <w:rPr>
          <w:sz w:val="18"/>
          <w:szCs w:val="18"/>
        </w:rPr>
        <w:t xml:space="preserve">Tuđmana 23, Vukovar </w:t>
      </w:r>
      <w:r w:rsidRPr="00494596">
        <w:rPr>
          <w:sz w:val="18"/>
          <w:szCs w:val="18"/>
        </w:rPr>
        <w:t>(„Narodne novine“ broj</w:t>
      </w:r>
      <w:r>
        <w:rPr>
          <w:sz w:val="18"/>
          <w:szCs w:val="18"/>
        </w:rPr>
        <w:t xml:space="preserve"> 105/2014)</w:t>
      </w:r>
      <w:r w:rsidRPr="0075697D">
        <w:rPr>
          <w:sz w:val="18"/>
          <w:szCs w:val="18"/>
        </w:rPr>
        <w:t xml:space="preserve"> (2031), </w:t>
      </w:r>
      <w:r>
        <w:rPr>
          <w:sz w:val="18"/>
          <w:szCs w:val="18"/>
        </w:rPr>
        <w:t>d</w:t>
      </w:r>
      <w:r w:rsidRPr="0075697D">
        <w:rPr>
          <w:sz w:val="18"/>
          <w:szCs w:val="18"/>
        </w:rPr>
        <w:t xml:space="preserve">ostupno na: </w:t>
      </w:r>
      <w:hyperlink r:id="rId58" w:history="1">
        <w:r w:rsidRPr="00170BCC">
          <w:rPr>
            <w:rStyle w:val="Hyperlink"/>
            <w:sz w:val="18"/>
            <w:szCs w:val="18"/>
          </w:rPr>
          <w:t>http://narodne-novine.nn.hr/clanci/sluzbeni/2014_08_105_2031.html</w:t>
        </w:r>
      </w:hyperlink>
      <w:r>
        <w:rPr>
          <w:sz w:val="18"/>
          <w:szCs w:val="18"/>
        </w:rPr>
        <w:t xml:space="preserve"> </w:t>
      </w:r>
      <w:r w:rsidRPr="0075697D">
        <w:rPr>
          <w:sz w:val="18"/>
          <w:szCs w:val="18"/>
        </w:rPr>
        <w:t>; Odluka o iznosu tarifnih stavki za distribuciju toplinske energije za centralni toplinski sustav Slavonija, za energetski subjekt Brod-plin d.o.o., Tome Skalic</w:t>
      </w:r>
      <w:r>
        <w:rPr>
          <w:sz w:val="18"/>
          <w:szCs w:val="18"/>
        </w:rPr>
        <w:t xml:space="preserve">e 4, Slavonski Brod </w:t>
      </w:r>
      <w:r w:rsidRPr="00494596">
        <w:rPr>
          <w:sz w:val="18"/>
          <w:szCs w:val="18"/>
        </w:rPr>
        <w:t>(„Narodne novine“ broj</w:t>
      </w:r>
      <w:r>
        <w:rPr>
          <w:sz w:val="18"/>
          <w:szCs w:val="18"/>
        </w:rPr>
        <w:t xml:space="preserve"> 105/2014)</w:t>
      </w:r>
      <w:r w:rsidRPr="0075697D">
        <w:rPr>
          <w:sz w:val="18"/>
          <w:szCs w:val="18"/>
        </w:rPr>
        <w:t xml:space="preserve"> (2030), </w:t>
      </w:r>
      <w:r>
        <w:rPr>
          <w:sz w:val="18"/>
          <w:szCs w:val="18"/>
        </w:rPr>
        <w:t>d</w:t>
      </w:r>
      <w:r w:rsidRPr="0075697D">
        <w:rPr>
          <w:sz w:val="18"/>
          <w:szCs w:val="18"/>
        </w:rPr>
        <w:t xml:space="preserve">ostupno na: </w:t>
      </w:r>
      <w:hyperlink r:id="rId59" w:history="1">
        <w:r w:rsidRPr="00170BCC">
          <w:rPr>
            <w:rStyle w:val="Hyperlink"/>
            <w:sz w:val="18"/>
            <w:szCs w:val="18"/>
          </w:rPr>
          <w:t>http://narodne-novine.nn.hr/clanci/sluzbeni/2014_08_105_2030.html</w:t>
        </w:r>
      </w:hyperlink>
      <w:r>
        <w:rPr>
          <w:sz w:val="18"/>
          <w:szCs w:val="18"/>
        </w:rPr>
        <w:t xml:space="preserve"> </w:t>
      </w:r>
      <w:r w:rsidRPr="0075697D">
        <w:rPr>
          <w:sz w:val="18"/>
          <w:szCs w:val="18"/>
        </w:rPr>
        <w:t>; Odluka o iznosu tarifnih stavki za proizvodnju toplinske energije za centralni toplinski sustav Slavonija, za energetski subjekt Brod-plin d.o.o., Tome Skalic</w:t>
      </w:r>
      <w:r>
        <w:rPr>
          <w:sz w:val="18"/>
          <w:szCs w:val="18"/>
        </w:rPr>
        <w:t xml:space="preserve">e 4, Slavonski Brod </w:t>
      </w:r>
      <w:r w:rsidRPr="00494596">
        <w:rPr>
          <w:sz w:val="18"/>
          <w:szCs w:val="18"/>
        </w:rPr>
        <w:t>(„Narodne novine“ broj</w:t>
      </w:r>
      <w:r>
        <w:rPr>
          <w:sz w:val="18"/>
          <w:szCs w:val="18"/>
        </w:rPr>
        <w:t xml:space="preserve"> 105/2014</w:t>
      </w:r>
      <w:r w:rsidRPr="0075697D">
        <w:rPr>
          <w:sz w:val="18"/>
          <w:szCs w:val="18"/>
        </w:rPr>
        <w:t xml:space="preserve"> (2029), </w:t>
      </w:r>
      <w:r>
        <w:rPr>
          <w:sz w:val="18"/>
          <w:szCs w:val="18"/>
        </w:rPr>
        <w:t>d</w:t>
      </w:r>
      <w:r w:rsidRPr="0075697D">
        <w:rPr>
          <w:sz w:val="18"/>
          <w:szCs w:val="18"/>
        </w:rPr>
        <w:t xml:space="preserve">ostupno na: </w:t>
      </w:r>
      <w:hyperlink r:id="rId60" w:history="1">
        <w:r w:rsidRPr="00170BCC">
          <w:rPr>
            <w:rStyle w:val="Hyperlink"/>
            <w:sz w:val="18"/>
            <w:szCs w:val="18"/>
          </w:rPr>
          <w:t>http://narodne-novine.nn.hr/clanci/sluzbeni/2014_08_105_2029.html</w:t>
        </w:r>
      </w:hyperlink>
      <w:r>
        <w:rPr>
          <w:rStyle w:val="Hyperlink"/>
          <w:sz w:val="18"/>
          <w:szCs w:val="18"/>
        </w:rPr>
        <w:t>,</w:t>
      </w:r>
      <w:r>
        <w:rPr>
          <w:sz w:val="18"/>
          <w:szCs w:val="18"/>
        </w:rPr>
        <w:t xml:space="preserve"> d</w:t>
      </w:r>
      <w:r w:rsidRPr="0075697D">
        <w:rPr>
          <w:sz w:val="18"/>
          <w:szCs w:val="18"/>
        </w:rPr>
        <w:t xml:space="preserve">ostupno na: </w:t>
      </w:r>
      <w:hyperlink r:id="rId61" w:history="1">
        <w:r w:rsidRPr="0075697D">
          <w:rPr>
            <w:rStyle w:val="Hyperlink"/>
            <w:sz w:val="18"/>
            <w:szCs w:val="18"/>
          </w:rPr>
          <w:t>http://www.hak.hr/info/cijene-goriva/</w:t>
        </w:r>
      </w:hyperlink>
      <w:r w:rsidRPr="0075697D">
        <w:rPr>
          <w:sz w:val="18"/>
          <w:szCs w:val="18"/>
        </w:rPr>
        <w:t xml:space="preserve"> [10. svibnja 2017.]</w:t>
      </w:r>
    </w:p>
  </w:footnote>
  <w:footnote w:id="42">
    <w:p w14:paraId="26321EC6" w14:textId="77777777" w:rsidR="009C52C4" w:rsidRPr="0075697D" w:rsidRDefault="009C52C4" w:rsidP="00634901">
      <w:pPr>
        <w:rPr>
          <w:sz w:val="18"/>
          <w:szCs w:val="18"/>
        </w:rPr>
      </w:pPr>
      <w:r w:rsidRPr="0075697D">
        <w:rPr>
          <w:sz w:val="18"/>
          <w:szCs w:val="18"/>
          <w:vertAlign w:val="superscript"/>
        </w:rPr>
        <w:footnoteRef/>
      </w:r>
      <w:r w:rsidRPr="0075697D">
        <w:rPr>
          <w:sz w:val="18"/>
          <w:szCs w:val="18"/>
        </w:rPr>
        <w:t>European Commission (2010), EU Energy Trends to 2030; update 2009. European Union, 2010. [online]</w:t>
      </w:r>
      <w:r>
        <w:rPr>
          <w:sz w:val="18"/>
          <w:szCs w:val="18"/>
        </w:rPr>
        <w:t>,</w:t>
      </w:r>
      <w:r w:rsidRPr="0075697D">
        <w:rPr>
          <w:sz w:val="18"/>
          <w:szCs w:val="18"/>
        </w:rPr>
        <w:t xml:space="preserve"> </w:t>
      </w:r>
      <w:r>
        <w:rPr>
          <w:sz w:val="18"/>
          <w:szCs w:val="18"/>
        </w:rPr>
        <w:t>d</w:t>
      </w:r>
      <w:r w:rsidRPr="0075697D">
        <w:rPr>
          <w:sz w:val="18"/>
          <w:szCs w:val="18"/>
        </w:rPr>
        <w:t xml:space="preserve">ostupno na: </w:t>
      </w:r>
      <w:hyperlink r:id="rId62" w:history="1">
        <w:r w:rsidRPr="00170BCC">
          <w:rPr>
            <w:rStyle w:val="Hyperlink"/>
            <w:sz w:val="18"/>
            <w:szCs w:val="18"/>
          </w:rPr>
          <w:t>https://ec.europa.eu/energy/sites/ener/files/documents/trends_to_2030_update_2009.pdf</w:t>
        </w:r>
      </w:hyperlink>
      <w:r w:rsidRPr="0075697D">
        <w:rPr>
          <w:sz w:val="18"/>
          <w:szCs w:val="18"/>
        </w:rPr>
        <w:t xml:space="preserve"> [3</w:t>
      </w:r>
      <w:r>
        <w:rPr>
          <w:sz w:val="18"/>
          <w:szCs w:val="18"/>
        </w:rPr>
        <w:t>0</w:t>
      </w:r>
      <w:r w:rsidRPr="0075697D">
        <w:rPr>
          <w:sz w:val="18"/>
          <w:szCs w:val="18"/>
        </w:rPr>
        <w:t xml:space="preserve">. </w:t>
      </w:r>
      <w:r>
        <w:rPr>
          <w:sz w:val="18"/>
          <w:szCs w:val="18"/>
        </w:rPr>
        <w:t>travnja, 2017</w:t>
      </w:r>
      <w:r w:rsidRPr="0075697D">
        <w:rPr>
          <w:sz w:val="18"/>
          <w:szCs w:val="18"/>
        </w:rPr>
        <w:t>]</w:t>
      </w:r>
    </w:p>
  </w:footnote>
  <w:footnote w:id="43">
    <w:p w14:paraId="6BD345DA" w14:textId="77777777" w:rsidR="009C52C4" w:rsidRPr="0037119E" w:rsidRDefault="009C52C4">
      <w:pPr>
        <w:pStyle w:val="FootnoteText"/>
        <w:rPr>
          <w:sz w:val="18"/>
          <w:szCs w:val="18"/>
        </w:rPr>
      </w:pPr>
      <w:r w:rsidRPr="0037119E">
        <w:rPr>
          <w:rStyle w:val="FootnoteReference"/>
          <w:sz w:val="18"/>
          <w:szCs w:val="18"/>
        </w:rPr>
        <w:footnoteRef/>
      </w:r>
      <w:r w:rsidRPr="0037119E">
        <w:rPr>
          <w:sz w:val="18"/>
          <w:szCs w:val="18"/>
        </w:rPr>
        <w:t>Europska komisija (200</w:t>
      </w:r>
      <w:r>
        <w:rPr>
          <w:sz w:val="18"/>
          <w:szCs w:val="18"/>
        </w:rPr>
        <w:t>2</w:t>
      </w:r>
      <w:r w:rsidRPr="0037119E">
        <w:rPr>
          <w:sz w:val="18"/>
          <w:szCs w:val="18"/>
        </w:rPr>
        <w:t xml:space="preserve">), </w:t>
      </w:r>
      <w:r w:rsidRPr="0037119E">
        <w:rPr>
          <w:i/>
          <w:sz w:val="18"/>
          <w:szCs w:val="18"/>
        </w:rPr>
        <w:t>Direktiva 20</w:t>
      </w:r>
      <w:r>
        <w:rPr>
          <w:i/>
          <w:sz w:val="18"/>
          <w:szCs w:val="18"/>
        </w:rPr>
        <w:t>02</w:t>
      </w:r>
      <w:r w:rsidRPr="0037119E">
        <w:rPr>
          <w:i/>
          <w:sz w:val="18"/>
          <w:szCs w:val="18"/>
        </w:rPr>
        <w:t>/</w:t>
      </w:r>
      <w:r>
        <w:rPr>
          <w:i/>
          <w:sz w:val="18"/>
          <w:szCs w:val="18"/>
        </w:rPr>
        <w:t>9</w:t>
      </w:r>
      <w:r w:rsidRPr="0037119E">
        <w:rPr>
          <w:i/>
          <w:sz w:val="18"/>
          <w:szCs w:val="18"/>
        </w:rPr>
        <w:t>1/E</w:t>
      </w:r>
      <w:r>
        <w:rPr>
          <w:i/>
          <w:sz w:val="18"/>
          <w:szCs w:val="18"/>
        </w:rPr>
        <w:t>Z</w:t>
      </w:r>
      <w:r w:rsidRPr="0037119E">
        <w:rPr>
          <w:i/>
          <w:sz w:val="18"/>
          <w:szCs w:val="18"/>
        </w:rPr>
        <w:t xml:space="preserve"> Europskog parlamenta i Vijeća od </w:t>
      </w:r>
      <w:r>
        <w:rPr>
          <w:i/>
          <w:sz w:val="18"/>
          <w:szCs w:val="18"/>
        </w:rPr>
        <w:t>16</w:t>
      </w:r>
      <w:r w:rsidRPr="0037119E">
        <w:rPr>
          <w:i/>
          <w:sz w:val="18"/>
          <w:szCs w:val="18"/>
        </w:rPr>
        <w:t xml:space="preserve">. </w:t>
      </w:r>
      <w:r>
        <w:rPr>
          <w:i/>
          <w:sz w:val="18"/>
          <w:szCs w:val="18"/>
        </w:rPr>
        <w:t>prosinca</w:t>
      </w:r>
      <w:r w:rsidRPr="0037119E">
        <w:rPr>
          <w:i/>
          <w:sz w:val="18"/>
          <w:szCs w:val="18"/>
        </w:rPr>
        <w:t xml:space="preserve"> 200</w:t>
      </w:r>
      <w:r>
        <w:rPr>
          <w:i/>
          <w:sz w:val="18"/>
          <w:szCs w:val="18"/>
        </w:rPr>
        <w:t>2</w:t>
      </w:r>
      <w:r w:rsidRPr="0037119E">
        <w:rPr>
          <w:i/>
          <w:sz w:val="18"/>
          <w:szCs w:val="18"/>
        </w:rPr>
        <w:t xml:space="preserve">. o </w:t>
      </w:r>
      <w:r>
        <w:rPr>
          <w:i/>
          <w:sz w:val="18"/>
          <w:szCs w:val="18"/>
        </w:rPr>
        <w:t>energetskim svojstvima zgrada</w:t>
      </w:r>
      <w:r>
        <w:rPr>
          <w:sz w:val="18"/>
          <w:szCs w:val="18"/>
        </w:rPr>
        <w:t>,</w:t>
      </w:r>
      <w:r w:rsidRPr="0037119E">
        <w:rPr>
          <w:sz w:val="18"/>
          <w:szCs w:val="18"/>
        </w:rPr>
        <w:t xml:space="preserve"> </w:t>
      </w:r>
      <w:r>
        <w:rPr>
          <w:sz w:val="18"/>
          <w:szCs w:val="18"/>
        </w:rPr>
        <w:t>d</w:t>
      </w:r>
      <w:r w:rsidRPr="0037119E">
        <w:rPr>
          <w:sz w:val="18"/>
          <w:szCs w:val="18"/>
        </w:rPr>
        <w:t xml:space="preserve">ostupno na: </w:t>
      </w:r>
      <w:hyperlink r:id="rId63" w:history="1">
        <w:r w:rsidRPr="00AF0F61">
          <w:rPr>
            <w:rStyle w:val="Hyperlink"/>
            <w:sz w:val="18"/>
            <w:szCs w:val="18"/>
          </w:rPr>
          <w:t>http://eur-lex.europa.eu/eli/dir/2002/91/oj</w:t>
        </w:r>
      </w:hyperlink>
      <w:r w:rsidRPr="0037119E">
        <w:rPr>
          <w:sz w:val="18"/>
          <w:szCs w:val="18"/>
        </w:rPr>
        <w:t xml:space="preserve"> [200</w:t>
      </w:r>
      <w:r>
        <w:rPr>
          <w:sz w:val="18"/>
          <w:szCs w:val="18"/>
        </w:rPr>
        <w:t>2</w:t>
      </w:r>
      <w:r w:rsidRPr="0037119E">
        <w:rPr>
          <w:sz w:val="18"/>
          <w:szCs w:val="18"/>
        </w:rPr>
        <w:t>.]</w:t>
      </w:r>
    </w:p>
  </w:footnote>
  <w:footnote w:id="44">
    <w:p w14:paraId="232BB7AE" w14:textId="77777777" w:rsidR="009C52C4" w:rsidRPr="00A12F52" w:rsidRDefault="009C52C4" w:rsidP="00634901">
      <w:pPr>
        <w:rPr>
          <w:sz w:val="18"/>
          <w:szCs w:val="18"/>
        </w:rPr>
      </w:pPr>
      <w:r w:rsidRPr="00A12F52">
        <w:rPr>
          <w:sz w:val="18"/>
          <w:szCs w:val="18"/>
          <w:vertAlign w:val="superscript"/>
        </w:rPr>
        <w:footnoteRef/>
      </w:r>
      <w:r w:rsidRPr="00A12F52">
        <w:rPr>
          <w:sz w:val="18"/>
          <w:szCs w:val="18"/>
        </w:rPr>
        <w:t xml:space="preserve">Europska komisija (2012), </w:t>
      </w:r>
      <w:r w:rsidRPr="00F40DE2">
        <w:rPr>
          <w:sz w:val="18"/>
          <w:szCs w:val="18"/>
        </w:rPr>
        <w:t>Delegiran</w:t>
      </w:r>
      <w:r>
        <w:rPr>
          <w:sz w:val="18"/>
          <w:szCs w:val="18"/>
        </w:rPr>
        <w:t>a</w:t>
      </w:r>
      <w:r w:rsidRPr="00F40DE2">
        <w:rPr>
          <w:sz w:val="18"/>
          <w:szCs w:val="18"/>
        </w:rPr>
        <w:t xml:space="preserve"> uredb</w:t>
      </w:r>
      <w:r>
        <w:rPr>
          <w:sz w:val="18"/>
          <w:szCs w:val="18"/>
        </w:rPr>
        <w:t>a</w:t>
      </w:r>
      <w:r w:rsidRPr="00F40DE2">
        <w:rPr>
          <w:sz w:val="18"/>
          <w:szCs w:val="18"/>
        </w:rPr>
        <w:t xml:space="preserve">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w:t>
      </w:r>
      <w:r>
        <w:rPr>
          <w:sz w:val="18"/>
          <w:szCs w:val="18"/>
        </w:rPr>
        <w:t xml:space="preserve"> zgrada (Tekst značajan za EGP),</w:t>
      </w:r>
      <w:r w:rsidRPr="00F40DE2">
        <w:rPr>
          <w:sz w:val="18"/>
          <w:szCs w:val="18"/>
        </w:rPr>
        <w:t xml:space="preserve"> </w:t>
      </w:r>
      <w:r>
        <w:rPr>
          <w:sz w:val="18"/>
          <w:szCs w:val="18"/>
        </w:rPr>
        <w:t>d</w:t>
      </w:r>
      <w:r w:rsidRPr="00F40DE2">
        <w:rPr>
          <w:sz w:val="18"/>
          <w:szCs w:val="18"/>
        </w:rPr>
        <w:t xml:space="preserve">ostupno na: </w:t>
      </w:r>
      <w:hyperlink r:id="rId64" w:history="1">
        <w:r w:rsidRPr="00F40DE2">
          <w:rPr>
            <w:rStyle w:val="Hyperlink"/>
            <w:sz w:val="18"/>
            <w:szCs w:val="18"/>
          </w:rPr>
          <w:t>http://eur-lex.europa.eu/legal-content/HR/TXT/?uri=celex%3A32012R0244</w:t>
        </w:r>
      </w:hyperlink>
      <w:r w:rsidRPr="00F40DE2">
        <w:rPr>
          <w:sz w:val="18"/>
          <w:szCs w:val="18"/>
        </w:rPr>
        <w:t xml:space="preserve"> [16. siječnja 2012.] Europska komisija (2012), Guidelines</w:t>
      </w:r>
      <w:r w:rsidRPr="00A12F52">
        <w:rPr>
          <w:sz w:val="18"/>
          <w:szCs w:val="18"/>
        </w:rPr>
        <w:t xml:space="preserve"> Accompanying Commission Delegated Regulation (EU) No 244/2012.</w:t>
      </w:r>
      <w:r>
        <w:rPr>
          <w:sz w:val="18"/>
          <w:szCs w:val="18"/>
        </w:rPr>
        <w:t>,</w:t>
      </w:r>
      <w:r w:rsidRPr="00A12F52">
        <w:rPr>
          <w:sz w:val="18"/>
          <w:szCs w:val="18"/>
        </w:rPr>
        <w:t xml:space="preserve"> </w:t>
      </w:r>
      <w:r>
        <w:rPr>
          <w:sz w:val="18"/>
          <w:szCs w:val="18"/>
        </w:rPr>
        <w:t>d</w:t>
      </w:r>
      <w:r w:rsidRPr="00A12F52">
        <w:rPr>
          <w:sz w:val="18"/>
          <w:szCs w:val="18"/>
        </w:rPr>
        <w:t xml:space="preserve">ostupno na: </w:t>
      </w:r>
      <w:hyperlink r:id="rId65" w:history="1">
        <w:r w:rsidRPr="00170BCC">
          <w:rPr>
            <w:rStyle w:val="Hyperlink"/>
            <w:sz w:val="18"/>
            <w:szCs w:val="18"/>
          </w:rPr>
          <w:t>http://eur-lex.europa.eu/legal-content/EN/ALL/?uri=CELEX:52012XC0419%2802%29</w:t>
        </w:r>
      </w:hyperlink>
      <w:r>
        <w:rPr>
          <w:sz w:val="18"/>
          <w:szCs w:val="18"/>
        </w:rPr>
        <w:t xml:space="preserve">  [19. travnja 2012.]</w:t>
      </w:r>
    </w:p>
  </w:footnote>
  <w:footnote w:id="45">
    <w:p w14:paraId="5F324EDF" w14:textId="77777777" w:rsidR="009C52C4" w:rsidRPr="0075697D" w:rsidRDefault="009C52C4" w:rsidP="00634901">
      <w:pPr>
        <w:rPr>
          <w:color w:val="auto"/>
          <w:sz w:val="18"/>
          <w:szCs w:val="18"/>
        </w:rPr>
      </w:pPr>
      <w:r w:rsidRPr="0075697D">
        <w:rPr>
          <w:color w:val="auto"/>
          <w:sz w:val="18"/>
          <w:szCs w:val="18"/>
          <w:vertAlign w:val="superscript"/>
        </w:rPr>
        <w:footnoteRef/>
      </w:r>
      <w:r w:rsidRPr="0075697D">
        <w:rPr>
          <w:color w:val="auto"/>
          <w:sz w:val="18"/>
          <w:szCs w:val="18"/>
        </w:rPr>
        <w:t>Regionalna energetska agencija Sjeverozapadne Hrvatske (2013),</w:t>
      </w:r>
      <w:r w:rsidRPr="0075697D">
        <w:rPr>
          <w:i/>
          <w:color w:val="auto"/>
          <w:sz w:val="18"/>
          <w:szCs w:val="18"/>
        </w:rPr>
        <w:t xml:space="preserve"> Završno izvješće o energetskom pregledu kompleksa Terme Tuhelj-Tuheljske Toplice, </w:t>
      </w:r>
      <w:r w:rsidRPr="0075697D">
        <w:rPr>
          <w:color w:val="auto"/>
          <w:sz w:val="18"/>
          <w:szCs w:val="18"/>
        </w:rPr>
        <w:t xml:space="preserve">Zagreb; </w:t>
      </w:r>
      <w:r w:rsidRPr="0075697D">
        <w:rPr>
          <w:i/>
          <w:color w:val="auto"/>
          <w:sz w:val="18"/>
          <w:szCs w:val="18"/>
        </w:rPr>
        <w:t>Završno izvješće o energetskom pregledu zgrade Osnovne škole Dubovac, Karlovac</w:t>
      </w:r>
      <w:r w:rsidRPr="0075697D">
        <w:rPr>
          <w:color w:val="auto"/>
          <w:sz w:val="18"/>
          <w:szCs w:val="18"/>
        </w:rPr>
        <w:t xml:space="preserve">; </w:t>
      </w:r>
      <w:r w:rsidRPr="0075697D">
        <w:rPr>
          <w:i/>
          <w:color w:val="auto"/>
          <w:sz w:val="18"/>
          <w:szCs w:val="18"/>
        </w:rPr>
        <w:t>Završno izvješće o energetskom pregledu zgrade Dječjeg vrtića Gaza</w:t>
      </w:r>
      <w:r w:rsidRPr="0075697D">
        <w:rPr>
          <w:color w:val="auto"/>
          <w:sz w:val="18"/>
          <w:szCs w:val="18"/>
        </w:rPr>
        <w:t xml:space="preserve">, Karlovac; Regionalna energetska agencija Sjeverozapadne Hrvatske (2014), </w:t>
      </w:r>
      <w:r w:rsidRPr="0075697D">
        <w:rPr>
          <w:i/>
          <w:color w:val="auto"/>
          <w:sz w:val="18"/>
          <w:szCs w:val="18"/>
        </w:rPr>
        <w:t>Završno izvješće o energetskom pregledu Doma zdravlja Krapinsko-zagorske županije, Ambulanta Pregrada</w:t>
      </w:r>
      <w:r w:rsidRPr="0075697D">
        <w:rPr>
          <w:color w:val="auto"/>
          <w:sz w:val="18"/>
          <w:szCs w:val="18"/>
        </w:rPr>
        <w:t xml:space="preserve">, Zagreb; </w:t>
      </w:r>
      <w:r w:rsidRPr="0075697D">
        <w:rPr>
          <w:i/>
          <w:color w:val="auto"/>
          <w:sz w:val="18"/>
          <w:szCs w:val="18"/>
        </w:rPr>
        <w:t>Završno izvješće o energetskom pregledu Stambene zgrade Šipački breg 22, Samobor</w:t>
      </w:r>
      <w:r w:rsidRPr="0075697D">
        <w:rPr>
          <w:color w:val="auto"/>
          <w:sz w:val="18"/>
          <w:szCs w:val="18"/>
        </w:rPr>
        <w:t xml:space="preserve">; </w:t>
      </w:r>
      <w:r w:rsidRPr="0075697D">
        <w:rPr>
          <w:i/>
          <w:color w:val="auto"/>
          <w:sz w:val="18"/>
          <w:szCs w:val="18"/>
        </w:rPr>
        <w:t>Završno izvješće o energetskom pregledu Obiteljske kuće u Punatu</w:t>
      </w:r>
      <w:r w:rsidRPr="0075697D">
        <w:rPr>
          <w:color w:val="auto"/>
          <w:sz w:val="18"/>
          <w:szCs w:val="18"/>
        </w:rPr>
        <w:t xml:space="preserve">; Završno izvješće o energetskom pregledu  Gradski ured za energetiku, zaštitu okoliša i održivi razvoj Grada Zagreba i Regionalna energetska agencija Sjeverozapadne Hrvatske (2013), </w:t>
      </w:r>
      <w:r w:rsidRPr="0075697D">
        <w:rPr>
          <w:i/>
          <w:color w:val="auto"/>
          <w:sz w:val="18"/>
          <w:szCs w:val="18"/>
        </w:rPr>
        <w:t>Projekt Zagreb – Energy Efficient City</w:t>
      </w:r>
      <w:r>
        <w:rPr>
          <w:color w:val="auto"/>
          <w:sz w:val="18"/>
          <w:szCs w:val="18"/>
        </w:rPr>
        <w:t>, Zagreb.</w:t>
      </w:r>
    </w:p>
  </w:footnote>
  <w:footnote w:id="46">
    <w:p w14:paraId="2808B7DA" w14:textId="77777777" w:rsidR="009C52C4" w:rsidRPr="0075697D" w:rsidRDefault="009C52C4" w:rsidP="00634901">
      <w:pPr>
        <w:pStyle w:val="FootnoteText"/>
        <w:rPr>
          <w:color w:val="auto"/>
          <w:sz w:val="18"/>
          <w:szCs w:val="18"/>
        </w:rPr>
      </w:pPr>
      <w:r w:rsidRPr="00185264">
        <w:rPr>
          <w:rStyle w:val="FootnoteReference"/>
          <w:color w:val="auto"/>
          <w:sz w:val="18"/>
          <w:szCs w:val="18"/>
        </w:rPr>
        <w:footnoteRef/>
      </w:r>
      <w:r w:rsidRPr="00185264">
        <w:rPr>
          <w:color w:val="auto"/>
          <w:sz w:val="18"/>
          <w:szCs w:val="18"/>
        </w:rPr>
        <w:t>Faktori primarne energije i emisija CO</w:t>
      </w:r>
      <w:r w:rsidRPr="00185264">
        <w:rPr>
          <w:color w:val="auto"/>
          <w:sz w:val="18"/>
          <w:szCs w:val="18"/>
          <w:vertAlign w:val="subscript"/>
        </w:rPr>
        <w:t>2</w:t>
      </w:r>
      <w:r w:rsidRPr="00185264">
        <w:rPr>
          <w:color w:val="auto"/>
          <w:sz w:val="18"/>
          <w:szCs w:val="18"/>
        </w:rPr>
        <w:t xml:space="preserve"> [online], </w:t>
      </w:r>
      <w:r>
        <w:rPr>
          <w:color w:val="auto"/>
          <w:sz w:val="18"/>
          <w:szCs w:val="18"/>
        </w:rPr>
        <w:t xml:space="preserve">listopad 2014., </w:t>
      </w:r>
      <w:r w:rsidRPr="00185264">
        <w:rPr>
          <w:color w:val="auto"/>
          <w:sz w:val="18"/>
          <w:szCs w:val="18"/>
        </w:rPr>
        <w:t xml:space="preserve">Ministarstvo graditeljstva i prostornoga uređenja, </w:t>
      </w:r>
      <w:r>
        <w:rPr>
          <w:color w:val="auto"/>
          <w:sz w:val="18"/>
          <w:szCs w:val="18"/>
        </w:rPr>
        <w:t xml:space="preserve">dostupno na: </w:t>
      </w:r>
      <w:hyperlink r:id="rId66" w:history="1">
        <w:r w:rsidRPr="00035602">
          <w:rPr>
            <w:rStyle w:val="Hyperlink"/>
            <w:rFonts w:asciiTheme="minorHAnsi" w:hAnsiTheme="minorHAnsi" w:cs="Segoe UI"/>
            <w:sz w:val="18"/>
            <w:szCs w:val="18"/>
          </w:rPr>
          <w:t>http://www.mgipu.hr/doc/EnergetskaUcinkovitost/FAKTORI_primarne_energije-do.29.9.2017.pdf</w:t>
        </w:r>
      </w:hyperlink>
      <w:r w:rsidRPr="0075697D">
        <w:rPr>
          <w:color w:val="auto"/>
          <w:sz w:val="18"/>
          <w:szCs w:val="18"/>
        </w:rPr>
        <w:t xml:space="preserve"> [30. travnja, 2017.]</w:t>
      </w:r>
    </w:p>
  </w:footnote>
  <w:footnote w:id="47">
    <w:p w14:paraId="7181DCD1" w14:textId="77777777" w:rsidR="009C52C4" w:rsidRPr="0075697D" w:rsidRDefault="009C52C4" w:rsidP="00634901">
      <w:pPr>
        <w:rPr>
          <w:color w:val="auto"/>
          <w:sz w:val="18"/>
          <w:szCs w:val="18"/>
        </w:rPr>
      </w:pPr>
      <w:r w:rsidRPr="0075697D">
        <w:rPr>
          <w:color w:val="auto"/>
          <w:sz w:val="18"/>
          <w:szCs w:val="18"/>
          <w:vertAlign w:val="superscript"/>
        </w:rPr>
        <w:footnoteRef/>
      </w:r>
      <w:r w:rsidRPr="0075697D">
        <w:rPr>
          <w:color w:val="auto"/>
          <w:sz w:val="18"/>
          <w:szCs w:val="18"/>
        </w:rPr>
        <w:t xml:space="preserve">Regionalna energetska agencija Sjeverozapadne Hrvatske (2013), </w:t>
      </w:r>
      <w:r w:rsidRPr="0075697D">
        <w:rPr>
          <w:i/>
          <w:color w:val="auto"/>
          <w:sz w:val="18"/>
          <w:szCs w:val="18"/>
        </w:rPr>
        <w:t>Projektne smjernice za održivu gradnju</w:t>
      </w:r>
      <w:r w:rsidRPr="0075697D">
        <w:rPr>
          <w:color w:val="auto"/>
          <w:sz w:val="18"/>
          <w:szCs w:val="18"/>
        </w:rPr>
        <w:t xml:space="preserve">, Zagreb; Gradski ured za energetiku, zaštitu okoliša i održivi razvoj Grada Zagreba i Regionalna energetska agencija Sjeverozapadne Hrvatske (2013), </w:t>
      </w:r>
      <w:r w:rsidRPr="0075697D">
        <w:rPr>
          <w:i/>
          <w:color w:val="auto"/>
          <w:sz w:val="18"/>
          <w:szCs w:val="18"/>
        </w:rPr>
        <w:t>Projekt Zagreb – Energy Efficient City</w:t>
      </w:r>
      <w:r w:rsidRPr="0075697D">
        <w:rPr>
          <w:color w:val="auto"/>
          <w:sz w:val="18"/>
          <w:szCs w:val="18"/>
        </w:rPr>
        <w:t>, Zagreb.</w:t>
      </w:r>
    </w:p>
  </w:footnote>
  <w:footnote w:id="48">
    <w:p w14:paraId="1B9FEE9F" w14:textId="4EACEAC7" w:rsidR="009C52C4" w:rsidRDefault="009C52C4">
      <w:pPr>
        <w:pStyle w:val="FootnoteText"/>
      </w:pPr>
      <w:r>
        <w:rPr>
          <w:rStyle w:val="FootnoteReference"/>
        </w:rPr>
        <w:footnoteRef/>
      </w:r>
      <w:r w:rsidRPr="00CC529E">
        <w:t>Ministarstvo gospodarstva</w:t>
      </w:r>
      <w:r>
        <w:t xml:space="preserve">, poduzetništva i obrta </w:t>
      </w:r>
      <w:r w:rsidRPr="00CC529E">
        <w:t xml:space="preserve">(2014.), dostupno na: </w:t>
      </w:r>
      <w:hyperlink r:id="rId67" w:history="1">
        <w:r w:rsidRPr="00A557C1">
          <w:rPr>
            <w:rStyle w:val="Hyperlink"/>
          </w:rPr>
          <w:t>https://www.mingo.hr/public/investicije/OPKK_2014_2020_31316.pdf [2017</w:t>
        </w:r>
      </w:hyperlink>
      <w:r w:rsidRPr="00CC529E">
        <w:t>.]</w:t>
      </w:r>
      <w:r>
        <w:t xml:space="preserve"> </w:t>
      </w:r>
    </w:p>
  </w:footnote>
  <w:footnote w:id="49">
    <w:p w14:paraId="1E0127BA" w14:textId="6DCBF1DA" w:rsidR="009C52C4" w:rsidRPr="0011603D" w:rsidRDefault="009C52C4" w:rsidP="00AD38F0">
      <w:pPr>
        <w:rPr>
          <w:color w:val="auto"/>
          <w:sz w:val="18"/>
          <w:szCs w:val="18"/>
        </w:rPr>
      </w:pPr>
      <w:r w:rsidRPr="0011603D">
        <w:rPr>
          <w:rStyle w:val="FootnoteReference"/>
          <w:color w:val="auto"/>
          <w:sz w:val="18"/>
          <w:szCs w:val="18"/>
        </w:rPr>
        <w:footnoteRef/>
      </w:r>
      <w:r w:rsidRPr="0011603D">
        <w:rPr>
          <w:color w:val="auto"/>
          <w:sz w:val="18"/>
          <w:szCs w:val="18"/>
        </w:rPr>
        <w:t>Ministarstvo regionalnog</w:t>
      </w:r>
      <w:r>
        <w:rPr>
          <w:color w:val="auto"/>
          <w:sz w:val="18"/>
          <w:szCs w:val="18"/>
        </w:rPr>
        <w:t>a</w:t>
      </w:r>
      <w:r w:rsidRPr="0011603D">
        <w:rPr>
          <w:color w:val="auto"/>
          <w:sz w:val="18"/>
          <w:szCs w:val="18"/>
        </w:rPr>
        <w:t xml:space="preserve"> razvoja i fondova Europske unije (2017.), dostupno na: </w:t>
      </w:r>
      <w:hyperlink r:id="rId68" w:history="1">
        <w:r w:rsidRPr="0011603D">
          <w:rPr>
            <w:rStyle w:val="Hyperlink"/>
            <w:sz w:val="18"/>
            <w:szCs w:val="18"/>
          </w:rPr>
          <w:t>http://www.strukturnifondovi.hr/UserDocsImages/Publikacije/Instrument_pretpristupne_pomoci_IPA.pdf</w:t>
        </w:r>
      </w:hyperlink>
      <w:r w:rsidRPr="0011603D">
        <w:rPr>
          <w:sz w:val="18"/>
          <w:szCs w:val="18"/>
        </w:rPr>
        <w:t xml:space="preserve"> </w:t>
      </w:r>
      <w:r w:rsidRPr="0011603D">
        <w:rPr>
          <w:color w:val="auto"/>
          <w:sz w:val="18"/>
          <w:szCs w:val="18"/>
        </w:rPr>
        <w:t>[30. travnja, 2017.]</w:t>
      </w:r>
    </w:p>
  </w:footnote>
  <w:footnote w:id="50">
    <w:p w14:paraId="2D5DD054" w14:textId="77777777" w:rsidR="009C52C4" w:rsidRPr="00AD38F0" w:rsidRDefault="009C52C4" w:rsidP="00AD38F0">
      <w:pPr>
        <w:rPr>
          <w:color w:val="auto"/>
          <w:sz w:val="18"/>
          <w:szCs w:val="18"/>
        </w:rPr>
      </w:pPr>
      <w:r w:rsidRPr="00AD38F0">
        <w:rPr>
          <w:rStyle w:val="FootnoteReference"/>
          <w:color w:val="auto"/>
          <w:sz w:val="18"/>
          <w:szCs w:val="18"/>
        </w:rPr>
        <w:footnoteRef/>
      </w:r>
      <w:r w:rsidRPr="00AD38F0">
        <w:rPr>
          <w:color w:val="auto"/>
          <w:sz w:val="18"/>
          <w:szCs w:val="18"/>
        </w:rPr>
        <w:t xml:space="preserve">Europska komisija (2014.), dostupno na: </w:t>
      </w:r>
      <w:hyperlink r:id="rId69" w:history="1">
        <w:r w:rsidRPr="00DE2735">
          <w:rPr>
            <w:rStyle w:val="Hyperlink"/>
            <w:sz w:val="18"/>
            <w:szCs w:val="18"/>
          </w:rPr>
          <w:t>http://www.concertoplus.eu/</w:t>
        </w:r>
      </w:hyperlink>
      <w:r w:rsidRPr="00AD38F0">
        <w:rPr>
          <w:color w:val="auto"/>
          <w:sz w:val="18"/>
          <w:szCs w:val="18"/>
        </w:rPr>
        <w:t xml:space="preserve"> </w:t>
      </w:r>
      <w:bookmarkStart w:id="153" w:name="_Hlk483400477"/>
      <w:r w:rsidRPr="00AD38F0">
        <w:rPr>
          <w:color w:val="auto"/>
          <w:sz w:val="18"/>
          <w:szCs w:val="18"/>
        </w:rPr>
        <w:t>[3</w:t>
      </w:r>
      <w:r>
        <w:rPr>
          <w:color w:val="auto"/>
          <w:sz w:val="18"/>
          <w:szCs w:val="18"/>
        </w:rPr>
        <w:t>0</w:t>
      </w:r>
      <w:r w:rsidRPr="00AD38F0">
        <w:rPr>
          <w:color w:val="auto"/>
          <w:sz w:val="18"/>
          <w:szCs w:val="18"/>
        </w:rPr>
        <w:t xml:space="preserve">. </w:t>
      </w:r>
      <w:r>
        <w:rPr>
          <w:color w:val="auto"/>
          <w:sz w:val="18"/>
          <w:szCs w:val="18"/>
        </w:rPr>
        <w:t>travnja</w:t>
      </w:r>
      <w:r w:rsidRPr="00AD38F0">
        <w:rPr>
          <w:color w:val="auto"/>
          <w:sz w:val="18"/>
          <w:szCs w:val="18"/>
        </w:rPr>
        <w:t>, 201</w:t>
      </w:r>
      <w:r>
        <w:rPr>
          <w:color w:val="auto"/>
          <w:sz w:val="18"/>
          <w:szCs w:val="18"/>
        </w:rPr>
        <w:t>7</w:t>
      </w:r>
      <w:r w:rsidRPr="00AD38F0">
        <w:rPr>
          <w:color w:val="auto"/>
          <w:sz w:val="18"/>
          <w:szCs w:val="18"/>
        </w:rPr>
        <w:t>.]</w:t>
      </w:r>
      <w:bookmarkEnd w:id="153"/>
    </w:p>
  </w:footnote>
  <w:footnote w:id="51">
    <w:p w14:paraId="030E047B" w14:textId="77777777" w:rsidR="009C52C4" w:rsidRPr="0011603D" w:rsidRDefault="009C52C4" w:rsidP="00AD38F0">
      <w:pPr>
        <w:pStyle w:val="FootnoteText"/>
        <w:rPr>
          <w:color w:val="auto"/>
          <w:sz w:val="18"/>
          <w:szCs w:val="18"/>
        </w:rPr>
      </w:pPr>
      <w:r w:rsidRPr="0011603D">
        <w:rPr>
          <w:rStyle w:val="FootnoteReference"/>
          <w:color w:val="auto"/>
          <w:sz w:val="18"/>
          <w:szCs w:val="18"/>
        </w:rPr>
        <w:footnoteRef/>
      </w:r>
      <w:r w:rsidRPr="0011603D">
        <w:rPr>
          <w:color w:val="auto"/>
          <w:sz w:val="18"/>
          <w:szCs w:val="18"/>
        </w:rPr>
        <w:t xml:space="preserve">Europska komisija (2014.), dostupno na: </w:t>
      </w:r>
      <w:hyperlink r:id="rId70" w:history="1">
        <w:r w:rsidRPr="0011603D">
          <w:rPr>
            <w:rStyle w:val="Hyperlink"/>
            <w:sz w:val="18"/>
            <w:szCs w:val="18"/>
          </w:rPr>
          <w:t>http://ec.europa.eu/cip/</w:t>
        </w:r>
      </w:hyperlink>
      <w:r w:rsidRPr="0011603D">
        <w:rPr>
          <w:sz w:val="18"/>
          <w:szCs w:val="18"/>
        </w:rPr>
        <w:t xml:space="preserve"> </w:t>
      </w:r>
      <w:r w:rsidRPr="0011603D">
        <w:rPr>
          <w:color w:val="auto"/>
          <w:sz w:val="18"/>
          <w:szCs w:val="18"/>
        </w:rPr>
        <w:t>[30. travnja, 2017.]</w:t>
      </w:r>
    </w:p>
  </w:footnote>
  <w:footnote w:id="52">
    <w:p w14:paraId="4BCE8D9E" w14:textId="77777777" w:rsidR="009C52C4" w:rsidRPr="0011603D" w:rsidRDefault="009C52C4" w:rsidP="00AD38F0">
      <w:pPr>
        <w:pStyle w:val="FootnoteText"/>
        <w:rPr>
          <w:color w:val="auto"/>
          <w:sz w:val="18"/>
          <w:szCs w:val="18"/>
        </w:rPr>
      </w:pPr>
      <w:r w:rsidRPr="0011603D">
        <w:rPr>
          <w:rStyle w:val="FootnoteReference"/>
          <w:color w:val="auto"/>
          <w:sz w:val="18"/>
          <w:szCs w:val="18"/>
        </w:rPr>
        <w:footnoteRef/>
      </w:r>
      <w:r w:rsidRPr="0011603D">
        <w:rPr>
          <w:color w:val="auto"/>
          <w:sz w:val="18"/>
          <w:szCs w:val="18"/>
        </w:rPr>
        <w:t xml:space="preserve">Agencija za mobilnost i programe EU (2017.), dostupno na: </w:t>
      </w:r>
      <w:hyperlink r:id="rId71" w:history="1">
        <w:r w:rsidRPr="0011603D">
          <w:rPr>
            <w:rStyle w:val="Hyperlink"/>
            <w:sz w:val="18"/>
            <w:szCs w:val="18"/>
          </w:rPr>
          <w:t>http://www.obzor2020.hr/</w:t>
        </w:r>
      </w:hyperlink>
      <w:r w:rsidRPr="0011603D">
        <w:rPr>
          <w:sz w:val="18"/>
          <w:szCs w:val="18"/>
        </w:rPr>
        <w:t xml:space="preserve"> </w:t>
      </w:r>
      <w:r w:rsidRPr="0011603D">
        <w:rPr>
          <w:color w:val="auto"/>
          <w:sz w:val="18"/>
          <w:szCs w:val="18"/>
        </w:rPr>
        <w:t>[2017.]</w:t>
      </w:r>
    </w:p>
  </w:footnote>
  <w:footnote w:id="53">
    <w:p w14:paraId="4E1BC350" w14:textId="77777777" w:rsidR="009C52C4" w:rsidRPr="0011603D" w:rsidRDefault="009C52C4" w:rsidP="00AD38F0">
      <w:pPr>
        <w:pStyle w:val="FootnoteText"/>
        <w:rPr>
          <w:color w:val="auto"/>
          <w:sz w:val="18"/>
          <w:szCs w:val="18"/>
        </w:rPr>
      </w:pPr>
      <w:r w:rsidRPr="0011603D">
        <w:rPr>
          <w:rStyle w:val="FootnoteReference"/>
          <w:color w:val="auto"/>
          <w:sz w:val="18"/>
          <w:szCs w:val="18"/>
        </w:rPr>
        <w:footnoteRef/>
      </w:r>
      <w:r w:rsidRPr="0011603D">
        <w:rPr>
          <w:color w:val="auto"/>
          <w:sz w:val="18"/>
          <w:szCs w:val="18"/>
        </w:rPr>
        <w:t xml:space="preserve">Fond za zaštitu okoliša i energetsku učinkovitost (2017.), dostupno na: </w:t>
      </w:r>
      <w:hyperlink r:id="rId72" w:history="1">
        <w:r w:rsidRPr="0011603D">
          <w:rPr>
            <w:rStyle w:val="Hyperlink"/>
            <w:sz w:val="18"/>
            <w:szCs w:val="18"/>
          </w:rPr>
          <w:t>http://www.fzoeu.hr/hr/energetska_ucinkovitost/enu_u_zgradarstvu/</w:t>
        </w:r>
      </w:hyperlink>
      <w:r w:rsidRPr="0011603D">
        <w:rPr>
          <w:sz w:val="18"/>
          <w:szCs w:val="18"/>
        </w:rPr>
        <w:t xml:space="preserve"> </w:t>
      </w:r>
      <w:r w:rsidRPr="0011603D">
        <w:rPr>
          <w:color w:val="auto"/>
          <w:sz w:val="18"/>
          <w:szCs w:val="18"/>
        </w:rPr>
        <w:t>[2017.]</w:t>
      </w:r>
    </w:p>
  </w:footnote>
  <w:footnote w:id="54">
    <w:p w14:paraId="1A20A789" w14:textId="77777777" w:rsidR="009C52C4" w:rsidRPr="00AD38F0" w:rsidRDefault="009C52C4" w:rsidP="00AD38F0">
      <w:pPr>
        <w:pStyle w:val="FootnoteText"/>
        <w:rPr>
          <w:color w:val="auto"/>
          <w:sz w:val="18"/>
          <w:szCs w:val="18"/>
        </w:rPr>
      </w:pPr>
      <w:r w:rsidRPr="00AD38F0">
        <w:rPr>
          <w:rStyle w:val="FootnoteReference"/>
          <w:color w:val="auto"/>
          <w:sz w:val="18"/>
          <w:szCs w:val="18"/>
        </w:rPr>
        <w:footnoteRef/>
      </w:r>
      <w:r w:rsidRPr="00AD38F0">
        <w:rPr>
          <w:color w:val="auto"/>
          <w:sz w:val="18"/>
          <w:szCs w:val="18"/>
        </w:rPr>
        <w:t xml:space="preserve">Hrvatska banka za obnovu i razvitak (2017.), dostupno na: </w:t>
      </w:r>
      <w:hyperlink r:id="rId73" w:history="1">
        <w:r w:rsidRPr="00DE2735">
          <w:rPr>
            <w:rStyle w:val="Hyperlink"/>
            <w:sz w:val="18"/>
            <w:szCs w:val="18"/>
          </w:rPr>
          <w:t>https://www.hbor.hr/wp-content/uploads/2017/05/Za%C5%A1tita-okoli%C5%A1a-Pk-projekata-za%C5%A1tite-okoli%C5%A1a-energetske-u%C4%8Dinkovitosti</w:t>
        </w:r>
        <w:r w:rsidRPr="00DE2735" w:rsidDel="0030104F">
          <w:rPr>
            <w:rStyle w:val="Hyperlink"/>
            <w:sz w:val="18"/>
            <w:szCs w:val="18"/>
          </w:rPr>
          <w:t xml:space="preserve"> </w:t>
        </w:r>
        <w:r w:rsidRPr="00DE2735">
          <w:rPr>
            <w:rStyle w:val="Hyperlink"/>
            <w:sz w:val="18"/>
            <w:szCs w:val="18"/>
          </w:rPr>
          <w:t>-1612-1704.pdf</w:t>
        </w:r>
      </w:hyperlink>
      <w:r w:rsidRPr="00AD38F0">
        <w:rPr>
          <w:color w:val="auto"/>
          <w:sz w:val="18"/>
          <w:szCs w:val="18"/>
        </w:rPr>
        <w:t xml:space="preserve"> [2017.]</w:t>
      </w:r>
    </w:p>
  </w:footnote>
  <w:footnote w:id="55">
    <w:p w14:paraId="71C7F394" w14:textId="77777777" w:rsidR="009C52C4" w:rsidRPr="0011603D" w:rsidRDefault="009C52C4" w:rsidP="00AD38F0">
      <w:pPr>
        <w:pStyle w:val="FootnoteText"/>
        <w:rPr>
          <w:color w:val="auto"/>
          <w:sz w:val="18"/>
          <w:szCs w:val="18"/>
        </w:rPr>
      </w:pPr>
      <w:r w:rsidRPr="0011603D">
        <w:rPr>
          <w:rStyle w:val="FootnoteReference"/>
          <w:color w:val="auto"/>
          <w:sz w:val="18"/>
          <w:szCs w:val="18"/>
        </w:rPr>
        <w:footnoteRef/>
      </w:r>
      <w:r w:rsidRPr="0011603D">
        <w:rPr>
          <w:color w:val="auto"/>
          <w:sz w:val="18"/>
          <w:szCs w:val="18"/>
        </w:rPr>
        <w:t xml:space="preserve">Europska banka za obnovu i razvoj (2017.), dostupno na: </w:t>
      </w:r>
      <w:hyperlink r:id="rId74" w:history="1">
        <w:r w:rsidRPr="0011603D">
          <w:rPr>
            <w:rStyle w:val="Hyperlink"/>
            <w:sz w:val="18"/>
            <w:szCs w:val="18"/>
          </w:rPr>
          <w:t>http://www.wb-reep.org/</w:t>
        </w:r>
      </w:hyperlink>
      <w:r w:rsidRPr="0011603D">
        <w:rPr>
          <w:sz w:val="18"/>
          <w:szCs w:val="18"/>
        </w:rPr>
        <w:t xml:space="preserve"> </w:t>
      </w:r>
      <w:r w:rsidRPr="0011603D">
        <w:rPr>
          <w:color w:val="auto"/>
          <w:sz w:val="18"/>
          <w:szCs w:val="18"/>
        </w:rPr>
        <w:t>[2017.]</w:t>
      </w:r>
    </w:p>
  </w:footnote>
  <w:footnote w:id="56">
    <w:p w14:paraId="1ED8798A" w14:textId="77777777" w:rsidR="009C52C4" w:rsidRPr="00AC3F29" w:rsidRDefault="009C52C4" w:rsidP="00AD38F0">
      <w:pPr>
        <w:pStyle w:val="FootnoteText"/>
        <w:rPr>
          <w:color w:val="auto"/>
          <w:sz w:val="18"/>
          <w:szCs w:val="18"/>
        </w:rPr>
      </w:pPr>
      <w:r w:rsidRPr="00AC3F29">
        <w:rPr>
          <w:rStyle w:val="FootnoteReference"/>
          <w:color w:val="auto"/>
          <w:sz w:val="18"/>
          <w:szCs w:val="18"/>
        </w:rPr>
        <w:footnoteRef/>
      </w:r>
      <w:r w:rsidRPr="00AC3F29">
        <w:rPr>
          <w:color w:val="auto"/>
          <w:sz w:val="18"/>
          <w:szCs w:val="18"/>
        </w:rPr>
        <w:t xml:space="preserve">UNDP Projekt Poticanja energetske efikasnosti u Hrvatskoj (2012.), dostupno na: </w:t>
      </w:r>
      <w:hyperlink r:id="rId75" w:history="1">
        <w:r w:rsidRPr="00AC3F29">
          <w:rPr>
            <w:rStyle w:val="Hyperlink"/>
            <w:sz w:val="18"/>
            <w:szCs w:val="18"/>
          </w:rPr>
          <w:t>http://www.enu.fzoeu.hr/</w:t>
        </w:r>
      </w:hyperlink>
      <w:r w:rsidRPr="00AC3F29">
        <w:rPr>
          <w:sz w:val="18"/>
          <w:szCs w:val="18"/>
        </w:rPr>
        <w:t xml:space="preserve"> </w:t>
      </w:r>
      <w:r w:rsidRPr="00AC3F29">
        <w:rPr>
          <w:color w:val="auto"/>
          <w:sz w:val="18"/>
          <w:szCs w:val="18"/>
        </w:rPr>
        <w:t>[2012.]</w:t>
      </w:r>
    </w:p>
  </w:footnote>
  <w:footnote w:id="57">
    <w:p w14:paraId="71BB77E0" w14:textId="77777777" w:rsidR="009C52C4" w:rsidRPr="00AD38F0" w:rsidRDefault="009C52C4" w:rsidP="00AD38F0">
      <w:pPr>
        <w:rPr>
          <w:color w:val="auto"/>
          <w:sz w:val="18"/>
          <w:szCs w:val="18"/>
        </w:rPr>
      </w:pPr>
      <w:r w:rsidRPr="00AD38F0">
        <w:rPr>
          <w:color w:val="auto"/>
          <w:sz w:val="18"/>
          <w:szCs w:val="18"/>
          <w:vertAlign w:val="superscript"/>
        </w:rPr>
        <w:footnoteRef/>
      </w:r>
      <w:r w:rsidRPr="00AD38F0">
        <w:rPr>
          <w:color w:val="auto"/>
          <w:sz w:val="18"/>
          <w:szCs w:val="18"/>
        </w:rPr>
        <w:t xml:space="preserve">Poslovno-inovacijska agencija Republike Hrvatske (2013.), dostupno na: </w:t>
      </w:r>
      <w:hyperlink r:id="rId76" w:history="1">
        <w:r w:rsidRPr="00170BCC">
          <w:rPr>
            <w:rStyle w:val="Hyperlink"/>
            <w:sz w:val="18"/>
            <w:szCs w:val="18"/>
          </w:rPr>
          <w:t>http://www.hamagbicro.hr/inovacije/javni-sektor/test/</w:t>
        </w:r>
      </w:hyperlink>
      <w:r w:rsidRPr="00AD38F0">
        <w:rPr>
          <w:color w:val="auto"/>
          <w:sz w:val="18"/>
          <w:szCs w:val="18"/>
        </w:rPr>
        <w:t xml:space="preserve"> [31. prosinca, 2013.]</w:t>
      </w:r>
    </w:p>
  </w:footnote>
  <w:footnote w:id="58">
    <w:p w14:paraId="3FF2B6EC" w14:textId="5F5E43EE" w:rsidR="009C52C4" w:rsidRPr="00AD38F0" w:rsidRDefault="009C52C4" w:rsidP="00AD38F0">
      <w:pPr>
        <w:rPr>
          <w:color w:val="auto"/>
          <w:sz w:val="18"/>
          <w:szCs w:val="18"/>
        </w:rPr>
      </w:pPr>
      <w:r w:rsidRPr="00AD38F0">
        <w:rPr>
          <w:color w:val="auto"/>
          <w:sz w:val="18"/>
          <w:szCs w:val="18"/>
          <w:vertAlign w:val="superscript"/>
        </w:rPr>
        <w:footnoteRef/>
      </w:r>
      <w:r w:rsidRPr="00AD38F0">
        <w:rPr>
          <w:color w:val="auto"/>
          <w:sz w:val="18"/>
          <w:szCs w:val="18"/>
        </w:rPr>
        <w:t>Ministarstvo gospodarstva</w:t>
      </w:r>
      <w:r>
        <w:rPr>
          <w:color w:val="auto"/>
          <w:sz w:val="18"/>
          <w:szCs w:val="18"/>
        </w:rPr>
        <w:t>, poduzetništva i obrta</w:t>
      </w:r>
      <w:r w:rsidRPr="00AD38F0">
        <w:rPr>
          <w:color w:val="auto"/>
          <w:sz w:val="18"/>
          <w:szCs w:val="18"/>
        </w:rPr>
        <w:t xml:space="preserve"> (2012.), dostupno na: </w:t>
      </w:r>
      <w:hyperlink r:id="rId77" w:history="1">
        <w:r w:rsidRPr="00DE4792">
          <w:rPr>
            <w:rStyle w:val="Hyperlink"/>
            <w:sz w:val="18"/>
            <w:szCs w:val="18"/>
          </w:rPr>
          <w:t>http://www.mingo.hr/userdocsimages/STRATE%C5%A0KI%20PLAN%20MINGO%202013-2015%20kona%C4%8Dno.doc</w:t>
        </w:r>
      </w:hyperlink>
      <w:r>
        <w:rPr>
          <w:color w:val="auto"/>
          <w:sz w:val="18"/>
          <w:szCs w:val="18"/>
        </w:rPr>
        <w:t xml:space="preserve"> </w:t>
      </w:r>
      <w:bookmarkStart w:id="154" w:name="_Hlk483401321"/>
      <w:bookmarkStart w:id="155" w:name="_Hlk483400290"/>
      <w:r w:rsidRPr="00AD38F0">
        <w:rPr>
          <w:color w:val="auto"/>
          <w:sz w:val="18"/>
          <w:szCs w:val="18"/>
        </w:rPr>
        <w:t>[30. travnja, 2017.]</w:t>
      </w:r>
      <w:bookmarkEnd w:id="154"/>
    </w:p>
    <w:bookmarkEnd w:id="155"/>
  </w:footnote>
  <w:footnote w:id="59">
    <w:p w14:paraId="5D6060F6" w14:textId="389297A8" w:rsidR="009C52C4" w:rsidRPr="00AC3F29" w:rsidRDefault="009C52C4" w:rsidP="00AD38F0">
      <w:pPr>
        <w:pStyle w:val="FootnoteText"/>
        <w:rPr>
          <w:color w:val="auto"/>
          <w:sz w:val="18"/>
          <w:szCs w:val="18"/>
        </w:rPr>
      </w:pPr>
      <w:r w:rsidRPr="00AD38F0">
        <w:rPr>
          <w:rStyle w:val="FootnoteReference"/>
          <w:color w:val="auto"/>
          <w:sz w:val="18"/>
          <w:szCs w:val="18"/>
        </w:rPr>
        <w:footnoteRef/>
      </w:r>
      <w:r w:rsidRPr="00AD38F0">
        <w:rPr>
          <w:color w:val="auto"/>
          <w:sz w:val="18"/>
          <w:szCs w:val="18"/>
        </w:rPr>
        <w:t>Ministarstvo znanosti</w:t>
      </w:r>
      <w:r>
        <w:rPr>
          <w:color w:val="auto"/>
          <w:sz w:val="18"/>
          <w:szCs w:val="18"/>
        </w:rPr>
        <w:t xml:space="preserve"> i</w:t>
      </w:r>
      <w:r w:rsidRPr="00AD38F0">
        <w:rPr>
          <w:color w:val="auto"/>
          <w:sz w:val="18"/>
          <w:szCs w:val="18"/>
        </w:rPr>
        <w:t xml:space="preserve"> obrazovanja (2008.)</w:t>
      </w:r>
      <w:r>
        <w:rPr>
          <w:color w:val="auto"/>
          <w:sz w:val="18"/>
          <w:szCs w:val="18"/>
        </w:rPr>
        <w:t>, dostupno na:</w:t>
      </w:r>
      <w:r w:rsidRPr="00AD38F0">
        <w:rPr>
          <w:color w:val="auto"/>
          <w:sz w:val="18"/>
          <w:szCs w:val="18"/>
        </w:rPr>
        <w:t xml:space="preserve"> </w:t>
      </w:r>
      <w:hyperlink r:id="rId78" w:history="1">
        <w:r w:rsidRPr="0018241B">
          <w:rPr>
            <w:rStyle w:val="Hyperlink"/>
            <w:sz w:val="18"/>
            <w:szCs w:val="18"/>
          </w:rPr>
          <w:t>http://novebojeznanja.hr/UserDocsImages/Dokumenti%20i%20publikacije/Dokumenti%20i%20publikacije%20referirani%20u%20SOZTu%20(popis%201)/146%20Akcijski%20plan%20za%20poticanje%20ulaganja%20u%20znanost%20i%20istra%C5%BEivanje.pdf</w:t>
        </w:r>
      </w:hyperlink>
      <w:r w:rsidRPr="00AC3F29">
        <w:rPr>
          <w:color w:val="auto"/>
          <w:sz w:val="18"/>
          <w:szCs w:val="18"/>
        </w:rPr>
        <w:t xml:space="preserve"> [30. travnja, 2008.]</w:t>
      </w:r>
    </w:p>
  </w:footnote>
  <w:footnote w:id="60">
    <w:p w14:paraId="5574A66A" w14:textId="0E5F9A35" w:rsidR="009C52C4" w:rsidRPr="00AC3F29" w:rsidRDefault="009C52C4" w:rsidP="00AD38F0">
      <w:pPr>
        <w:rPr>
          <w:color w:val="auto"/>
          <w:sz w:val="18"/>
          <w:szCs w:val="18"/>
        </w:rPr>
      </w:pPr>
      <w:r w:rsidRPr="00AC3F29">
        <w:rPr>
          <w:color w:val="auto"/>
          <w:sz w:val="18"/>
          <w:szCs w:val="18"/>
          <w:vertAlign w:val="superscript"/>
        </w:rPr>
        <w:footnoteRef/>
      </w:r>
      <w:r w:rsidRPr="00AC3F29">
        <w:rPr>
          <w:color w:val="auto"/>
          <w:sz w:val="18"/>
          <w:szCs w:val="18"/>
        </w:rPr>
        <w:t xml:space="preserve">Ministarstvo </w:t>
      </w:r>
      <w:r>
        <w:rPr>
          <w:color w:val="auto"/>
          <w:sz w:val="18"/>
          <w:szCs w:val="18"/>
        </w:rPr>
        <w:t xml:space="preserve">gospodarstva, </w:t>
      </w:r>
      <w:r w:rsidRPr="00AC3F29">
        <w:rPr>
          <w:color w:val="auto"/>
          <w:sz w:val="18"/>
          <w:szCs w:val="18"/>
        </w:rPr>
        <w:t xml:space="preserve">poduzetništva i obrta (2016.), dostupno na: </w:t>
      </w:r>
      <w:hyperlink r:id="rId79" w:history="1">
        <w:r w:rsidRPr="00AC3F29">
          <w:rPr>
            <w:rStyle w:val="Hyperlink"/>
            <w:sz w:val="18"/>
            <w:szCs w:val="18"/>
          </w:rPr>
          <w:t>http://www.strukturnifondovi.hr/natjecaji/1276</w:t>
        </w:r>
      </w:hyperlink>
      <w:r w:rsidRPr="00AC3F29">
        <w:rPr>
          <w:color w:val="auto"/>
          <w:sz w:val="18"/>
          <w:szCs w:val="18"/>
        </w:rPr>
        <w:t xml:space="preserve">  [30. rujna, 2016.]</w:t>
      </w:r>
    </w:p>
  </w:footnote>
  <w:footnote w:id="61">
    <w:p w14:paraId="772123AB" w14:textId="77777777" w:rsidR="009C52C4" w:rsidRPr="00AC3F29" w:rsidRDefault="009C52C4" w:rsidP="00AD38F0">
      <w:pPr>
        <w:pStyle w:val="FootnoteText"/>
        <w:rPr>
          <w:color w:val="auto"/>
          <w:sz w:val="18"/>
          <w:szCs w:val="18"/>
        </w:rPr>
      </w:pPr>
      <w:r w:rsidRPr="00AC3F29">
        <w:rPr>
          <w:rStyle w:val="FootnoteReference"/>
          <w:color w:val="auto"/>
          <w:sz w:val="18"/>
          <w:szCs w:val="18"/>
        </w:rPr>
        <w:footnoteRef/>
      </w:r>
      <w:r w:rsidRPr="00AC3F29">
        <w:rPr>
          <w:color w:val="auto"/>
          <w:sz w:val="18"/>
          <w:szCs w:val="18"/>
        </w:rPr>
        <w:t xml:space="preserve">Sveučilište u Zagrebu, Građevinski fakultet (2015.), dostupno na: </w:t>
      </w:r>
      <w:hyperlink r:id="rId80" w:history="1">
        <w:r w:rsidRPr="00DE4792">
          <w:rPr>
            <w:rStyle w:val="Hyperlink"/>
            <w:sz w:val="18"/>
            <w:szCs w:val="18"/>
          </w:rPr>
          <w:t>http://www.eco-sandwich.hr/hr/</w:t>
        </w:r>
      </w:hyperlink>
    </w:p>
  </w:footnote>
  <w:footnote w:id="62">
    <w:p w14:paraId="4D625E4B" w14:textId="77777777" w:rsidR="009C52C4" w:rsidRPr="00AC3F29" w:rsidRDefault="009C52C4" w:rsidP="00AD38F0">
      <w:pPr>
        <w:rPr>
          <w:color w:val="auto"/>
          <w:sz w:val="18"/>
          <w:szCs w:val="18"/>
        </w:rPr>
      </w:pPr>
      <w:r w:rsidRPr="00AC3F29">
        <w:rPr>
          <w:color w:val="auto"/>
          <w:sz w:val="18"/>
          <w:szCs w:val="18"/>
          <w:vertAlign w:val="superscript"/>
        </w:rPr>
        <w:footnoteRef/>
      </w:r>
      <w:r w:rsidRPr="00AC3F29">
        <w:rPr>
          <w:color w:val="auto"/>
          <w:sz w:val="18"/>
          <w:szCs w:val="18"/>
        </w:rPr>
        <w:t xml:space="preserve">European Union, dostupno na: </w:t>
      </w:r>
      <w:hyperlink r:id="rId81" w:history="1">
        <w:r w:rsidRPr="00AC3F29">
          <w:rPr>
            <w:rStyle w:val="Hyperlink"/>
            <w:sz w:val="18"/>
            <w:szCs w:val="18"/>
          </w:rPr>
          <w:t>https://ec.europa.eu/info/funding-tenders_en</w:t>
        </w:r>
      </w:hyperlink>
      <w:r w:rsidRPr="00AC3F29">
        <w:rPr>
          <w:color w:val="auto"/>
          <w:sz w:val="18"/>
          <w:szCs w:val="18"/>
        </w:rPr>
        <w:t xml:space="preserve"> [30. travnja, 2017.]</w:t>
      </w:r>
    </w:p>
  </w:footnote>
  <w:footnote w:id="63">
    <w:p w14:paraId="51C830CC" w14:textId="77777777" w:rsidR="009C52C4" w:rsidRPr="00AC3F29" w:rsidRDefault="009C52C4" w:rsidP="00AD38F0">
      <w:pPr>
        <w:pStyle w:val="FootnoteText"/>
        <w:rPr>
          <w:sz w:val="18"/>
          <w:szCs w:val="18"/>
        </w:rPr>
      </w:pPr>
      <w:r w:rsidRPr="00AC3F29">
        <w:rPr>
          <w:rStyle w:val="FootnoteReference"/>
          <w:sz w:val="18"/>
          <w:szCs w:val="18"/>
        </w:rPr>
        <w:footnoteRef/>
      </w:r>
      <w:r>
        <w:rPr>
          <w:sz w:val="18"/>
          <w:szCs w:val="18"/>
        </w:rPr>
        <w:t>EU projekt BUILD UPON, d</w:t>
      </w:r>
      <w:r w:rsidRPr="00AC3F29">
        <w:rPr>
          <w:sz w:val="18"/>
          <w:szCs w:val="18"/>
        </w:rPr>
        <w:t xml:space="preserve">ostupno na: </w:t>
      </w:r>
      <w:hyperlink r:id="rId82" w:history="1">
        <w:r w:rsidRPr="00AC3F29">
          <w:rPr>
            <w:rStyle w:val="Hyperlink"/>
            <w:sz w:val="18"/>
            <w:szCs w:val="18"/>
          </w:rPr>
          <w:t>http://buildupon.eu/hr/</w:t>
        </w:r>
      </w:hyperlink>
      <w:r w:rsidRPr="00AC3F29">
        <w:rPr>
          <w:sz w:val="18"/>
          <w:szCs w:val="18"/>
        </w:rPr>
        <w:t xml:space="preserve"> </w:t>
      </w:r>
    </w:p>
  </w:footnote>
  <w:footnote w:id="64">
    <w:p w14:paraId="0804DBE1" w14:textId="77777777" w:rsidR="009C52C4" w:rsidRPr="00AC3F29" w:rsidRDefault="009C52C4" w:rsidP="00AD38F0">
      <w:pPr>
        <w:jc w:val="left"/>
        <w:rPr>
          <w:color w:val="auto"/>
          <w:sz w:val="18"/>
          <w:szCs w:val="18"/>
        </w:rPr>
      </w:pPr>
      <w:r w:rsidRPr="00AC3F29">
        <w:rPr>
          <w:color w:val="auto"/>
          <w:sz w:val="18"/>
          <w:szCs w:val="18"/>
          <w:vertAlign w:val="superscript"/>
        </w:rPr>
        <w:footnoteRef/>
      </w:r>
      <w:r w:rsidRPr="00AC3F29">
        <w:rPr>
          <w:color w:val="auto"/>
          <w:sz w:val="18"/>
          <w:szCs w:val="18"/>
        </w:rPr>
        <w:t xml:space="preserve">European Union, dostupno na: </w:t>
      </w:r>
      <w:hyperlink r:id="rId83" w:history="1">
        <w:r w:rsidRPr="00AC3F29">
          <w:rPr>
            <w:rStyle w:val="Hyperlink"/>
            <w:sz w:val="18"/>
            <w:szCs w:val="18"/>
          </w:rPr>
          <w:t>http://ec.europa.eu/programmes/horizon2020/</w:t>
        </w:r>
      </w:hyperlink>
      <w:r w:rsidRPr="00AC3F29">
        <w:rPr>
          <w:color w:val="auto"/>
          <w:sz w:val="18"/>
          <w:szCs w:val="18"/>
        </w:rPr>
        <w:t xml:space="preserve"> [30. travnja, 2017.]</w:t>
      </w:r>
    </w:p>
  </w:footnote>
  <w:footnote w:id="65">
    <w:p w14:paraId="3D73EB14" w14:textId="547E44C7" w:rsidR="009C52C4" w:rsidRPr="00DE2735" w:rsidRDefault="009C52C4" w:rsidP="001D44C7">
      <w:pPr>
        <w:pStyle w:val="FootnoteText"/>
        <w:rPr>
          <w:sz w:val="18"/>
          <w:szCs w:val="18"/>
        </w:rPr>
      </w:pPr>
      <w:r w:rsidRPr="00866719">
        <w:rPr>
          <w:rStyle w:val="FootnoteReference"/>
          <w:sz w:val="18"/>
          <w:szCs w:val="18"/>
        </w:rPr>
        <w:footnoteRef/>
      </w:r>
      <w:r w:rsidRPr="00866719">
        <w:rPr>
          <w:sz w:val="18"/>
          <w:szCs w:val="18"/>
        </w:rPr>
        <w:t xml:space="preserve">Istraživanje je provedeno u Irskoj 2012. godine na uzorku od 20.000 nekretnina, </w:t>
      </w:r>
      <w:r>
        <w:rPr>
          <w:sz w:val="18"/>
          <w:szCs w:val="18"/>
        </w:rPr>
        <w:t>i</w:t>
      </w:r>
      <w:r w:rsidRPr="000C5A09">
        <w:rPr>
          <w:sz w:val="18"/>
          <w:szCs w:val="18"/>
        </w:rPr>
        <w:t>zvor: Martin Vaché, Institut Wohnen und Umwelt, Darmstadt</w:t>
      </w:r>
    </w:p>
  </w:footnote>
  <w:footnote w:id="66">
    <w:p w14:paraId="230E3BC7" w14:textId="77777777" w:rsidR="009C52C4" w:rsidRPr="004D0E62" w:rsidRDefault="009C52C4" w:rsidP="004F09F1">
      <w:pPr>
        <w:rPr>
          <w:sz w:val="18"/>
          <w:szCs w:val="18"/>
        </w:rPr>
      </w:pPr>
      <w:r w:rsidRPr="004D0E62">
        <w:rPr>
          <w:sz w:val="18"/>
          <w:szCs w:val="18"/>
          <w:vertAlign w:val="superscript"/>
        </w:rPr>
        <w:footnoteRef/>
      </w:r>
      <w:r w:rsidRPr="004D0E62">
        <w:rPr>
          <w:sz w:val="18"/>
          <w:szCs w:val="18"/>
        </w:rPr>
        <w:t>Building Performance I</w:t>
      </w:r>
      <w:r>
        <w:rPr>
          <w:sz w:val="18"/>
          <w:szCs w:val="18"/>
        </w:rPr>
        <w:t>nstitute Europe – BPIE:Europe's</w:t>
      </w:r>
      <w:r w:rsidRPr="004D0E62">
        <w:rPr>
          <w:sz w:val="18"/>
          <w:szCs w:val="18"/>
        </w:rPr>
        <w:t xml:space="preserve"> Bu</w:t>
      </w:r>
      <w:r>
        <w:rPr>
          <w:sz w:val="18"/>
          <w:szCs w:val="18"/>
        </w:rPr>
        <w:t xml:space="preserve">ildings under the Microscope, </w:t>
      </w:r>
      <w:r w:rsidRPr="004D0E62">
        <w:rPr>
          <w:sz w:val="18"/>
          <w:szCs w:val="18"/>
        </w:rPr>
        <w:t>October 2011</w:t>
      </w:r>
    </w:p>
  </w:footnote>
  <w:footnote w:id="67">
    <w:p w14:paraId="74180F24" w14:textId="77777777" w:rsidR="009C52C4" w:rsidRPr="004D0E62" w:rsidRDefault="009C52C4" w:rsidP="004F09F1">
      <w:pPr>
        <w:rPr>
          <w:sz w:val="18"/>
          <w:szCs w:val="18"/>
        </w:rPr>
      </w:pPr>
      <w:r w:rsidRPr="004D0E62">
        <w:rPr>
          <w:sz w:val="18"/>
          <w:szCs w:val="18"/>
          <w:vertAlign w:val="superscript"/>
        </w:rPr>
        <w:footnoteRef/>
      </w:r>
      <w:r w:rsidRPr="004D0E62">
        <w:rPr>
          <w:sz w:val="18"/>
          <w:szCs w:val="18"/>
        </w:rPr>
        <w:t>Više o financijskim barijerama i ograničenjima u poglavlju 5.2.2.</w:t>
      </w:r>
    </w:p>
  </w:footnote>
  <w:footnote w:id="68">
    <w:p w14:paraId="5A09CDB7" w14:textId="2801E45D" w:rsidR="009C52C4" w:rsidRPr="00C1206E" w:rsidRDefault="009C52C4" w:rsidP="00C1206E">
      <w:pPr>
        <w:pStyle w:val="FootnoteText"/>
        <w:rPr>
          <w:sz w:val="18"/>
          <w:szCs w:val="18"/>
        </w:rPr>
      </w:pPr>
      <w:r w:rsidRPr="00C1206E">
        <w:rPr>
          <w:rStyle w:val="FootnoteReference"/>
          <w:sz w:val="18"/>
          <w:szCs w:val="18"/>
        </w:rPr>
        <w:footnoteRef/>
      </w:r>
      <w:r w:rsidRPr="005D4352">
        <w:rPr>
          <w:sz w:val="18"/>
          <w:szCs w:val="18"/>
        </w:rPr>
        <w:t>Ugovor o projektiranju i izvođenju (Design and Bui</w:t>
      </w:r>
      <w:r>
        <w:rPr>
          <w:sz w:val="18"/>
          <w:szCs w:val="18"/>
        </w:rPr>
        <w:t>l</w:t>
      </w:r>
      <w:r w:rsidRPr="005D4352">
        <w:rPr>
          <w:sz w:val="18"/>
          <w:szCs w:val="18"/>
        </w:rPr>
        <w:t xml:space="preserve">d/D&amp;B) traži ekonomski najpovoljniju ponudu, koja će </w:t>
      </w:r>
      <w:r>
        <w:rPr>
          <w:sz w:val="18"/>
          <w:szCs w:val="18"/>
        </w:rPr>
        <w:t xml:space="preserve">pritom </w:t>
      </w:r>
      <w:r w:rsidRPr="005D4352">
        <w:rPr>
          <w:sz w:val="18"/>
          <w:szCs w:val="18"/>
        </w:rPr>
        <w:t>garantirati funkcionalnu građevinu te da će se projektom smanjiti cjelokupni životni troškovi. Riječ je o modelu koji se odvija na način „ključ u ruke“. Javni partner raspisuje natječaj, a novac privatnom partneru isplaćuje tek po završetku projekta</w:t>
      </w:r>
      <w:r>
        <w:rPr>
          <w:sz w:val="18"/>
          <w:szCs w:val="18"/>
        </w:rPr>
        <w:t>.</w:t>
      </w:r>
      <w:r w:rsidRPr="005D4352">
        <w:rPr>
          <w:sz w:val="18"/>
          <w:szCs w:val="18"/>
        </w:rPr>
        <w:t xml:space="preserve"> </w:t>
      </w:r>
      <w:r>
        <w:rPr>
          <w:sz w:val="18"/>
          <w:szCs w:val="18"/>
        </w:rPr>
        <w:t>T</w:t>
      </w:r>
      <w:r w:rsidRPr="005D4352">
        <w:rPr>
          <w:sz w:val="18"/>
          <w:szCs w:val="18"/>
        </w:rPr>
        <w:t>roškovni rizik i rizik kvalitete izgrađenog prenosi</w:t>
      </w:r>
      <w:r>
        <w:rPr>
          <w:sz w:val="18"/>
          <w:szCs w:val="18"/>
        </w:rPr>
        <w:t xml:space="preserve"> se na privatnog partnera, dok f</w:t>
      </w:r>
      <w:r w:rsidRPr="005D4352">
        <w:rPr>
          <w:sz w:val="18"/>
          <w:szCs w:val="18"/>
        </w:rPr>
        <w:t xml:space="preserve">inanciranje i troškove financiranja snosi javni </w:t>
      </w:r>
      <w:r>
        <w:rPr>
          <w:sz w:val="18"/>
          <w:szCs w:val="18"/>
        </w:rPr>
        <w:t>partner</w:t>
      </w:r>
      <w:r w:rsidRPr="005D4352">
        <w:rPr>
          <w:sz w:val="18"/>
          <w:szCs w:val="18"/>
        </w:rPr>
        <w:t>.</w:t>
      </w:r>
    </w:p>
  </w:footnote>
  <w:footnote w:id="69">
    <w:p w14:paraId="4525C637" w14:textId="6B7FFC60" w:rsidR="009C52C4" w:rsidRPr="00BC54C0" w:rsidRDefault="009C52C4">
      <w:pPr>
        <w:pStyle w:val="FootnoteText"/>
        <w:rPr>
          <w:sz w:val="18"/>
          <w:szCs w:val="18"/>
        </w:rPr>
      </w:pPr>
      <w:r w:rsidRPr="00BC54C0">
        <w:rPr>
          <w:rStyle w:val="FootnoteReference"/>
          <w:sz w:val="18"/>
          <w:szCs w:val="18"/>
        </w:rPr>
        <w:footnoteRef/>
      </w:r>
      <w:r>
        <w:rPr>
          <w:sz w:val="18"/>
          <w:szCs w:val="18"/>
        </w:rPr>
        <w:t xml:space="preserve">Kod </w:t>
      </w:r>
      <w:r w:rsidRPr="00BC54C0">
        <w:rPr>
          <w:sz w:val="18"/>
          <w:szCs w:val="18"/>
        </w:rPr>
        <w:t>Ugovor</w:t>
      </w:r>
      <w:r>
        <w:rPr>
          <w:sz w:val="18"/>
          <w:szCs w:val="18"/>
        </w:rPr>
        <w:t>a</w:t>
      </w:r>
      <w:r w:rsidRPr="00BC54C0">
        <w:rPr>
          <w:sz w:val="18"/>
          <w:szCs w:val="18"/>
        </w:rPr>
        <w:t xml:space="preserve"> o energetskom učinku </w:t>
      </w:r>
      <w:r>
        <w:rPr>
          <w:sz w:val="18"/>
          <w:szCs w:val="18"/>
        </w:rPr>
        <w:t>j</w:t>
      </w:r>
      <w:r w:rsidRPr="00BC54C0">
        <w:rPr>
          <w:sz w:val="18"/>
          <w:szCs w:val="18"/>
        </w:rPr>
        <w:t xml:space="preserve">avni partner raspisuje natječaj, privatni partner se prijavljuje na isti i dobiva ga u slučaju (kao i kod D&amp;B modela) </w:t>
      </w:r>
      <w:r>
        <w:rPr>
          <w:sz w:val="18"/>
          <w:szCs w:val="18"/>
        </w:rPr>
        <w:t>da</w:t>
      </w:r>
      <w:r w:rsidRPr="00BC54C0">
        <w:rPr>
          <w:sz w:val="18"/>
          <w:szCs w:val="18"/>
        </w:rPr>
        <w:t xml:space="preserve"> garantira ekonomski najpovoljnije uvjete u smislu smanjenja cjelokupnih životnih troškova na temelju planiranih energetskih ušteda. No, u </w:t>
      </w:r>
      <w:r>
        <w:rPr>
          <w:sz w:val="18"/>
          <w:szCs w:val="18"/>
        </w:rPr>
        <w:t xml:space="preserve">ovom modelu </w:t>
      </w:r>
      <w:r w:rsidRPr="00BC54C0">
        <w:rPr>
          <w:sz w:val="18"/>
          <w:szCs w:val="18"/>
        </w:rPr>
        <w:t>privatni partner prvu uplatu dobiva tek nakon provedenog projekta rekonstrukcije i to na mjesečnoj osnovi za svaki mjesec idućih deset godina (ovisno na koliko se potpisuje ugovor) i to isključivo ako projekt pokazuje ostvarivanje planiranih energetskih ušteda</w:t>
      </w:r>
      <w:r>
        <w:rPr>
          <w:sz w:val="18"/>
          <w:szCs w:val="18"/>
        </w:rPr>
        <w:t>,</w:t>
      </w:r>
      <w:r w:rsidRPr="00BC54C0">
        <w:rPr>
          <w:sz w:val="18"/>
          <w:szCs w:val="18"/>
        </w:rPr>
        <w:t xml:space="preserve"> odnosno ako </w:t>
      </w:r>
      <w:r>
        <w:rPr>
          <w:sz w:val="18"/>
          <w:szCs w:val="18"/>
        </w:rPr>
        <w:t>su</w:t>
      </w:r>
      <w:r w:rsidRPr="00BC54C0">
        <w:rPr>
          <w:sz w:val="18"/>
          <w:szCs w:val="18"/>
        </w:rPr>
        <w:t xml:space="preserve"> isporučena energetske usluga i ostali standardi u skladu s ugovorenim uvjetima. U slučaju da se to ne dogodi privatni partner snosi rizik i dobiva manju naknadu od dogovorene, jer očito posao nije obavio onako dobro kako se obvezao ugovorom.</w:t>
      </w:r>
    </w:p>
  </w:footnote>
  <w:footnote w:id="70">
    <w:p w14:paraId="5531F290" w14:textId="77777777" w:rsidR="009C52C4" w:rsidRPr="004D0E62" w:rsidRDefault="009C52C4" w:rsidP="004F09F1">
      <w:pPr>
        <w:rPr>
          <w:sz w:val="18"/>
          <w:szCs w:val="18"/>
        </w:rPr>
      </w:pPr>
      <w:r w:rsidRPr="004D0E62">
        <w:rPr>
          <w:sz w:val="18"/>
          <w:szCs w:val="18"/>
          <w:vertAlign w:val="superscript"/>
        </w:rPr>
        <w:footnoteRef/>
      </w:r>
      <w:r w:rsidRPr="004D0E62">
        <w:rPr>
          <w:sz w:val="18"/>
          <w:szCs w:val="18"/>
        </w:rPr>
        <w:t>Plan ciljeva energetske obnove za operativne Programe energetske obnove zgrada razni</w:t>
      </w:r>
      <w:r>
        <w:rPr>
          <w:sz w:val="18"/>
          <w:szCs w:val="18"/>
        </w:rPr>
        <w:t>h</w:t>
      </w:r>
      <w:r w:rsidRPr="004D0E62">
        <w:rPr>
          <w:sz w:val="18"/>
          <w:szCs w:val="18"/>
        </w:rPr>
        <w:t xml:space="preserve"> tipologija, Ministarstvo graditeljstva i prostornog</w:t>
      </w:r>
      <w:r>
        <w:rPr>
          <w:sz w:val="18"/>
          <w:szCs w:val="18"/>
        </w:rPr>
        <w:t>a</w:t>
      </w:r>
      <w:r w:rsidRPr="004D0E62">
        <w:rPr>
          <w:sz w:val="18"/>
          <w:szCs w:val="18"/>
        </w:rPr>
        <w:t xml:space="preserve"> uređenja prema Europskom putokazu do 2050. godine Europske komisije</w:t>
      </w:r>
    </w:p>
  </w:footnote>
  <w:footnote w:id="71">
    <w:p w14:paraId="78335C32" w14:textId="77777777" w:rsidR="009C52C4" w:rsidRPr="004D0E62" w:rsidRDefault="009C52C4" w:rsidP="004F09F1">
      <w:pPr>
        <w:rPr>
          <w:sz w:val="18"/>
          <w:szCs w:val="18"/>
        </w:rPr>
      </w:pPr>
      <w:r w:rsidRPr="004D0E62">
        <w:rPr>
          <w:sz w:val="18"/>
          <w:szCs w:val="18"/>
          <w:vertAlign w:val="superscript"/>
        </w:rPr>
        <w:footnoteRef/>
      </w:r>
      <w:r w:rsidRPr="004D0E62">
        <w:rPr>
          <w:sz w:val="18"/>
          <w:szCs w:val="18"/>
        </w:rPr>
        <w:t>A guide to developing strategies for building energy renovation, BPIE, veljača 2013.</w:t>
      </w:r>
    </w:p>
  </w:footnote>
  <w:footnote w:id="72">
    <w:p w14:paraId="6564DADB" w14:textId="77777777" w:rsidR="009C52C4" w:rsidRPr="004D0E62" w:rsidRDefault="009C52C4" w:rsidP="00C249E8">
      <w:pPr>
        <w:rPr>
          <w:sz w:val="18"/>
          <w:szCs w:val="18"/>
        </w:rPr>
      </w:pPr>
      <w:r w:rsidRPr="004D0E62">
        <w:rPr>
          <w:sz w:val="18"/>
          <w:szCs w:val="18"/>
          <w:vertAlign w:val="superscript"/>
        </w:rPr>
        <w:footnoteRef/>
      </w:r>
      <w:r w:rsidRPr="004D0E62">
        <w:rPr>
          <w:sz w:val="18"/>
          <w:szCs w:val="18"/>
        </w:rPr>
        <w:t>Uredba o održavanju zgrada</w:t>
      </w:r>
      <w:r>
        <w:rPr>
          <w:sz w:val="18"/>
          <w:szCs w:val="18"/>
        </w:rPr>
        <w:t xml:space="preserve"> </w:t>
      </w:r>
      <w:r w:rsidRPr="00494596">
        <w:rPr>
          <w:sz w:val="18"/>
          <w:szCs w:val="18"/>
        </w:rPr>
        <w:t xml:space="preserve">(„Narodne novine“ broj </w:t>
      </w:r>
      <w:r w:rsidRPr="004D0E62">
        <w:rPr>
          <w:sz w:val="18"/>
          <w:szCs w:val="18"/>
        </w:rPr>
        <w:t>64/</w:t>
      </w:r>
      <w:r>
        <w:rPr>
          <w:sz w:val="18"/>
          <w:szCs w:val="18"/>
        </w:rPr>
        <w:t>19</w:t>
      </w:r>
      <w:r w:rsidRPr="004D0E62">
        <w:rPr>
          <w:sz w:val="18"/>
          <w:szCs w:val="18"/>
        </w:rPr>
        <w:t>97</w:t>
      </w:r>
      <w:r>
        <w:rPr>
          <w:sz w:val="18"/>
          <w:szCs w:val="18"/>
        </w:rPr>
        <w:t>) (1002)</w:t>
      </w:r>
      <w:r w:rsidRPr="004D0E62">
        <w:rPr>
          <w:sz w:val="18"/>
          <w:szCs w:val="18"/>
        </w:rPr>
        <w:t xml:space="preserve">, dostupno na </w:t>
      </w:r>
      <w:hyperlink r:id="rId84" w:history="1">
        <w:r w:rsidRPr="00DE4792">
          <w:rPr>
            <w:rStyle w:val="Hyperlink"/>
            <w:sz w:val="18"/>
            <w:szCs w:val="18"/>
          </w:rPr>
          <w:t>http://narodne-novine.nn.hr/clanci/sluzbeni/1997_06_64_1002.html</w:t>
        </w:r>
      </w:hyperlink>
      <w:hyperlink r:id="rId85"/>
      <w:hyperlink r:id="rId86"/>
    </w:p>
  </w:footnote>
  <w:footnote w:id="73">
    <w:p w14:paraId="692CE497" w14:textId="77777777" w:rsidR="009C52C4" w:rsidRPr="00513F60" w:rsidRDefault="009C52C4" w:rsidP="008003E6">
      <w:pPr>
        <w:pStyle w:val="FootnoteText"/>
        <w:jc w:val="left"/>
        <w:rPr>
          <w:sz w:val="18"/>
          <w:szCs w:val="18"/>
        </w:rPr>
      </w:pPr>
      <w:r w:rsidRPr="00513F60">
        <w:rPr>
          <w:rStyle w:val="FootnoteReference"/>
          <w:sz w:val="18"/>
          <w:szCs w:val="18"/>
        </w:rPr>
        <w:footnoteRef/>
      </w:r>
      <w:r w:rsidRPr="00513F60">
        <w:rPr>
          <w:sz w:val="18"/>
          <w:szCs w:val="18"/>
        </w:rPr>
        <w:t xml:space="preserve">Institut za javne financije (2013): </w:t>
      </w:r>
      <w:r w:rsidRPr="00513F60">
        <w:rPr>
          <w:i/>
          <w:sz w:val="18"/>
          <w:szCs w:val="18"/>
        </w:rPr>
        <w:t>Analiza sustava poticanja stambene štednje u Republici Hrvatskoj.</w:t>
      </w:r>
      <w:r w:rsidRPr="00513F60">
        <w:rPr>
          <w:sz w:val="18"/>
          <w:szCs w:val="18"/>
        </w:rPr>
        <w:t xml:space="preserve"> Zagr</w:t>
      </w:r>
      <w:r>
        <w:rPr>
          <w:sz w:val="18"/>
          <w:szCs w:val="18"/>
        </w:rPr>
        <w:t>eb: Institut za javne financije, d</w:t>
      </w:r>
      <w:r w:rsidRPr="00513F60">
        <w:rPr>
          <w:sz w:val="18"/>
          <w:szCs w:val="18"/>
        </w:rPr>
        <w:t xml:space="preserve">ostupno na: </w:t>
      </w:r>
      <w:hyperlink r:id="rId87" w:history="1">
        <w:r w:rsidRPr="00513F60">
          <w:rPr>
            <w:rStyle w:val="Hyperlink"/>
            <w:sz w:val="18"/>
            <w:szCs w:val="18"/>
          </w:rPr>
          <w:t>http://www.ijf.hr/upload/files/file/projekti/Analiza_sustava_poticanja_stambene_stednje_u_Republici_Hrvatskoj.pdf</w:t>
        </w:r>
      </w:hyperlink>
      <w:r w:rsidRPr="00513F60">
        <w:rPr>
          <w:sz w:val="18"/>
          <w:szCs w:val="18"/>
        </w:rPr>
        <w:t xml:space="preserve"> [1</w:t>
      </w:r>
      <w:r>
        <w:rPr>
          <w:sz w:val="18"/>
          <w:szCs w:val="18"/>
        </w:rPr>
        <w:t>0</w:t>
      </w:r>
      <w:r w:rsidRPr="00513F60">
        <w:rPr>
          <w:sz w:val="18"/>
          <w:szCs w:val="18"/>
        </w:rPr>
        <w:t>. svibnja 2017.]</w:t>
      </w:r>
    </w:p>
  </w:footnote>
  <w:footnote w:id="74">
    <w:p w14:paraId="7A4A574F" w14:textId="77777777" w:rsidR="009C52C4" w:rsidRPr="004D0E62" w:rsidRDefault="009C52C4" w:rsidP="00D4414D">
      <w:pPr>
        <w:rPr>
          <w:sz w:val="18"/>
          <w:szCs w:val="18"/>
        </w:rPr>
      </w:pPr>
      <w:r w:rsidRPr="004D0E62">
        <w:rPr>
          <w:sz w:val="18"/>
          <w:szCs w:val="18"/>
          <w:vertAlign w:val="superscript"/>
        </w:rPr>
        <w:footnoteRef/>
      </w:r>
      <w:r w:rsidRPr="0008627E">
        <w:rPr>
          <w:sz w:val="18"/>
          <w:szCs w:val="18"/>
        </w:rPr>
        <w:t xml:space="preserve">Official Journal of the European Union (OJ C 83, 30.03.2010.). </w:t>
      </w:r>
      <w:r w:rsidRPr="0008627E">
        <w:rPr>
          <w:i/>
          <w:sz w:val="18"/>
          <w:szCs w:val="18"/>
        </w:rPr>
        <w:t>Consolidated version of the Treaty on the Fu</w:t>
      </w:r>
      <w:r>
        <w:rPr>
          <w:i/>
          <w:sz w:val="18"/>
          <w:szCs w:val="18"/>
        </w:rPr>
        <w:t>nctioning of the European Union</w:t>
      </w:r>
      <w:r w:rsidRPr="00A3212B">
        <w:rPr>
          <w:sz w:val="18"/>
          <w:szCs w:val="18"/>
        </w:rPr>
        <w:t>,</w:t>
      </w:r>
      <w:r w:rsidRPr="0008627E">
        <w:rPr>
          <w:i/>
          <w:sz w:val="18"/>
          <w:szCs w:val="18"/>
        </w:rPr>
        <w:t xml:space="preserve"> </w:t>
      </w:r>
      <w:r>
        <w:rPr>
          <w:sz w:val="18"/>
          <w:szCs w:val="18"/>
        </w:rPr>
        <w:t>d</w:t>
      </w:r>
      <w:r w:rsidRPr="0008627E">
        <w:rPr>
          <w:sz w:val="18"/>
          <w:szCs w:val="18"/>
        </w:rPr>
        <w:t xml:space="preserve">ostupno na: </w:t>
      </w:r>
      <w:hyperlink r:id="rId88" w:history="1">
        <w:r w:rsidRPr="0008627E">
          <w:rPr>
            <w:rStyle w:val="Hyperlink"/>
            <w:sz w:val="18"/>
            <w:szCs w:val="18"/>
          </w:rPr>
          <w:t>http://eur-lex.europa.eu/resource.html?uri=cellar:c382f65d-618a-4c72-9135-1e68087499fa.0006.02/DOC_3&amp;format=PDF</w:t>
        </w:r>
      </w:hyperlink>
      <w:r w:rsidRPr="0008627E">
        <w:rPr>
          <w:sz w:val="18"/>
          <w:szCs w:val="18"/>
        </w:rPr>
        <w:t xml:space="preserve"> [26.10. 2012.]</w:t>
      </w:r>
    </w:p>
  </w:footnote>
  <w:footnote w:id="75">
    <w:p w14:paraId="11046577" w14:textId="6937BAE0" w:rsidR="009C52C4" w:rsidRPr="004D0E62" w:rsidRDefault="009C52C4" w:rsidP="00634901">
      <w:pPr>
        <w:rPr>
          <w:sz w:val="18"/>
          <w:szCs w:val="18"/>
        </w:rPr>
      </w:pPr>
      <w:r w:rsidRPr="004D0E62">
        <w:rPr>
          <w:sz w:val="18"/>
          <w:szCs w:val="18"/>
          <w:vertAlign w:val="superscript"/>
        </w:rPr>
        <w:footnoteRef/>
      </w:r>
      <w:r w:rsidRPr="004D0E62">
        <w:rPr>
          <w:sz w:val="18"/>
          <w:szCs w:val="18"/>
        </w:rPr>
        <w:t xml:space="preserve">Fondovi Kohezijske politike sastoje se o Europskog fonda za regionalni razvoj (EFRR), Europskog socijalnog fonda (ESF) i Kohezijskog fonda (KF). Europski </w:t>
      </w:r>
      <w:r>
        <w:rPr>
          <w:sz w:val="18"/>
          <w:szCs w:val="18"/>
        </w:rPr>
        <w:t>s</w:t>
      </w:r>
      <w:r w:rsidRPr="004D0E62">
        <w:rPr>
          <w:sz w:val="18"/>
          <w:szCs w:val="18"/>
        </w:rPr>
        <w:t xml:space="preserve">trukturni i </w:t>
      </w:r>
      <w:r>
        <w:rPr>
          <w:sz w:val="18"/>
          <w:szCs w:val="18"/>
        </w:rPr>
        <w:t>i</w:t>
      </w:r>
      <w:r w:rsidRPr="004D0E62">
        <w:rPr>
          <w:sz w:val="18"/>
          <w:szCs w:val="18"/>
        </w:rPr>
        <w:t>nvesticijski Fondovi (ESI Fondovi) odnose se na tri navedena fonda te Europski poljoprivredni fond za ruralni razvoj (EPFRR) i Europsk</w:t>
      </w:r>
      <w:r>
        <w:rPr>
          <w:sz w:val="18"/>
          <w:szCs w:val="18"/>
        </w:rPr>
        <w:t>i fond za pomorstvo i ribarstvo</w:t>
      </w:r>
    </w:p>
  </w:footnote>
  <w:footnote w:id="76">
    <w:p w14:paraId="70B55221" w14:textId="42F2D9C8" w:rsidR="009C52C4" w:rsidRPr="004D0E62" w:rsidRDefault="009C52C4" w:rsidP="00634901">
      <w:pPr>
        <w:rPr>
          <w:sz w:val="18"/>
          <w:szCs w:val="18"/>
        </w:rPr>
      </w:pPr>
      <w:r w:rsidRPr="004D0E62">
        <w:rPr>
          <w:sz w:val="18"/>
          <w:szCs w:val="18"/>
          <w:vertAlign w:val="superscript"/>
        </w:rPr>
        <w:footnoteRef/>
      </w:r>
      <w:r w:rsidRPr="004D0E62">
        <w:rPr>
          <w:sz w:val="18"/>
          <w:szCs w:val="18"/>
        </w:rPr>
        <w:t xml:space="preserve"> </w:t>
      </w:r>
      <w:r w:rsidRPr="00262204">
        <w:rPr>
          <w:sz w:val="18"/>
          <w:szCs w:val="18"/>
        </w:rPr>
        <w:t>Sredstva EFRR također se mogu koristiti za Tematski cilj 4 s kojim alokacija sredstava iznosi 12%.</w:t>
      </w:r>
    </w:p>
  </w:footnote>
  <w:footnote w:id="77">
    <w:p w14:paraId="771CBC43" w14:textId="77777777" w:rsidR="009C52C4" w:rsidRPr="00513F60" w:rsidRDefault="009C52C4" w:rsidP="004E6F69">
      <w:pPr>
        <w:pStyle w:val="FootnoteText"/>
        <w:rPr>
          <w:sz w:val="18"/>
          <w:szCs w:val="18"/>
        </w:rPr>
      </w:pPr>
      <w:r w:rsidRPr="00513F60">
        <w:rPr>
          <w:rStyle w:val="FootnoteReference"/>
          <w:sz w:val="18"/>
          <w:szCs w:val="18"/>
        </w:rPr>
        <w:footnoteRef/>
      </w:r>
      <w:r w:rsidRPr="00513F60">
        <w:rPr>
          <w:sz w:val="18"/>
          <w:szCs w:val="18"/>
        </w:rPr>
        <w:t xml:space="preserve">The 2015 Ageing Report: Economic and budgetary projections for the 28 EU Member States (2013-2060), dostupno na: </w:t>
      </w:r>
      <w:hyperlink r:id="rId89" w:history="1">
        <w:r w:rsidRPr="00513F60">
          <w:rPr>
            <w:rStyle w:val="Hyperlink"/>
            <w:sz w:val="18"/>
            <w:szCs w:val="18"/>
          </w:rPr>
          <w:t>https://ec.europa.eu/eip/ageing/library/2015-ageing-report-economic-and-budgetary-projections-28-eu-member-states-2013-2060_en</w:t>
        </w:r>
      </w:hyperlink>
      <w:r w:rsidRPr="00513F60">
        <w:rPr>
          <w:sz w:val="18"/>
          <w:szCs w:val="18"/>
        </w:rPr>
        <w:t xml:space="preserve"> </w:t>
      </w:r>
      <w:r w:rsidRPr="00513F60">
        <w:rPr>
          <w:rFonts w:cstheme="minorHAnsi"/>
          <w:sz w:val="18"/>
          <w:szCs w:val="18"/>
        </w:rPr>
        <w:t>[19. svibnja 2017.]</w:t>
      </w:r>
    </w:p>
  </w:footnote>
  <w:footnote w:id="78">
    <w:p w14:paraId="246F5558" w14:textId="77777777" w:rsidR="009C52C4" w:rsidRPr="00513F60" w:rsidRDefault="009C52C4" w:rsidP="00853BC8">
      <w:pPr>
        <w:pStyle w:val="FootnoteText"/>
        <w:rPr>
          <w:sz w:val="18"/>
          <w:szCs w:val="18"/>
          <w:highlight w:val="yellow"/>
        </w:rPr>
      </w:pPr>
      <w:r w:rsidRPr="00513F60">
        <w:rPr>
          <w:rStyle w:val="FootnoteReference"/>
          <w:sz w:val="18"/>
          <w:szCs w:val="18"/>
        </w:rPr>
        <w:footnoteRef/>
      </w:r>
      <w:r w:rsidRPr="00513F60">
        <w:rPr>
          <w:sz w:val="18"/>
          <w:szCs w:val="18"/>
        </w:rPr>
        <w:t xml:space="preserve">Priopćenja Državnog zavoda za statistiku RH, Zaposleni prema </w:t>
      </w:r>
      <w:r>
        <w:rPr>
          <w:sz w:val="18"/>
          <w:szCs w:val="18"/>
        </w:rPr>
        <w:t>djelatnostima,</w:t>
      </w:r>
      <w:r w:rsidRPr="00513F60">
        <w:rPr>
          <w:sz w:val="18"/>
          <w:szCs w:val="18"/>
        </w:rPr>
        <w:t xml:space="preserve"> </w:t>
      </w:r>
      <w:r>
        <w:rPr>
          <w:sz w:val="18"/>
          <w:szCs w:val="18"/>
        </w:rPr>
        <w:t>d</w:t>
      </w:r>
      <w:r w:rsidRPr="00513F60">
        <w:rPr>
          <w:sz w:val="18"/>
          <w:szCs w:val="18"/>
        </w:rPr>
        <w:t xml:space="preserve">ostupno na: </w:t>
      </w:r>
      <w:hyperlink r:id="rId90" w:history="1">
        <w:r w:rsidRPr="00513F60">
          <w:rPr>
            <w:rStyle w:val="Hyperlink"/>
            <w:sz w:val="18"/>
            <w:szCs w:val="18"/>
          </w:rPr>
          <w:t>www.dzs.hr/Hrv_Eng/publication/2016/09-02-01_01_2016.htm</w:t>
        </w:r>
      </w:hyperlink>
      <w:r w:rsidRPr="00513F60">
        <w:rPr>
          <w:sz w:val="18"/>
          <w:szCs w:val="18"/>
        </w:rPr>
        <w:t xml:space="preserve"> [19. svibnja 2017.]</w:t>
      </w:r>
    </w:p>
  </w:footnote>
  <w:footnote w:id="79">
    <w:p w14:paraId="5E29E650" w14:textId="77777777" w:rsidR="009C52C4" w:rsidRPr="00513F60" w:rsidRDefault="009C52C4" w:rsidP="00853BC8">
      <w:pPr>
        <w:pStyle w:val="FootnoteText"/>
        <w:rPr>
          <w:sz w:val="18"/>
          <w:szCs w:val="18"/>
        </w:rPr>
      </w:pPr>
      <w:r w:rsidRPr="00513F60">
        <w:rPr>
          <w:rStyle w:val="FootnoteReference"/>
          <w:sz w:val="18"/>
          <w:szCs w:val="18"/>
        </w:rPr>
        <w:footnoteRef/>
      </w:r>
      <w:r w:rsidRPr="00513F60">
        <w:rPr>
          <w:sz w:val="18"/>
          <w:szCs w:val="18"/>
        </w:rPr>
        <w:t>SI 1563, Građevinarstvo u 2015.</w:t>
      </w:r>
      <w:r>
        <w:rPr>
          <w:sz w:val="18"/>
          <w:szCs w:val="18"/>
        </w:rPr>
        <w:t>,</w:t>
      </w:r>
      <w:r w:rsidRPr="00513F60">
        <w:rPr>
          <w:sz w:val="18"/>
          <w:szCs w:val="18"/>
        </w:rPr>
        <w:t xml:space="preserve"> </w:t>
      </w:r>
      <w:r>
        <w:rPr>
          <w:sz w:val="18"/>
          <w:szCs w:val="18"/>
        </w:rPr>
        <w:t>d</w:t>
      </w:r>
      <w:r w:rsidRPr="00513F60">
        <w:rPr>
          <w:sz w:val="18"/>
          <w:szCs w:val="18"/>
        </w:rPr>
        <w:t xml:space="preserve">ostupno na: </w:t>
      </w:r>
      <w:hyperlink r:id="rId91" w:history="1">
        <w:r w:rsidRPr="00513F60">
          <w:rPr>
            <w:rStyle w:val="Hyperlink"/>
            <w:sz w:val="18"/>
            <w:szCs w:val="18"/>
          </w:rPr>
          <w:t>www.dzs.hr/Hrv_Eng/publication/2016/SI-1563.pdf</w:t>
        </w:r>
      </w:hyperlink>
      <w:r w:rsidRPr="00513F60">
        <w:rPr>
          <w:sz w:val="18"/>
          <w:szCs w:val="18"/>
        </w:rPr>
        <w:t xml:space="preserve"> [19. svibnja 2017.]</w:t>
      </w:r>
    </w:p>
  </w:footnote>
  <w:footnote w:id="80">
    <w:p w14:paraId="087560A2" w14:textId="77777777" w:rsidR="009C52C4" w:rsidRPr="00513F60" w:rsidRDefault="009C52C4" w:rsidP="00853BC8">
      <w:pPr>
        <w:pStyle w:val="FootnoteText"/>
        <w:rPr>
          <w:sz w:val="18"/>
          <w:szCs w:val="18"/>
        </w:rPr>
      </w:pPr>
      <w:r w:rsidRPr="00513F60">
        <w:rPr>
          <w:rStyle w:val="FootnoteReference"/>
          <w:sz w:val="18"/>
          <w:szCs w:val="18"/>
        </w:rPr>
        <w:footnoteRef/>
      </w:r>
      <w:r w:rsidRPr="00513F60">
        <w:rPr>
          <w:sz w:val="18"/>
          <w:szCs w:val="18"/>
        </w:rPr>
        <w:t xml:space="preserve">Prema: </w:t>
      </w:r>
      <w:hyperlink r:id="rId92" w:history="1">
        <w:r w:rsidRPr="00513F60">
          <w:rPr>
            <w:rStyle w:val="Hyperlink"/>
            <w:sz w:val="18"/>
            <w:szCs w:val="18"/>
          </w:rPr>
          <w:t>Ahec Šonje, Čeh Časni i Vizek (2014).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672"/>
    <w:multiLevelType w:val="multilevel"/>
    <w:tmpl w:val="1728C5BA"/>
    <w:lvl w:ilvl="0">
      <w:start w:val="4"/>
      <w:numFmt w:val="decimal"/>
      <w:lvlText w:val="%1."/>
      <w:lvlJc w:val="left"/>
      <w:pPr>
        <w:ind w:left="720" w:firstLine="360"/>
      </w:pPr>
      <w:rPr>
        <w:rFonts w:ascii="Times New Roman" w:eastAsia="Arial" w:hAnsi="Times New Roman" w:cs="Times New Roman" w:hint="default"/>
        <w:color w:val="000000"/>
        <w:sz w:val="24"/>
        <w:szCs w:val="24"/>
      </w:rPr>
    </w:lvl>
    <w:lvl w:ilvl="1">
      <w:start w:val="1"/>
      <w:numFmt w:val="decimal"/>
      <w:lvlText w:val="%1.%2"/>
      <w:lvlJc w:val="left"/>
      <w:pPr>
        <w:ind w:left="1080" w:firstLine="360"/>
      </w:pPr>
      <w:rPr>
        <w:rFonts w:ascii="Times New Roman" w:eastAsia="Arial" w:hAnsi="Times New Roman" w:cs="Times New Roman" w:hint="default"/>
      </w:rPr>
    </w:lvl>
    <w:lvl w:ilvl="2">
      <w:start w:val="1"/>
      <w:numFmt w:val="decimal"/>
      <w:lvlText w:val="%1.%2.%3"/>
      <w:lvlJc w:val="left"/>
      <w:pPr>
        <w:ind w:left="1080" w:firstLine="360"/>
      </w:pPr>
      <w:rPr>
        <w:rFonts w:ascii="Times New Roman" w:eastAsia="Arial" w:hAnsi="Times New Roman" w:cs="Times New Roman" w:hint="default"/>
      </w:rPr>
    </w:lvl>
    <w:lvl w:ilvl="3">
      <w:start w:val="1"/>
      <w:numFmt w:val="decimal"/>
      <w:lvlText w:val="%1.%2.%3.%4"/>
      <w:lvlJc w:val="left"/>
      <w:pPr>
        <w:ind w:left="144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800" w:firstLine="360"/>
      </w:pPr>
      <w:rPr>
        <w:rFonts w:ascii="Arial" w:eastAsia="Arial" w:hAnsi="Arial" w:cs="Arial"/>
      </w:rPr>
    </w:lvl>
    <w:lvl w:ilvl="6">
      <w:start w:val="1"/>
      <w:numFmt w:val="decimal"/>
      <w:lvlText w:val="%1.%2.%3.%4.%5.%6.%7"/>
      <w:lvlJc w:val="left"/>
      <w:pPr>
        <w:ind w:left="2160" w:firstLine="360"/>
      </w:pPr>
      <w:rPr>
        <w:rFonts w:ascii="Arial" w:eastAsia="Arial" w:hAnsi="Arial" w:cs="Arial"/>
      </w:rPr>
    </w:lvl>
    <w:lvl w:ilvl="7">
      <w:start w:val="1"/>
      <w:numFmt w:val="decimal"/>
      <w:lvlText w:val="%1.%2.%3.%4.%5.%6.%7.%8"/>
      <w:lvlJc w:val="left"/>
      <w:pPr>
        <w:ind w:left="2160" w:firstLine="360"/>
      </w:pPr>
      <w:rPr>
        <w:rFonts w:ascii="Arial" w:eastAsia="Arial" w:hAnsi="Arial" w:cs="Arial"/>
      </w:rPr>
    </w:lvl>
    <w:lvl w:ilvl="8">
      <w:start w:val="1"/>
      <w:numFmt w:val="decimal"/>
      <w:lvlText w:val="%1.%2.%3.%4.%5.%6.%7.%8.%9"/>
      <w:lvlJc w:val="left"/>
      <w:pPr>
        <w:ind w:left="2520" w:firstLine="360"/>
      </w:pPr>
      <w:rPr>
        <w:rFonts w:ascii="Arial" w:eastAsia="Arial" w:hAnsi="Arial" w:cs="Arial"/>
      </w:rPr>
    </w:lvl>
  </w:abstractNum>
  <w:abstractNum w:abstractNumId="1" w15:restartNumberingAfterBreak="0">
    <w:nsid w:val="01250C5E"/>
    <w:multiLevelType w:val="hybridMultilevel"/>
    <w:tmpl w:val="C84EE87E"/>
    <w:lvl w:ilvl="0" w:tplc="D786E24E">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1D33786"/>
    <w:multiLevelType w:val="hybridMultilevel"/>
    <w:tmpl w:val="7DD841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3C75FE"/>
    <w:multiLevelType w:val="multilevel"/>
    <w:tmpl w:val="E76230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5262123"/>
    <w:multiLevelType w:val="multilevel"/>
    <w:tmpl w:val="FA5428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07B60AFE"/>
    <w:multiLevelType w:val="multilevel"/>
    <w:tmpl w:val="77765BB4"/>
    <w:lvl w:ilvl="0">
      <w:start w:val="1"/>
      <w:numFmt w:val="bullet"/>
      <w:lvlText w:val=""/>
      <w:lvlJc w:val="left"/>
      <w:pPr>
        <w:ind w:left="432" w:firstLine="0"/>
      </w:pPr>
      <w:rPr>
        <w:rFonts w:ascii="Symbol" w:hAnsi="Symbol" w:hint="default"/>
        <w:b w:val="0"/>
        <w:i w:val="0"/>
        <w:smallCaps w:val="0"/>
        <w:strike w:val="0"/>
        <w:u w:val="none"/>
        <w:vertAlign w:val="baseline"/>
      </w:rPr>
    </w:lvl>
    <w:lvl w:ilvl="1">
      <w:start w:val="1"/>
      <w:numFmt w:val="decimal"/>
      <w:lvlText w:val="%1.%2"/>
      <w:lvlJc w:val="left"/>
      <w:pPr>
        <w:ind w:left="576" w:firstLine="0"/>
      </w:pPr>
      <w:rPr>
        <w:rFonts w:ascii="Calibri" w:eastAsia="Arial" w:hAnsi="Calibri" w:cs="Arial" w:hint="default"/>
        <w:b/>
        <w:i w:val="0"/>
        <w:smallCaps w:val="0"/>
        <w:strike w:val="0"/>
        <w:u w:val="none"/>
        <w:vertAlign w:val="baseline"/>
      </w:rPr>
    </w:lvl>
    <w:lvl w:ilvl="2">
      <w:start w:val="1"/>
      <w:numFmt w:val="bullet"/>
      <w:lvlText w:val=""/>
      <w:lvlJc w:val="left"/>
      <w:pPr>
        <w:ind w:left="720" w:firstLine="0"/>
      </w:pPr>
      <w:rPr>
        <w:rFonts w:ascii="Symbol" w:hAnsi="Symbol" w:hint="default"/>
        <w:vertAlign w:val="baseline"/>
      </w:rPr>
    </w:lvl>
    <w:lvl w:ilvl="3">
      <w:start w:val="1"/>
      <w:numFmt w:val="decimal"/>
      <w:lvlText w:val="%1.%2.%3.%4"/>
      <w:lvlJc w:val="left"/>
      <w:pPr>
        <w:ind w:left="864" w:firstLine="0"/>
      </w:pPr>
      <w:rPr>
        <w:rFonts w:ascii="Calibri" w:eastAsia="Arial" w:hAnsi="Calibri" w:cs="Arial" w:hint="default"/>
        <w:sz w:val="22"/>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abstractNum w:abstractNumId="6" w15:restartNumberingAfterBreak="0">
    <w:nsid w:val="083B5E61"/>
    <w:multiLevelType w:val="multilevel"/>
    <w:tmpl w:val="71F8A2A6"/>
    <w:lvl w:ilvl="0">
      <w:start w:val="3"/>
      <w:numFmt w:val="decimal"/>
      <w:lvlText w:val="%1."/>
      <w:lvlJc w:val="left"/>
      <w:pPr>
        <w:ind w:left="720" w:firstLine="360"/>
      </w:pPr>
      <w:rPr>
        <w:rFonts w:ascii="Times New Roman" w:eastAsia="Arial" w:hAnsi="Times New Roman" w:cs="Times New Roman" w:hint="default"/>
      </w:rPr>
    </w:lvl>
    <w:lvl w:ilvl="1">
      <w:start w:val="1"/>
      <w:numFmt w:val="decimal"/>
      <w:lvlText w:val="%1.%2"/>
      <w:lvlJc w:val="left"/>
      <w:pPr>
        <w:ind w:left="1080" w:firstLine="360"/>
      </w:pPr>
      <w:rPr>
        <w:rFonts w:ascii="Times New Roman" w:eastAsia="Arial" w:hAnsi="Times New Roman" w:cs="Times New Roman" w:hint="default"/>
      </w:rPr>
    </w:lvl>
    <w:lvl w:ilvl="2">
      <w:start w:val="1"/>
      <w:numFmt w:val="decimal"/>
      <w:lvlText w:val="%1.%2.%3"/>
      <w:lvlJc w:val="left"/>
      <w:pPr>
        <w:ind w:left="1080" w:firstLine="360"/>
      </w:pPr>
      <w:rPr>
        <w:rFonts w:ascii="Times New Roman" w:eastAsia="Arial" w:hAnsi="Times New Roman" w:cs="Times New Roman" w:hint="default"/>
      </w:rPr>
    </w:lvl>
    <w:lvl w:ilvl="3">
      <w:start w:val="1"/>
      <w:numFmt w:val="decimal"/>
      <w:lvlText w:val="%1.%2.%3.%4"/>
      <w:lvlJc w:val="left"/>
      <w:pPr>
        <w:ind w:left="1440" w:firstLine="360"/>
      </w:pPr>
      <w:rPr>
        <w:rFonts w:ascii="Arial" w:eastAsia="Arial" w:hAnsi="Arial" w:cs="Arial"/>
      </w:rPr>
    </w:lvl>
    <w:lvl w:ilvl="4">
      <w:start w:val="1"/>
      <w:numFmt w:val="decimal"/>
      <w:lvlText w:val="%1.%2.%3.%4.%5"/>
      <w:lvlJc w:val="left"/>
      <w:pPr>
        <w:ind w:left="1800" w:firstLine="360"/>
      </w:pPr>
      <w:rPr>
        <w:rFonts w:ascii="Arial" w:eastAsia="Arial" w:hAnsi="Arial" w:cs="Arial"/>
      </w:rPr>
    </w:lvl>
    <w:lvl w:ilvl="5">
      <w:start w:val="1"/>
      <w:numFmt w:val="decimal"/>
      <w:lvlText w:val="%1.%2.%3.%4.%5.%6"/>
      <w:lvlJc w:val="left"/>
      <w:pPr>
        <w:ind w:left="1800" w:firstLine="360"/>
      </w:pPr>
      <w:rPr>
        <w:rFonts w:ascii="Arial" w:eastAsia="Arial" w:hAnsi="Arial" w:cs="Arial"/>
      </w:rPr>
    </w:lvl>
    <w:lvl w:ilvl="6">
      <w:start w:val="1"/>
      <w:numFmt w:val="decimal"/>
      <w:lvlText w:val="%1.%2.%3.%4.%5.%6.%7"/>
      <w:lvlJc w:val="left"/>
      <w:pPr>
        <w:ind w:left="2160" w:firstLine="360"/>
      </w:pPr>
      <w:rPr>
        <w:rFonts w:ascii="Arial" w:eastAsia="Arial" w:hAnsi="Arial" w:cs="Arial"/>
      </w:rPr>
    </w:lvl>
    <w:lvl w:ilvl="7">
      <w:start w:val="1"/>
      <w:numFmt w:val="decimal"/>
      <w:lvlText w:val="%1.%2.%3.%4.%5.%6.%7.%8"/>
      <w:lvlJc w:val="left"/>
      <w:pPr>
        <w:ind w:left="2520" w:firstLine="360"/>
      </w:pPr>
      <w:rPr>
        <w:rFonts w:ascii="Arial" w:eastAsia="Arial" w:hAnsi="Arial" w:cs="Arial"/>
      </w:rPr>
    </w:lvl>
    <w:lvl w:ilvl="8">
      <w:start w:val="1"/>
      <w:numFmt w:val="decimal"/>
      <w:lvlText w:val="%1.%2.%3.%4.%5.%6.%7.%8.%9"/>
      <w:lvlJc w:val="left"/>
      <w:pPr>
        <w:ind w:left="2520" w:firstLine="360"/>
      </w:pPr>
      <w:rPr>
        <w:rFonts w:ascii="Arial" w:eastAsia="Arial" w:hAnsi="Arial" w:cs="Arial"/>
      </w:rPr>
    </w:lvl>
  </w:abstractNum>
  <w:abstractNum w:abstractNumId="7" w15:restartNumberingAfterBreak="0">
    <w:nsid w:val="08973345"/>
    <w:multiLevelType w:val="multilevel"/>
    <w:tmpl w:val="6CE897A8"/>
    <w:lvl w:ilvl="0">
      <w:start w:val="1"/>
      <w:numFmt w:val="decimal"/>
      <w:lvlText w:val="%1."/>
      <w:lvlJc w:val="left"/>
      <w:pPr>
        <w:ind w:left="720" w:firstLine="360"/>
      </w:pPr>
      <w:rPr>
        <w:rFonts w:ascii="Calibri" w:eastAsia="Arial" w:hAnsi="Calibri" w:cs="Arial" w:hint="default"/>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0B36462B"/>
    <w:multiLevelType w:val="hybridMultilevel"/>
    <w:tmpl w:val="6AC45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5D147B"/>
    <w:multiLevelType w:val="multilevel"/>
    <w:tmpl w:val="7E62D842"/>
    <w:lvl w:ilvl="0">
      <w:start w:val="1"/>
      <w:numFmt w:val="decimal"/>
      <w:lvlText w:val="%1."/>
      <w:lvlJc w:val="left"/>
      <w:pPr>
        <w:ind w:left="720" w:firstLine="360"/>
      </w:pPr>
      <w:rPr>
        <w:rFonts w:ascii="Calibri" w:eastAsia="Arial" w:hAnsi="Calibri" w:cs="Arial" w:hint="default"/>
      </w:rPr>
    </w:lvl>
    <w:lvl w:ilvl="1">
      <w:start w:val="1"/>
      <w:numFmt w:val="decimal"/>
      <w:lvlText w:val="%1.%2"/>
      <w:lvlJc w:val="left"/>
      <w:pPr>
        <w:ind w:left="720" w:firstLine="360"/>
      </w:pPr>
      <w:rPr>
        <w:rFonts w:ascii="Calibri" w:eastAsia="Arial" w:hAnsi="Calibri" w:cs="Arial" w:hint="default"/>
      </w:rPr>
    </w:lvl>
    <w:lvl w:ilvl="2">
      <w:start w:val="1"/>
      <w:numFmt w:val="decimal"/>
      <w:lvlText w:val="%1.%2.%3"/>
      <w:lvlJc w:val="left"/>
      <w:pPr>
        <w:ind w:left="1080" w:firstLine="360"/>
      </w:pPr>
      <w:rPr>
        <w:rFonts w:ascii="Calibri" w:eastAsia="Arial" w:hAnsi="Calibri" w:cs="Arial" w:hint="default"/>
      </w:rPr>
    </w:lvl>
    <w:lvl w:ilvl="3">
      <w:start w:val="1"/>
      <w:numFmt w:val="decimal"/>
      <w:lvlText w:val="%1.%2.%3.%4"/>
      <w:lvlJc w:val="left"/>
      <w:pPr>
        <w:ind w:left="1080" w:firstLine="360"/>
      </w:pPr>
      <w:rPr>
        <w:rFonts w:ascii="Arial" w:eastAsia="Arial" w:hAnsi="Arial" w:cs="Arial" w:hint="default"/>
      </w:rPr>
    </w:lvl>
    <w:lvl w:ilvl="4">
      <w:start w:val="1"/>
      <w:numFmt w:val="decimal"/>
      <w:lvlText w:val="%1.%2.%3.%4.%5"/>
      <w:lvlJc w:val="left"/>
      <w:pPr>
        <w:ind w:left="1440" w:firstLine="360"/>
      </w:pPr>
      <w:rPr>
        <w:rFonts w:ascii="Arial" w:eastAsia="Arial" w:hAnsi="Arial" w:cs="Arial" w:hint="default"/>
      </w:rPr>
    </w:lvl>
    <w:lvl w:ilvl="5">
      <w:start w:val="1"/>
      <w:numFmt w:val="decimal"/>
      <w:lvlText w:val="%1.%2.%3.%4.%5.%6"/>
      <w:lvlJc w:val="left"/>
      <w:pPr>
        <w:ind w:left="1440" w:firstLine="360"/>
      </w:pPr>
      <w:rPr>
        <w:rFonts w:ascii="Arial" w:eastAsia="Arial" w:hAnsi="Arial" w:cs="Arial" w:hint="default"/>
      </w:rPr>
    </w:lvl>
    <w:lvl w:ilvl="6">
      <w:start w:val="1"/>
      <w:numFmt w:val="decimal"/>
      <w:lvlText w:val="%1.%2.%3.%4.%5.%6.%7"/>
      <w:lvlJc w:val="left"/>
      <w:pPr>
        <w:ind w:left="1800" w:firstLine="360"/>
      </w:pPr>
      <w:rPr>
        <w:rFonts w:ascii="Arial" w:eastAsia="Arial" w:hAnsi="Arial" w:cs="Arial" w:hint="default"/>
      </w:rPr>
    </w:lvl>
    <w:lvl w:ilvl="7">
      <w:start w:val="1"/>
      <w:numFmt w:val="decimal"/>
      <w:lvlText w:val="%1.%2.%3.%4.%5.%6.%7.%8"/>
      <w:lvlJc w:val="left"/>
      <w:pPr>
        <w:ind w:left="1800" w:firstLine="360"/>
      </w:pPr>
      <w:rPr>
        <w:rFonts w:ascii="Arial" w:eastAsia="Arial" w:hAnsi="Arial" w:cs="Arial" w:hint="default"/>
      </w:rPr>
    </w:lvl>
    <w:lvl w:ilvl="8">
      <w:start w:val="1"/>
      <w:numFmt w:val="decimal"/>
      <w:lvlText w:val="%1.%2.%3.%4.%5.%6.%7.%8.%9"/>
      <w:lvlJc w:val="left"/>
      <w:pPr>
        <w:ind w:left="2160" w:firstLine="360"/>
      </w:pPr>
      <w:rPr>
        <w:rFonts w:ascii="Arial" w:eastAsia="Arial" w:hAnsi="Arial" w:cs="Arial" w:hint="default"/>
      </w:rPr>
    </w:lvl>
  </w:abstractNum>
  <w:abstractNum w:abstractNumId="10" w15:restartNumberingAfterBreak="0">
    <w:nsid w:val="0D2D3921"/>
    <w:multiLevelType w:val="multilevel"/>
    <w:tmpl w:val="88E41B2A"/>
    <w:lvl w:ilvl="0">
      <w:start w:val="1"/>
      <w:numFmt w:val="decimal"/>
      <w:lvlText w:val="%1."/>
      <w:lvlJc w:val="left"/>
      <w:pPr>
        <w:ind w:left="720" w:firstLine="360"/>
      </w:pPr>
      <w:rPr>
        <w:rFonts w:ascii="Calibri" w:eastAsia="Arial" w:hAnsi="Calibri" w:cs="Arial" w:hint="default"/>
      </w:rPr>
    </w:lvl>
    <w:lvl w:ilvl="1">
      <w:start w:val="1"/>
      <w:numFmt w:val="decimal"/>
      <w:lvlText w:val="%1.%2"/>
      <w:lvlJc w:val="left"/>
      <w:pPr>
        <w:ind w:left="720" w:firstLine="360"/>
      </w:pPr>
      <w:rPr>
        <w:rFonts w:ascii="Calibri" w:eastAsia="Arial" w:hAnsi="Calibri" w:cs="Arial" w:hint="default"/>
      </w:rPr>
    </w:lvl>
    <w:lvl w:ilvl="2">
      <w:start w:val="1"/>
      <w:numFmt w:val="decimal"/>
      <w:lvlText w:val="%1.%2.%3"/>
      <w:lvlJc w:val="left"/>
      <w:pPr>
        <w:ind w:left="1080" w:firstLine="360"/>
      </w:pPr>
      <w:rPr>
        <w:rFonts w:ascii="Calibri" w:eastAsia="Arial" w:hAnsi="Calibri" w:cs="Arial" w:hint="default"/>
      </w:rPr>
    </w:lvl>
    <w:lvl w:ilvl="3">
      <w:start w:val="1"/>
      <w:numFmt w:val="decimal"/>
      <w:lvlText w:val="%1.%2.%3.%4"/>
      <w:lvlJc w:val="left"/>
      <w:pPr>
        <w:ind w:left="1080" w:firstLine="360"/>
      </w:pPr>
      <w:rPr>
        <w:rFonts w:ascii="Arial" w:eastAsia="Arial" w:hAnsi="Arial" w:cs="Arial" w:hint="default"/>
      </w:rPr>
    </w:lvl>
    <w:lvl w:ilvl="4">
      <w:start w:val="1"/>
      <w:numFmt w:val="decimal"/>
      <w:lvlText w:val="%1.%2.%3.%4.%5"/>
      <w:lvlJc w:val="left"/>
      <w:pPr>
        <w:ind w:left="1440" w:firstLine="360"/>
      </w:pPr>
      <w:rPr>
        <w:rFonts w:ascii="Arial" w:eastAsia="Arial" w:hAnsi="Arial" w:cs="Arial" w:hint="default"/>
      </w:rPr>
    </w:lvl>
    <w:lvl w:ilvl="5">
      <w:start w:val="1"/>
      <w:numFmt w:val="decimal"/>
      <w:lvlText w:val="%1.%2.%3.%4.%5.%6"/>
      <w:lvlJc w:val="left"/>
      <w:pPr>
        <w:ind w:left="1440" w:firstLine="360"/>
      </w:pPr>
      <w:rPr>
        <w:rFonts w:ascii="Arial" w:eastAsia="Arial" w:hAnsi="Arial" w:cs="Arial" w:hint="default"/>
      </w:rPr>
    </w:lvl>
    <w:lvl w:ilvl="6">
      <w:start w:val="1"/>
      <w:numFmt w:val="decimal"/>
      <w:lvlText w:val="%1.%2.%3.%4.%5.%6.%7"/>
      <w:lvlJc w:val="left"/>
      <w:pPr>
        <w:ind w:left="1800" w:firstLine="360"/>
      </w:pPr>
      <w:rPr>
        <w:rFonts w:ascii="Arial" w:eastAsia="Arial" w:hAnsi="Arial" w:cs="Arial" w:hint="default"/>
      </w:rPr>
    </w:lvl>
    <w:lvl w:ilvl="7">
      <w:start w:val="1"/>
      <w:numFmt w:val="decimal"/>
      <w:lvlText w:val="%1.%2.%3.%4.%5.%6.%7.%8"/>
      <w:lvlJc w:val="left"/>
      <w:pPr>
        <w:ind w:left="1800" w:firstLine="360"/>
      </w:pPr>
      <w:rPr>
        <w:rFonts w:ascii="Arial" w:eastAsia="Arial" w:hAnsi="Arial" w:cs="Arial" w:hint="default"/>
      </w:rPr>
    </w:lvl>
    <w:lvl w:ilvl="8">
      <w:start w:val="1"/>
      <w:numFmt w:val="decimal"/>
      <w:lvlText w:val="%1.%2.%3.%4.%5.%6.%7.%8.%9"/>
      <w:lvlJc w:val="left"/>
      <w:pPr>
        <w:ind w:left="2160" w:firstLine="360"/>
      </w:pPr>
      <w:rPr>
        <w:rFonts w:ascii="Arial" w:eastAsia="Arial" w:hAnsi="Arial" w:cs="Arial" w:hint="default"/>
      </w:rPr>
    </w:lvl>
  </w:abstractNum>
  <w:abstractNum w:abstractNumId="11" w15:restartNumberingAfterBreak="0">
    <w:nsid w:val="134323E4"/>
    <w:multiLevelType w:val="multilevel"/>
    <w:tmpl w:val="145E9D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13BA01A6"/>
    <w:multiLevelType w:val="multilevel"/>
    <w:tmpl w:val="EF8C51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16811103"/>
    <w:multiLevelType w:val="multilevel"/>
    <w:tmpl w:val="8AB274D2"/>
    <w:lvl w:ilvl="0">
      <w:start w:val="1"/>
      <w:numFmt w:val="bullet"/>
      <w:lvlText w:val="●"/>
      <w:lvlJc w:val="left"/>
      <w:pPr>
        <w:ind w:left="765" w:firstLine="405"/>
      </w:pPr>
      <w:rPr>
        <w:rFonts w:ascii="Arial" w:eastAsia="Arial" w:hAnsi="Arial" w:cs="Arial"/>
      </w:rPr>
    </w:lvl>
    <w:lvl w:ilvl="1">
      <w:start w:val="1"/>
      <w:numFmt w:val="bullet"/>
      <w:lvlText w:val="o"/>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abstractNum w:abstractNumId="14" w15:restartNumberingAfterBreak="0">
    <w:nsid w:val="172178FB"/>
    <w:multiLevelType w:val="multilevel"/>
    <w:tmpl w:val="51442282"/>
    <w:lvl w:ilvl="0">
      <w:start w:val="2"/>
      <w:numFmt w:val="decimal"/>
      <w:lvlText w:val="%1."/>
      <w:lvlJc w:val="left"/>
      <w:pPr>
        <w:ind w:left="720" w:firstLine="360"/>
      </w:pPr>
      <w:rPr>
        <w:rFonts w:ascii="Times New Roman" w:eastAsia="Arial" w:hAnsi="Times New Roman" w:cs="Times New Roman" w:hint="default"/>
      </w:rPr>
    </w:lvl>
    <w:lvl w:ilvl="1">
      <w:start w:val="1"/>
      <w:numFmt w:val="decimal"/>
      <w:lvlText w:val="%1.%2"/>
      <w:lvlJc w:val="left"/>
      <w:pPr>
        <w:ind w:left="1200" w:firstLine="720"/>
      </w:pPr>
      <w:rPr>
        <w:rFonts w:ascii="Arial" w:eastAsia="Arial" w:hAnsi="Arial" w:cs="Arial"/>
      </w:rPr>
    </w:lvl>
    <w:lvl w:ilvl="2">
      <w:start w:val="1"/>
      <w:numFmt w:val="decimal"/>
      <w:lvlText w:val="%1.%2.%3"/>
      <w:lvlJc w:val="left"/>
      <w:pPr>
        <w:ind w:left="1800" w:firstLine="1080"/>
      </w:pPr>
      <w:rPr>
        <w:rFonts w:ascii="Arial" w:eastAsia="Arial" w:hAnsi="Arial" w:cs="Arial"/>
      </w:rPr>
    </w:lvl>
    <w:lvl w:ilvl="3">
      <w:start w:val="1"/>
      <w:numFmt w:val="decimal"/>
      <w:lvlText w:val="%1.%2.%3.%4"/>
      <w:lvlJc w:val="left"/>
      <w:pPr>
        <w:ind w:left="2520" w:firstLine="1440"/>
      </w:pPr>
      <w:rPr>
        <w:rFonts w:ascii="Arial" w:eastAsia="Arial" w:hAnsi="Arial" w:cs="Arial"/>
      </w:rPr>
    </w:lvl>
    <w:lvl w:ilvl="4">
      <w:start w:val="1"/>
      <w:numFmt w:val="decimal"/>
      <w:lvlText w:val="%1.%2.%3.%4.%5"/>
      <w:lvlJc w:val="left"/>
      <w:pPr>
        <w:ind w:left="2880" w:firstLine="1800"/>
      </w:pPr>
      <w:rPr>
        <w:rFonts w:ascii="Arial" w:eastAsia="Arial" w:hAnsi="Arial" w:cs="Arial"/>
      </w:rPr>
    </w:lvl>
    <w:lvl w:ilvl="5">
      <w:start w:val="1"/>
      <w:numFmt w:val="decimal"/>
      <w:lvlText w:val="%1.%2.%3.%4.%5.%6"/>
      <w:lvlJc w:val="left"/>
      <w:pPr>
        <w:ind w:left="3600" w:firstLine="2160"/>
      </w:pPr>
      <w:rPr>
        <w:rFonts w:ascii="Arial" w:eastAsia="Arial" w:hAnsi="Arial" w:cs="Arial"/>
      </w:rPr>
    </w:lvl>
    <w:lvl w:ilvl="6">
      <w:start w:val="1"/>
      <w:numFmt w:val="decimal"/>
      <w:lvlText w:val="%1.%2.%3.%4.%5.%6.%7"/>
      <w:lvlJc w:val="left"/>
      <w:pPr>
        <w:ind w:left="3960" w:firstLine="2520"/>
      </w:pPr>
      <w:rPr>
        <w:rFonts w:ascii="Arial" w:eastAsia="Arial" w:hAnsi="Arial" w:cs="Arial"/>
      </w:rPr>
    </w:lvl>
    <w:lvl w:ilvl="7">
      <w:start w:val="1"/>
      <w:numFmt w:val="decimal"/>
      <w:lvlText w:val="%1.%2.%3.%4.%5.%6.%7.%8"/>
      <w:lvlJc w:val="left"/>
      <w:pPr>
        <w:ind w:left="4680" w:firstLine="2880"/>
      </w:pPr>
      <w:rPr>
        <w:rFonts w:ascii="Arial" w:eastAsia="Arial" w:hAnsi="Arial" w:cs="Arial"/>
      </w:rPr>
    </w:lvl>
    <w:lvl w:ilvl="8">
      <w:start w:val="1"/>
      <w:numFmt w:val="decimal"/>
      <w:lvlText w:val="%1.%2.%3.%4.%5.%6.%7.%8.%9"/>
      <w:lvlJc w:val="left"/>
      <w:pPr>
        <w:ind w:left="5400" w:firstLine="3240"/>
      </w:pPr>
      <w:rPr>
        <w:rFonts w:ascii="Arial" w:eastAsia="Arial" w:hAnsi="Arial" w:cs="Arial"/>
      </w:rPr>
    </w:lvl>
  </w:abstractNum>
  <w:abstractNum w:abstractNumId="15" w15:restartNumberingAfterBreak="0">
    <w:nsid w:val="186F1CF3"/>
    <w:multiLevelType w:val="multilevel"/>
    <w:tmpl w:val="A7A031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1ACA6B84"/>
    <w:multiLevelType w:val="hybridMultilevel"/>
    <w:tmpl w:val="D71017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C58094F"/>
    <w:multiLevelType w:val="multilevel"/>
    <w:tmpl w:val="77765BB4"/>
    <w:lvl w:ilvl="0">
      <w:start w:val="1"/>
      <w:numFmt w:val="bullet"/>
      <w:lvlText w:val=""/>
      <w:lvlJc w:val="left"/>
      <w:pPr>
        <w:ind w:left="432" w:firstLine="0"/>
      </w:pPr>
      <w:rPr>
        <w:rFonts w:ascii="Symbol" w:hAnsi="Symbol" w:hint="default"/>
        <w:b w:val="0"/>
        <w:i w:val="0"/>
        <w:smallCaps w:val="0"/>
        <w:strike w:val="0"/>
        <w:u w:val="none"/>
        <w:vertAlign w:val="baseline"/>
      </w:rPr>
    </w:lvl>
    <w:lvl w:ilvl="1">
      <w:start w:val="1"/>
      <w:numFmt w:val="decimal"/>
      <w:lvlText w:val="%1.%2"/>
      <w:lvlJc w:val="left"/>
      <w:pPr>
        <w:ind w:left="576" w:firstLine="0"/>
      </w:pPr>
      <w:rPr>
        <w:rFonts w:ascii="Calibri" w:eastAsia="Arial" w:hAnsi="Calibri" w:cs="Arial" w:hint="default"/>
        <w:b/>
        <w:i w:val="0"/>
        <w:smallCaps w:val="0"/>
        <w:strike w:val="0"/>
        <w:u w:val="none"/>
        <w:vertAlign w:val="baseline"/>
      </w:rPr>
    </w:lvl>
    <w:lvl w:ilvl="2">
      <w:start w:val="1"/>
      <w:numFmt w:val="bullet"/>
      <w:lvlText w:val=""/>
      <w:lvlJc w:val="left"/>
      <w:pPr>
        <w:ind w:left="720" w:firstLine="0"/>
      </w:pPr>
      <w:rPr>
        <w:rFonts w:ascii="Symbol" w:hAnsi="Symbol" w:hint="default"/>
        <w:vertAlign w:val="baseline"/>
      </w:rPr>
    </w:lvl>
    <w:lvl w:ilvl="3">
      <w:start w:val="1"/>
      <w:numFmt w:val="decimal"/>
      <w:lvlText w:val="%1.%2.%3.%4"/>
      <w:lvlJc w:val="left"/>
      <w:pPr>
        <w:ind w:left="864" w:firstLine="0"/>
      </w:pPr>
      <w:rPr>
        <w:rFonts w:ascii="Calibri" w:eastAsia="Arial" w:hAnsi="Calibri" w:cs="Arial" w:hint="default"/>
        <w:sz w:val="22"/>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abstractNum w:abstractNumId="18" w15:restartNumberingAfterBreak="0">
    <w:nsid w:val="1FEB3909"/>
    <w:multiLevelType w:val="multilevel"/>
    <w:tmpl w:val="83885D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202D0D71"/>
    <w:multiLevelType w:val="multilevel"/>
    <w:tmpl w:val="EBC6B598"/>
    <w:lvl w:ilvl="0">
      <w:start w:val="6"/>
      <w:numFmt w:val="decimal"/>
      <w:lvlText w:val="%1."/>
      <w:lvlJc w:val="left"/>
      <w:pPr>
        <w:ind w:left="720" w:firstLine="360"/>
      </w:pPr>
      <w:rPr>
        <w:rFonts w:ascii="Times New Roman" w:eastAsia="Arial" w:hAnsi="Times New Roman" w:cs="Times New Roman" w:hint="default"/>
      </w:rPr>
    </w:lvl>
    <w:lvl w:ilvl="1">
      <w:start w:val="1"/>
      <w:numFmt w:val="decimal"/>
      <w:lvlText w:val="%1.%2"/>
      <w:lvlJc w:val="left"/>
      <w:pPr>
        <w:ind w:left="720" w:firstLine="360"/>
      </w:pPr>
      <w:rPr>
        <w:rFonts w:ascii="Times New Roman" w:eastAsia="Arial" w:hAnsi="Times New Roman" w:cs="Times New Roman" w:hint="default"/>
      </w:rPr>
    </w:lvl>
    <w:lvl w:ilvl="2">
      <w:start w:val="1"/>
      <w:numFmt w:val="decimal"/>
      <w:lvlText w:val="%1.%2.%3"/>
      <w:lvlJc w:val="left"/>
      <w:pPr>
        <w:ind w:left="1080" w:firstLine="360"/>
      </w:pPr>
      <w:rPr>
        <w:rFonts w:ascii="Calibri" w:eastAsia="Arial" w:hAnsi="Calibri" w:cs="Arial" w:hint="default"/>
      </w:rPr>
    </w:lvl>
    <w:lvl w:ilvl="3">
      <w:start w:val="1"/>
      <w:numFmt w:val="decimal"/>
      <w:lvlText w:val="%1.%2.%3.%4"/>
      <w:lvlJc w:val="left"/>
      <w:pPr>
        <w:ind w:left="108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440" w:firstLine="360"/>
      </w:pPr>
      <w:rPr>
        <w:rFonts w:ascii="Arial" w:eastAsia="Arial" w:hAnsi="Arial" w:cs="Arial"/>
      </w:rPr>
    </w:lvl>
    <w:lvl w:ilvl="6">
      <w:start w:val="1"/>
      <w:numFmt w:val="decimal"/>
      <w:lvlText w:val="%1.%2.%3.%4.%5.%6.%7"/>
      <w:lvlJc w:val="left"/>
      <w:pPr>
        <w:ind w:left="1800" w:firstLine="360"/>
      </w:pPr>
      <w:rPr>
        <w:rFonts w:ascii="Arial" w:eastAsia="Arial" w:hAnsi="Arial" w:cs="Arial"/>
      </w:rPr>
    </w:lvl>
    <w:lvl w:ilvl="7">
      <w:start w:val="1"/>
      <w:numFmt w:val="decimal"/>
      <w:lvlText w:val="%1.%2.%3.%4.%5.%6.%7.%8"/>
      <w:lvlJc w:val="left"/>
      <w:pPr>
        <w:ind w:left="1800" w:firstLine="360"/>
      </w:pPr>
      <w:rPr>
        <w:rFonts w:ascii="Arial" w:eastAsia="Arial" w:hAnsi="Arial" w:cs="Arial"/>
      </w:rPr>
    </w:lvl>
    <w:lvl w:ilvl="8">
      <w:start w:val="1"/>
      <w:numFmt w:val="decimal"/>
      <w:lvlText w:val="%1.%2.%3.%4.%5.%6.%7.%8.%9"/>
      <w:lvlJc w:val="left"/>
      <w:pPr>
        <w:ind w:left="2160" w:firstLine="360"/>
      </w:pPr>
      <w:rPr>
        <w:rFonts w:ascii="Arial" w:eastAsia="Arial" w:hAnsi="Arial" w:cs="Arial"/>
      </w:rPr>
    </w:lvl>
  </w:abstractNum>
  <w:abstractNum w:abstractNumId="20" w15:restartNumberingAfterBreak="0">
    <w:nsid w:val="209E16CC"/>
    <w:multiLevelType w:val="multilevel"/>
    <w:tmpl w:val="665C55D4"/>
    <w:lvl w:ilvl="0">
      <w:start w:val="1"/>
      <w:numFmt w:val="bullet"/>
      <w:lvlText w:val="●"/>
      <w:lvlJc w:val="left"/>
      <w:pPr>
        <w:ind w:left="819" w:firstLine="459"/>
      </w:pPr>
      <w:rPr>
        <w:rFonts w:ascii="Arial" w:eastAsia="Arial" w:hAnsi="Arial" w:cs="Arial"/>
      </w:rPr>
    </w:lvl>
    <w:lvl w:ilvl="1">
      <w:start w:val="1"/>
      <w:numFmt w:val="bullet"/>
      <w:lvlText w:val="o"/>
      <w:lvlJc w:val="left"/>
      <w:pPr>
        <w:ind w:left="1539" w:firstLine="1179"/>
      </w:pPr>
      <w:rPr>
        <w:rFonts w:ascii="Arial" w:eastAsia="Arial" w:hAnsi="Arial" w:cs="Arial"/>
      </w:rPr>
    </w:lvl>
    <w:lvl w:ilvl="2">
      <w:start w:val="1"/>
      <w:numFmt w:val="bullet"/>
      <w:lvlText w:val="▪"/>
      <w:lvlJc w:val="left"/>
      <w:pPr>
        <w:ind w:left="2259" w:firstLine="1899"/>
      </w:pPr>
      <w:rPr>
        <w:rFonts w:ascii="Arial" w:eastAsia="Arial" w:hAnsi="Arial" w:cs="Arial"/>
      </w:rPr>
    </w:lvl>
    <w:lvl w:ilvl="3">
      <w:start w:val="1"/>
      <w:numFmt w:val="bullet"/>
      <w:lvlText w:val="●"/>
      <w:lvlJc w:val="left"/>
      <w:pPr>
        <w:ind w:left="2979" w:firstLine="2619"/>
      </w:pPr>
      <w:rPr>
        <w:rFonts w:ascii="Arial" w:eastAsia="Arial" w:hAnsi="Arial" w:cs="Arial"/>
      </w:rPr>
    </w:lvl>
    <w:lvl w:ilvl="4">
      <w:start w:val="1"/>
      <w:numFmt w:val="bullet"/>
      <w:lvlText w:val="o"/>
      <w:lvlJc w:val="left"/>
      <w:pPr>
        <w:ind w:left="3699" w:firstLine="3339"/>
      </w:pPr>
      <w:rPr>
        <w:rFonts w:ascii="Arial" w:eastAsia="Arial" w:hAnsi="Arial" w:cs="Arial"/>
      </w:rPr>
    </w:lvl>
    <w:lvl w:ilvl="5">
      <w:start w:val="1"/>
      <w:numFmt w:val="bullet"/>
      <w:lvlText w:val="▪"/>
      <w:lvlJc w:val="left"/>
      <w:pPr>
        <w:ind w:left="4419" w:firstLine="4059"/>
      </w:pPr>
      <w:rPr>
        <w:rFonts w:ascii="Arial" w:eastAsia="Arial" w:hAnsi="Arial" w:cs="Arial"/>
      </w:rPr>
    </w:lvl>
    <w:lvl w:ilvl="6">
      <w:start w:val="1"/>
      <w:numFmt w:val="bullet"/>
      <w:lvlText w:val="●"/>
      <w:lvlJc w:val="left"/>
      <w:pPr>
        <w:ind w:left="5139" w:firstLine="4779"/>
      </w:pPr>
      <w:rPr>
        <w:rFonts w:ascii="Arial" w:eastAsia="Arial" w:hAnsi="Arial" w:cs="Arial"/>
      </w:rPr>
    </w:lvl>
    <w:lvl w:ilvl="7">
      <w:start w:val="1"/>
      <w:numFmt w:val="bullet"/>
      <w:lvlText w:val="o"/>
      <w:lvlJc w:val="left"/>
      <w:pPr>
        <w:ind w:left="5859" w:firstLine="5499"/>
      </w:pPr>
      <w:rPr>
        <w:rFonts w:ascii="Arial" w:eastAsia="Arial" w:hAnsi="Arial" w:cs="Arial"/>
      </w:rPr>
    </w:lvl>
    <w:lvl w:ilvl="8">
      <w:start w:val="1"/>
      <w:numFmt w:val="bullet"/>
      <w:lvlText w:val="▪"/>
      <w:lvlJc w:val="left"/>
      <w:pPr>
        <w:ind w:left="6579" w:firstLine="6219"/>
      </w:pPr>
      <w:rPr>
        <w:rFonts w:ascii="Arial" w:eastAsia="Arial" w:hAnsi="Arial" w:cs="Arial"/>
      </w:rPr>
    </w:lvl>
  </w:abstractNum>
  <w:abstractNum w:abstractNumId="21" w15:restartNumberingAfterBreak="0">
    <w:nsid w:val="220A1346"/>
    <w:multiLevelType w:val="multilevel"/>
    <w:tmpl w:val="665C55D4"/>
    <w:lvl w:ilvl="0">
      <w:start w:val="1"/>
      <w:numFmt w:val="bullet"/>
      <w:lvlText w:val="●"/>
      <w:lvlJc w:val="left"/>
      <w:pPr>
        <w:ind w:left="819" w:firstLine="459"/>
      </w:pPr>
      <w:rPr>
        <w:rFonts w:ascii="Arial" w:eastAsia="Arial" w:hAnsi="Arial" w:cs="Arial"/>
      </w:rPr>
    </w:lvl>
    <w:lvl w:ilvl="1">
      <w:start w:val="1"/>
      <w:numFmt w:val="bullet"/>
      <w:lvlText w:val="o"/>
      <w:lvlJc w:val="left"/>
      <w:pPr>
        <w:ind w:left="1539" w:firstLine="1179"/>
      </w:pPr>
      <w:rPr>
        <w:rFonts w:ascii="Arial" w:eastAsia="Arial" w:hAnsi="Arial" w:cs="Arial"/>
      </w:rPr>
    </w:lvl>
    <w:lvl w:ilvl="2">
      <w:start w:val="1"/>
      <w:numFmt w:val="bullet"/>
      <w:lvlText w:val="▪"/>
      <w:lvlJc w:val="left"/>
      <w:pPr>
        <w:ind w:left="2259" w:firstLine="1899"/>
      </w:pPr>
      <w:rPr>
        <w:rFonts w:ascii="Arial" w:eastAsia="Arial" w:hAnsi="Arial" w:cs="Arial"/>
      </w:rPr>
    </w:lvl>
    <w:lvl w:ilvl="3">
      <w:start w:val="1"/>
      <w:numFmt w:val="bullet"/>
      <w:lvlText w:val="●"/>
      <w:lvlJc w:val="left"/>
      <w:pPr>
        <w:ind w:left="2979" w:firstLine="2619"/>
      </w:pPr>
      <w:rPr>
        <w:rFonts w:ascii="Arial" w:eastAsia="Arial" w:hAnsi="Arial" w:cs="Arial"/>
      </w:rPr>
    </w:lvl>
    <w:lvl w:ilvl="4">
      <w:start w:val="1"/>
      <w:numFmt w:val="bullet"/>
      <w:lvlText w:val="o"/>
      <w:lvlJc w:val="left"/>
      <w:pPr>
        <w:ind w:left="3699" w:firstLine="3339"/>
      </w:pPr>
      <w:rPr>
        <w:rFonts w:ascii="Arial" w:eastAsia="Arial" w:hAnsi="Arial" w:cs="Arial"/>
      </w:rPr>
    </w:lvl>
    <w:lvl w:ilvl="5">
      <w:start w:val="1"/>
      <w:numFmt w:val="bullet"/>
      <w:lvlText w:val="▪"/>
      <w:lvlJc w:val="left"/>
      <w:pPr>
        <w:ind w:left="4419" w:firstLine="4059"/>
      </w:pPr>
      <w:rPr>
        <w:rFonts w:ascii="Arial" w:eastAsia="Arial" w:hAnsi="Arial" w:cs="Arial"/>
      </w:rPr>
    </w:lvl>
    <w:lvl w:ilvl="6">
      <w:start w:val="1"/>
      <w:numFmt w:val="bullet"/>
      <w:lvlText w:val="●"/>
      <w:lvlJc w:val="left"/>
      <w:pPr>
        <w:ind w:left="5139" w:firstLine="4779"/>
      </w:pPr>
      <w:rPr>
        <w:rFonts w:ascii="Arial" w:eastAsia="Arial" w:hAnsi="Arial" w:cs="Arial"/>
      </w:rPr>
    </w:lvl>
    <w:lvl w:ilvl="7">
      <w:start w:val="1"/>
      <w:numFmt w:val="bullet"/>
      <w:lvlText w:val="o"/>
      <w:lvlJc w:val="left"/>
      <w:pPr>
        <w:ind w:left="5859" w:firstLine="5499"/>
      </w:pPr>
      <w:rPr>
        <w:rFonts w:ascii="Arial" w:eastAsia="Arial" w:hAnsi="Arial" w:cs="Arial"/>
      </w:rPr>
    </w:lvl>
    <w:lvl w:ilvl="8">
      <w:start w:val="1"/>
      <w:numFmt w:val="bullet"/>
      <w:lvlText w:val="▪"/>
      <w:lvlJc w:val="left"/>
      <w:pPr>
        <w:ind w:left="6579" w:firstLine="6219"/>
      </w:pPr>
      <w:rPr>
        <w:rFonts w:ascii="Arial" w:eastAsia="Arial" w:hAnsi="Arial" w:cs="Arial"/>
      </w:rPr>
    </w:lvl>
  </w:abstractNum>
  <w:abstractNum w:abstractNumId="22" w15:restartNumberingAfterBreak="0">
    <w:nsid w:val="25A439E5"/>
    <w:multiLevelType w:val="multilevel"/>
    <w:tmpl w:val="9CDE8F3A"/>
    <w:lvl w:ilvl="0">
      <w:start w:val="6"/>
      <w:numFmt w:val="decimal"/>
      <w:lvlText w:val="%1."/>
      <w:lvlJc w:val="left"/>
      <w:pPr>
        <w:ind w:left="720" w:firstLine="360"/>
      </w:pPr>
      <w:rPr>
        <w:rFonts w:ascii="Calibri" w:eastAsia="Arial" w:hAnsi="Calibri" w:cs="Arial" w:hint="default"/>
      </w:rPr>
    </w:lvl>
    <w:lvl w:ilvl="1">
      <w:start w:val="1"/>
      <w:numFmt w:val="decimal"/>
      <w:lvlText w:val="%1.%2"/>
      <w:lvlJc w:val="left"/>
      <w:pPr>
        <w:ind w:left="720" w:firstLine="360"/>
      </w:pPr>
      <w:rPr>
        <w:rFonts w:ascii="Calibri" w:eastAsia="Arial" w:hAnsi="Calibri" w:cs="Arial" w:hint="default"/>
      </w:rPr>
    </w:lvl>
    <w:lvl w:ilvl="2">
      <w:start w:val="1"/>
      <w:numFmt w:val="decimal"/>
      <w:lvlText w:val="%1.%2.%3"/>
      <w:lvlJc w:val="left"/>
      <w:pPr>
        <w:ind w:left="1080" w:firstLine="360"/>
      </w:pPr>
      <w:rPr>
        <w:rFonts w:ascii="Calibri" w:eastAsia="Arial" w:hAnsi="Calibri" w:cs="Arial" w:hint="default"/>
      </w:rPr>
    </w:lvl>
    <w:lvl w:ilvl="3">
      <w:start w:val="1"/>
      <w:numFmt w:val="decimal"/>
      <w:lvlText w:val="%1.%2.%3.%4"/>
      <w:lvlJc w:val="left"/>
      <w:pPr>
        <w:ind w:left="108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440" w:firstLine="360"/>
      </w:pPr>
      <w:rPr>
        <w:rFonts w:ascii="Arial" w:eastAsia="Arial" w:hAnsi="Arial" w:cs="Arial"/>
      </w:rPr>
    </w:lvl>
    <w:lvl w:ilvl="6">
      <w:start w:val="1"/>
      <w:numFmt w:val="decimal"/>
      <w:lvlText w:val="%1.%2.%3.%4.%5.%6.%7"/>
      <w:lvlJc w:val="left"/>
      <w:pPr>
        <w:ind w:left="1800" w:firstLine="360"/>
      </w:pPr>
      <w:rPr>
        <w:rFonts w:ascii="Arial" w:eastAsia="Arial" w:hAnsi="Arial" w:cs="Arial"/>
      </w:rPr>
    </w:lvl>
    <w:lvl w:ilvl="7">
      <w:start w:val="1"/>
      <w:numFmt w:val="decimal"/>
      <w:lvlText w:val="%1.%2.%3.%4.%5.%6.%7.%8"/>
      <w:lvlJc w:val="left"/>
      <w:pPr>
        <w:ind w:left="1800" w:firstLine="360"/>
      </w:pPr>
      <w:rPr>
        <w:rFonts w:ascii="Arial" w:eastAsia="Arial" w:hAnsi="Arial" w:cs="Arial"/>
      </w:rPr>
    </w:lvl>
    <w:lvl w:ilvl="8">
      <w:start w:val="1"/>
      <w:numFmt w:val="decimal"/>
      <w:lvlText w:val="%1.%2.%3.%4.%5.%6.%7.%8.%9"/>
      <w:lvlJc w:val="left"/>
      <w:pPr>
        <w:ind w:left="2160" w:firstLine="360"/>
      </w:pPr>
      <w:rPr>
        <w:rFonts w:ascii="Arial" w:eastAsia="Arial" w:hAnsi="Arial" w:cs="Arial"/>
      </w:rPr>
    </w:lvl>
  </w:abstractNum>
  <w:abstractNum w:abstractNumId="23" w15:restartNumberingAfterBreak="0">
    <w:nsid w:val="2A096929"/>
    <w:multiLevelType w:val="hybridMultilevel"/>
    <w:tmpl w:val="4C62D5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A507496"/>
    <w:multiLevelType w:val="hybridMultilevel"/>
    <w:tmpl w:val="04EC1B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892EB4"/>
    <w:multiLevelType w:val="multilevel"/>
    <w:tmpl w:val="BE1E276A"/>
    <w:lvl w:ilvl="0">
      <w:start w:val="1"/>
      <w:numFmt w:val="bullet"/>
      <w:lvlText w:val="●"/>
      <w:lvlJc w:val="left"/>
      <w:pPr>
        <w:ind w:left="1077" w:firstLine="717"/>
      </w:pPr>
      <w:rPr>
        <w:rFonts w:ascii="Arial" w:eastAsia="Arial" w:hAnsi="Arial" w:cs="Arial"/>
      </w:rPr>
    </w:lvl>
    <w:lvl w:ilvl="1">
      <w:start w:val="1"/>
      <w:numFmt w:val="bullet"/>
      <w:lvlText w:val="o"/>
      <w:lvlJc w:val="left"/>
      <w:pPr>
        <w:ind w:left="1797" w:firstLine="1437"/>
      </w:pPr>
      <w:rPr>
        <w:rFonts w:ascii="Arial" w:eastAsia="Arial" w:hAnsi="Arial" w:cs="Arial"/>
      </w:rPr>
    </w:lvl>
    <w:lvl w:ilvl="2">
      <w:start w:val="1"/>
      <w:numFmt w:val="bullet"/>
      <w:lvlText w:val="▪"/>
      <w:lvlJc w:val="left"/>
      <w:pPr>
        <w:ind w:left="2517" w:firstLine="2157"/>
      </w:pPr>
      <w:rPr>
        <w:rFonts w:ascii="Arial" w:eastAsia="Arial" w:hAnsi="Arial" w:cs="Arial"/>
      </w:rPr>
    </w:lvl>
    <w:lvl w:ilvl="3">
      <w:start w:val="1"/>
      <w:numFmt w:val="bullet"/>
      <w:lvlText w:val="●"/>
      <w:lvlJc w:val="left"/>
      <w:pPr>
        <w:ind w:left="3237" w:firstLine="2877"/>
      </w:pPr>
      <w:rPr>
        <w:rFonts w:ascii="Arial" w:eastAsia="Arial" w:hAnsi="Arial" w:cs="Arial"/>
      </w:rPr>
    </w:lvl>
    <w:lvl w:ilvl="4">
      <w:start w:val="1"/>
      <w:numFmt w:val="bullet"/>
      <w:lvlText w:val="o"/>
      <w:lvlJc w:val="left"/>
      <w:pPr>
        <w:ind w:left="3957" w:firstLine="3597"/>
      </w:pPr>
      <w:rPr>
        <w:rFonts w:ascii="Arial" w:eastAsia="Arial" w:hAnsi="Arial" w:cs="Arial"/>
      </w:rPr>
    </w:lvl>
    <w:lvl w:ilvl="5">
      <w:start w:val="1"/>
      <w:numFmt w:val="bullet"/>
      <w:lvlText w:val="▪"/>
      <w:lvlJc w:val="left"/>
      <w:pPr>
        <w:ind w:left="4677" w:firstLine="4317"/>
      </w:pPr>
      <w:rPr>
        <w:rFonts w:ascii="Arial" w:eastAsia="Arial" w:hAnsi="Arial" w:cs="Arial"/>
      </w:rPr>
    </w:lvl>
    <w:lvl w:ilvl="6">
      <w:start w:val="1"/>
      <w:numFmt w:val="bullet"/>
      <w:lvlText w:val="●"/>
      <w:lvlJc w:val="left"/>
      <w:pPr>
        <w:ind w:left="5397" w:firstLine="5037"/>
      </w:pPr>
      <w:rPr>
        <w:rFonts w:ascii="Arial" w:eastAsia="Arial" w:hAnsi="Arial" w:cs="Arial"/>
      </w:rPr>
    </w:lvl>
    <w:lvl w:ilvl="7">
      <w:start w:val="1"/>
      <w:numFmt w:val="bullet"/>
      <w:lvlText w:val="o"/>
      <w:lvlJc w:val="left"/>
      <w:pPr>
        <w:ind w:left="6117" w:firstLine="5757"/>
      </w:pPr>
      <w:rPr>
        <w:rFonts w:ascii="Arial" w:eastAsia="Arial" w:hAnsi="Arial" w:cs="Arial"/>
      </w:rPr>
    </w:lvl>
    <w:lvl w:ilvl="8">
      <w:start w:val="1"/>
      <w:numFmt w:val="bullet"/>
      <w:lvlText w:val="▪"/>
      <w:lvlJc w:val="left"/>
      <w:pPr>
        <w:ind w:left="6837" w:firstLine="6477"/>
      </w:pPr>
      <w:rPr>
        <w:rFonts w:ascii="Arial" w:eastAsia="Arial" w:hAnsi="Arial" w:cs="Arial"/>
      </w:rPr>
    </w:lvl>
  </w:abstractNum>
  <w:abstractNum w:abstractNumId="26" w15:restartNumberingAfterBreak="0">
    <w:nsid w:val="2D9A1AAC"/>
    <w:multiLevelType w:val="multilevel"/>
    <w:tmpl w:val="C0DAF1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E040212"/>
    <w:multiLevelType w:val="hybridMultilevel"/>
    <w:tmpl w:val="518249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120580F"/>
    <w:multiLevelType w:val="multilevel"/>
    <w:tmpl w:val="1A8486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324C50F7"/>
    <w:multiLevelType w:val="multilevel"/>
    <w:tmpl w:val="8F260E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35176168"/>
    <w:multiLevelType w:val="multilevel"/>
    <w:tmpl w:val="4D2CD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3639779B"/>
    <w:multiLevelType w:val="multilevel"/>
    <w:tmpl w:val="6EFA09D6"/>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2" w15:restartNumberingAfterBreak="0">
    <w:nsid w:val="3C8C00F1"/>
    <w:multiLevelType w:val="hybridMultilevel"/>
    <w:tmpl w:val="86061D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EFB61A5"/>
    <w:multiLevelType w:val="hybridMultilevel"/>
    <w:tmpl w:val="8BE666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F8F1D9E"/>
    <w:multiLevelType w:val="hybridMultilevel"/>
    <w:tmpl w:val="E968C2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0BA70AD"/>
    <w:multiLevelType w:val="hybridMultilevel"/>
    <w:tmpl w:val="4D10AD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0D90DE1"/>
    <w:multiLevelType w:val="multilevel"/>
    <w:tmpl w:val="26584254"/>
    <w:lvl w:ilvl="0">
      <w:start w:val="1"/>
      <w:numFmt w:val="bullet"/>
      <w:lvlText w:val="●"/>
      <w:lvlJc w:val="left"/>
      <w:pPr>
        <w:ind w:left="765" w:firstLine="405"/>
      </w:pPr>
      <w:rPr>
        <w:rFonts w:ascii="Arial" w:eastAsia="Arial" w:hAnsi="Arial" w:cs="Arial"/>
      </w:rPr>
    </w:lvl>
    <w:lvl w:ilvl="1">
      <w:start w:val="1"/>
      <w:numFmt w:val="bullet"/>
      <w:lvlText w:val="o"/>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abstractNum w:abstractNumId="37" w15:restartNumberingAfterBreak="0">
    <w:nsid w:val="44485162"/>
    <w:multiLevelType w:val="hybridMultilevel"/>
    <w:tmpl w:val="565694C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4DA2F0A"/>
    <w:multiLevelType w:val="multilevel"/>
    <w:tmpl w:val="AC6891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4D237B8F"/>
    <w:multiLevelType w:val="multilevel"/>
    <w:tmpl w:val="C0DAF1C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2FB26A8"/>
    <w:multiLevelType w:val="hybridMultilevel"/>
    <w:tmpl w:val="025E48F0"/>
    <w:lvl w:ilvl="0" w:tplc="041A0001">
      <w:start w:val="1"/>
      <w:numFmt w:val="bullet"/>
      <w:lvlText w:val=""/>
      <w:lvlJc w:val="left"/>
      <w:pPr>
        <w:ind w:left="720" w:hanging="360"/>
      </w:pPr>
      <w:rPr>
        <w:rFonts w:ascii="Symbol" w:hAnsi="Symbol" w:hint="default"/>
      </w:rPr>
    </w:lvl>
    <w:lvl w:ilvl="1" w:tplc="9BEE9D16">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30D5137"/>
    <w:multiLevelType w:val="hybridMultilevel"/>
    <w:tmpl w:val="C52CC7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3830049"/>
    <w:multiLevelType w:val="hybridMultilevel"/>
    <w:tmpl w:val="AD2CEF1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53A10CB5"/>
    <w:multiLevelType w:val="multilevel"/>
    <w:tmpl w:val="3872F9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4" w15:restartNumberingAfterBreak="0">
    <w:nsid w:val="552657D9"/>
    <w:multiLevelType w:val="hybridMultilevel"/>
    <w:tmpl w:val="C2F014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6BE7DB6"/>
    <w:multiLevelType w:val="multilevel"/>
    <w:tmpl w:val="03345D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57FC176D"/>
    <w:multiLevelType w:val="multilevel"/>
    <w:tmpl w:val="B598FFFC"/>
    <w:lvl w:ilvl="0">
      <w:start w:val="1"/>
      <w:numFmt w:val="bullet"/>
      <w:lvlText w:val="●"/>
      <w:lvlJc w:val="left"/>
      <w:pPr>
        <w:ind w:left="765" w:firstLine="405"/>
      </w:pPr>
      <w:rPr>
        <w:rFonts w:ascii="Arial" w:eastAsia="Arial" w:hAnsi="Arial" w:cs="Arial"/>
      </w:rPr>
    </w:lvl>
    <w:lvl w:ilvl="1">
      <w:start w:val="1"/>
      <w:numFmt w:val="bullet"/>
      <w:lvlText w:val="o"/>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abstractNum w:abstractNumId="47" w15:restartNumberingAfterBreak="0">
    <w:nsid w:val="5E885730"/>
    <w:multiLevelType w:val="hybridMultilevel"/>
    <w:tmpl w:val="42DC78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F520CBB"/>
    <w:multiLevelType w:val="multilevel"/>
    <w:tmpl w:val="1FD6CD96"/>
    <w:lvl w:ilvl="0">
      <w:start w:val="1"/>
      <w:numFmt w:val="decimal"/>
      <w:lvlText w:val="%1."/>
      <w:lvlJc w:val="left"/>
      <w:pPr>
        <w:ind w:left="720" w:firstLine="360"/>
      </w:pPr>
      <w:rPr>
        <w:rFonts w:ascii="Times New Roman" w:eastAsia="Arial" w:hAnsi="Times New Roman" w:cs="Times New Roman" w:hint="default"/>
      </w:rPr>
    </w:lvl>
    <w:lvl w:ilvl="1">
      <w:start w:val="1"/>
      <w:numFmt w:val="decimal"/>
      <w:lvlText w:val="%1.%2"/>
      <w:lvlJc w:val="left"/>
      <w:pPr>
        <w:ind w:left="1200" w:firstLine="720"/>
      </w:pPr>
      <w:rPr>
        <w:rFonts w:ascii="Arial" w:eastAsia="Arial" w:hAnsi="Arial" w:cs="Arial"/>
      </w:rPr>
    </w:lvl>
    <w:lvl w:ilvl="2">
      <w:start w:val="1"/>
      <w:numFmt w:val="decimal"/>
      <w:lvlText w:val="%1.%2.%3"/>
      <w:lvlJc w:val="left"/>
      <w:pPr>
        <w:ind w:left="1800" w:firstLine="1080"/>
      </w:pPr>
      <w:rPr>
        <w:rFonts w:ascii="Arial" w:eastAsia="Arial" w:hAnsi="Arial" w:cs="Arial"/>
      </w:rPr>
    </w:lvl>
    <w:lvl w:ilvl="3">
      <w:start w:val="1"/>
      <w:numFmt w:val="decimal"/>
      <w:lvlText w:val="%1.%2.%3.%4"/>
      <w:lvlJc w:val="left"/>
      <w:pPr>
        <w:ind w:left="2520" w:firstLine="1440"/>
      </w:pPr>
      <w:rPr>
        <w:rFonts w:ascii="Arial" w:eastAsia="Arial" w:hAnsi="Arial" w:cs="Arial"/>
      </w:rPr>
    </w:lvl>
    <w:lvl w:ilvl="4">
      <w:start w:val="1"/>
      <w:numFmt w:val="decimal"/>
      <w:lvlText w:val="%1.%2.%3.%4.%5"/>
      <w:lvlJc w:val="left"/>
      <w:pPr>
        <w:ind w:left="2880" w:firstLine="1800"/>
      </w:pPr>
      <w:rPr>
        <w:rFonts w:ascii="Arial" w:eastAsia="Arial" w:hAnsi="Arial" w:cs="Arial"/>
      </w:rPr>
    </w:lvl>
    <w:lvl w:ilvl="5">
      <w:start w:val="1"/>
      <w:numFmt w:val="decimal"/>
      <w:lvlText w:val="%1.%2.%3.%4.%5.%6"/>
      <w:lvlJc w:val="left"/>
      <w:pPr>
        <w:ind w:left="3600" w:firstLine="2160"/>
      </w:pPr>
      <w:rPr>
        <w:rFonts w:ascii="Arial" w:eastAsia="Arial" w:hAnsi="Arial" w:cs="Arial"/>
      </w:rPr>
    </w:lvl>
    <w:lvl w:ilvl="6">
      <w:start w:val="1"/>
      <w:numFmt w:val="decimal"/>
      <w:lvlText w:val="%1.%2.%3.%4.%5.%6.%7"/>
      <w:lvlJc w:val="left"/>
      <w:pPr>
        <w:ind w:left="3960" w:firstLine="2520"/>
      </w:pPr>
      <w:rPr>
        <w:rFonts w:ascii="Arial" w:eastAsia="Arial" w:hAnsi="Arial" w:cs="Arial"/>
      </w:rPr>
    </w:lvl>
    <w:lvl w:ilvl="7">
      <w:start w:val="1"/>
      <w:numFmt w:val="decimal"/>
      <w:lvlText w:val="%1.%2.%3.%4.%5.%6.%7.%8"/>
      <w:lvlJc w:val="left"/>
      <w:pPr>
        <w:ind w:left="4680" w:firstLine="2880"/>
      </w:pPr>
      <w:rPr>
        <w:rFonts w:ascii="Arial" w:eastAsia="Arial" w:hAnsi="Arial" w:cs="Arial"/>
      </w:rPr>
    </w:lvl>
    <w:lvl w:ilvl="8">
      <w:start w:val="1"/>
      <w:numFmt w:val="decimal"/>
      <w:lvlText w:val="%1.%2.%3.%4.%5.%6.%7.%8.%9"/>
      <w:lvlJc w:val="left"/>
      <w:pPr>
        <w:ind w:left="5400" w:firstLine="3240"/>
      </w:pPr>
      <w:rPr>
        <w:rFonts w:ascii="Arial" w:eastAsia="Arial" w:hAnsi="Arial" w:cs="Arial"/>
      </w:rPr>
    </w:lvl>
  </w:abstractNum>
  <w:abstractNum w:abstractNumId="49" w15:restartNumberingAfterBreak="0">
    <w:nsid w:val="61013B5C"/>
    <w:multiLevelType w:val="multilevel"/>
    <w:tmpl w:val="6CE897A8"/>
    <w:lvl w:ilvl="0">
      <w:start w:val="1"/>
      <w:numFmt w:val="decimal"/>
      <w:lvlText w:val="%1."/>
      <w:lvlJc w:val="left"/>
      <w:pPr>
        <w:ind w:left="720" w:firstLine="360"/>
      </w:pPr>
      <w:rPr>
        <w:rFonts w:ascii="Calibri" w:eastAsia="Arial" w:hAnsi="Calibri" w:cs="Arial" w:hint="default"/>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0" w15:restartNumberingAfterBreak="0">
    <w:nsid w:val="634D436C"/>
    <w:multiLevelType w:val="multilevel"/>
    <w:tmpl w:val="B06A42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15:restartNumberingAfterBreak="0">
    <w:nsid w:val="636F724E"/>
    <w:multiLevelType w:val="hybridMultilevel"/>
    <w:tmpl w:val="B30C6D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54E2433"/>
    <w:multiLevelType w:val="multilevel"/>
    <w:tmpl w:val="6CE897A8"/>
    <w:lvl w:ilvl="0">
      <w:start w:val="1"/>
      <w:numFmt w:val="decimal"/>
      <w:lvlText w:val="%1."/>
      <w:lvlJc w:val="left"/>
      <w:pPr>
        <w:ind w:left="720" w:firstLine="360"/>
      </w:pPr>
      <w:rPr>
        <w:rFonts w:ascii="Calibri" w:eastAsia="Arial" w:hAnsi="Calibri" w:cs="Arial" w:hint="default"/>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3" w15:restartNumberingAfterBreak="0">
    <w:nsid w:val="68C06BCF"/>
    <w:multiLevelType w:val="multilevel"/>
    <w:tmpl w:val="672C7E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0">
    <w:nsid w:val="68F07B7A"/>
    <w:multiLevelType w:val="multilevel"/>
    <w:tmpl w:val="3A0C3212"/>
    <w:lvl w:ilvl="0">
      <w:start w:val="1"/>
      <w:numFmt w:val="decimal"/>
      <w:lvlText w:val="%1."/>
      <w:lvlJc w:val="left"/>
      <w:pPr>
        <w:ind w:left="720" w:firstLine="360"/>
      </w:pPr>
      <w:rPr>
        <w:rFonts w:ascii="Calibri" w:eastAsia="Arial" w:hAnsi="Calibri" w:cs="Arial" w:hint="default"/>
      </w:rPr>
    </w:lvl>
    <w:lvl w:ilvl="1">
      <w:start w:val="1"/>
      <w:numFmt w:val="decimal"/>
      <w:lvlText w:val="%2."/>
      <w:lvlJc w:val="left"/>
      <w:pPr>
        <w:ind w:left="14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5" w15:restartNumberingAfterBreak="0">
    <w:nsid w:val="6AFC1E30"/>
    <w:multiLevelType w:val="multilevel"/>
    <w:tmpl w:val="BD726BE8"/>
    <w:lvl w:ilvl="0">
      <w:start w:val="1"/>
      <w:numFmt w:val="bullet"/>
      <w:lvlText w:val=""/>
      <w:lvlJc w:val="left"/>
      <w:pPr>
        <w:ind w:left="432" w:firstLine="0"/>
      </w:pPr>
      <w:rPr>
        <w:rFonts w:ascii="Symbol" w:hAnsi="Symbol" w:hint="default"/>
        <w:b w:val="0"/>
        <w:i w:val="0"/>
        <w:smallCaps w:val="0"/>
        <w:strike w:val="0"/>
        <w:u w:val="none"/>
        <w:vertAlign w:val="baseline"/>
      </w:rPr>
    </w:lvl>
    <w:lvl w:ilvl="1">
      <w:start w:val="1"/>
      <w:numFmt w:val="decimal"/>
      <w:lvlText w:val="%1.%2"/>
      <w:lvlJc w:val="left"/>
      <w:pPr>
        <w:ind w:left="576" w:firstLine="0"/>
      </w:pPr>
      <w:rPr>
        <w:rFonts w:ascii="Calibri" w:eastAsia="Arial" w:hAnsi="Calibri" w:cs="Arial" w:hint="default"/>
        <w:b/>
        <w:i w:val="0"/>
        <w:smallCaps w:val="0"/>
        <w:strike w:val="0"/>
        <w:u w:val="none"/>
        <w:vertAlign w:val="baseline"/>
      </w:rPr>
    </w:lvl>
    <w:lvl w:ilvl="2">
      <w:start w:val="1"/>
      <w:numFmt w:val="decimal"/>
      <w:lvlText w:val="%1.%2.%3"/>
      <w:lvlJc w:val="left"/>
      <w:pPr>
        <w:ind w:left="720" w:firstLine="0"/>
      </w:pPr>
      <w:rPr>
        <w:rFonts w:ascii="Calibri" w:eastAsia="Arial" w:hAnsi="Calibri" w:cs="Arial" w:hint="default"/>
        <w:vertAlign w:val="baseline"/>
      </w:rPr>
    </w:lvl>
    <w:lvl w:ilvl="3">
      <w:start w:val="1"/>
      <w:numFmt w:val="decimal"/>
      <w:lvlText w:val="%1.%2.%3.%4"/>
      <w:lvlJc w:val="left"/>
      <w:pPr>
        <w:ind w:left="864" w:firstLine="0"/>
      </w:pPr>
      <w:rPr>
        <w:rFonts w:ascii="Calibri" w:eastAsia="Arial" w:hAnsi="Calibri" w:cs="Arial" w:hint="default"/>
        <w:sz w:val="22"/>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abstractNum w:abstractNumId="56" w15:restartNumberingAfterBreak="0">
    <w:nsid w:val="6B060F80"/>
    <w:multiLevelType w:val="multilevel"/>
    <w:tmpl w:val="BD726BE8"/>
    <w:lvl w:ilvl="0">
      <w:start w:val="1"/>
      <w:numFmt w:val="bullet"/>
      <w:lvlText w:val=""/>
      <w:lvlJc w:val="left"/>
      <w:pPr>
        <w:ind w:left="432" w:firstLine="0"/>
      </w:pPr>
      <w:rPr>
        <w:rFonts w:ascii="Symbol" w:hAnsi="Symbol" w:hint="default"/>
        <w:b w:val="0"/>
        <w:i w:val="0"/>
        <w:smallCaps w:val="0"/>
        <w:strike w:val="0"/>
        <w:u w:val="none"/>
        <w:vertAlign w:val="baseline"/>
      </w:rPr>
    </w:lvl>
    <w:lvl w:ilvl="1">
      <w:start w:val="1"/>
      <w:numFmt w:val="decimal"/>
      <w:lvlText w:val="%1.%2"/>
      <w:lvlJc w:val="left"/>
      <w:pPr>
        <w:ind w:left="576" w:firstLine="0"/>
      </w:pPr>
      <w:rPr>
        <w:rFonts w:ascii="Calibri" w:eastAsia="Arial" w:hAnsi="Calibri" w:cs="Arial" w:hint="default"/>
        <w:b/>
        <w:i w:val="0"/>
        <w:smallCaps w:val="0"/>
        <w:strike w:val="0"/>
        <w:u w:val="none"/>
        <w:vertAlign w:val="baseline"/>
      </w:rPr>
    </w:lvl>
    <w:lvl w:ilvl="2">
      <w:start w:val="1"/>
      <w:numFmt w:val="decimal"/>
      <w:lvlText w:val="%1.%2.%3"/>
      <w:lvlJc w:val="left"/>
      <w:pPr>
        <w:ind w:left="720" w:firstLine="0"/>
      </w:pPr>
      <w:rPr>
        <w:rFonts w:ascii="Calibri" w:eastAsia="Arial" w:hAnsi="Calibri" w:cs="Arial" w:hint="default"/>
        <w:vertAlign w:val="baseline"/>
      </w:rPr>
    </w:lvl>
    <w:lvl w:ilvl="3">
      <w:start w:val="1"/>
      <w:numFmt w:val="decimal"/>
      <w:lvlText w:val="%1.%2.%3.%4"/>
      <w:lvlJc w:val="left"/>
      <w:pPr>
        <w:ind w:left="864" w:firstLine="0"/>
      </w:pPr>
      <w:rPr>
        <w:rFonts w:ascii="Calibri" w:eastAsia="Arial" w:hAnsi="Calibri" w:cs="Arial" w:hint="default"/>
        <w:sz w:val="22"/>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abstractNum w:abstractNumId="57" w15:restartNumberingAfterBreak="0">
    <w:nsid w:val="6D4B3112"/>
    <w:multiLevelType w:val="multilevel"/>
    <w:tmpl w:val="471456F8"/>
    <w:lvl w:ilvl="0">
      <w:start w:val="4"/>
      <w:numFmt w:val="decimal"/>
      <w:lvlText w:val="%1."/>
      <w:lvlJc w:val="left"/>
      <w:pPr>
        <w:ind w:left="720" w:firstLine="360"/>
      </w:pPr>
      <w:rPr>
        <w:rFonts w:ascii="Calibri" w:eastAsia="Arial" w:hAnsi="Calibri" w:cs="Arial" w:hint="default"/>
        <w:color w:val="000000"/>
        <w:sz w:val="28"/>
      </w:rPr>
    </w:lvl>
    <w:lvl w:ilvl="1">
      <w:start w:val="1"/>
      <w:numFmt w:val="decimal"/>
      <w:lvlText w:val="%1.%2"/>
      <w:lvlJc w:val="left"/>
      <w:pPr>
        <w:ind w:left="1080" w:firstLine="360"/>
      </w:pPr>
      <w:rPr>
        <w:rFonts w:ascii="Calibri" w:eastAsia="Arial" w:hAnsi="Calibri" w:cs="Arial" w:hint="default"/>
      </w:rPr>
    </w:lvl>
    <w:lvl w:ilvl="2">
      <w:start w:val="1"/>
      <w:numFmt w:val="decimal"/>
      <w:lvlText w:val="%1.%2.%3"/>
      <w:lvlJc w:val="left"/>
      <w:pPr>
        <w:ind w:left="1080" w:firstLine="360"/>
      </w:pPr>
      <w:rPr>
        <w:rFonts w:ascii="Calibri" w:eastAsia="Arial" w:hAnsi="Calibri" w:cs="Arial" w:hint="default"/>
      </w:rPr>
    </w:lvl>
    <w:lvl w:ilvl="3">
      <w:start w:val="1"/>
      <w:numFmt w:val="decimal"/>
      <w:lvlText w:val="%1.%2.%3.%4"/>
      <w:lvlJc w:val="left"/>
      <w:pPr>
        <w:ind w:left="144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800" w:firstLine="360"/>
      </w:pPr>
      <w:rPr>
        <w:rFonts w:ascii="Arial" w:eastAsia="Arial" w:hAnsi="Arial" w:cs="Arial"/>
      </w:rPr>
    </w:lvl>
    <w:lvl w:ilvl="6">
      <w:start w:val="1"/>
      <w:numFmt w:val="decimal"/>
      <w:lvlText w:val="%1.%2.%3.%4.%5.%6.%7"/>
      <w:lvlJc w:val="left"/>
      <w:pPr>
        <w:ind w:left="2160" w:firstLine="360"/>
      </w:pPr>
      <w:rPr>
        <w:rFonts w:ascii="Arial" w:eastAsia="Arial" w:hAnsi="Arial" w:cs="Arial"/>
      </w:rPr>
    </w:lvl>
    <w:lvl w:ilvl="7">
      <w:start w:val="1"/>
      <w:numFmt w:val="decimal"/>
      <w:lvlText w:val="%1.%2.%3.%4.%5.%6.%7.%8"/>
      <w:lvlJc w:val="left"/>
      <w:pPr>
        <w:ind w:left="2160" w:firstLine="360"/>
      </w:pPr>
      <w:rPr>
        <w:rFonts w:ascii="Arial" w:eastAsia="Arial" w:hAnsi="Arial" w:cs="Arial"/>
      </w:rPr>
    </w:lvl>
    <w:lvl w:ilvl="8">
      <w:start w:val="1"/>
      <w:numFmt w:val="decimal"/>
      <w:lvlText w:val="%1.%2.%3.%4.%5.%6.%7.%8.%9"/>
      <w:lvlJc w:val="left"/>
      <w:pPr>
        <w:ind w:left="2520" w:firstLine="360"/>
      </w:pPr>
      <w:rPr>
        <w:rFonts w:ascii="Arial" w:eastAsia="Arial" w:hAnsi="Arial" w:cs="Arial"/>
      </w:rPr>
    </w:lvl>
  </w:abstractNum>
  <w:abstractNum w:abstractNumId="58" w15:restartNumberingAfterBreak="0">
    <w:nsid w:val="6F880B4A"/>
    <w:multiLevelType w:val="multilevel"/>
    <w:tmpl w:val="77765BB4"/>
    <w:lvl w:ilvl="0">
      <w:start w:val="1"/>
      <w:numFmt w:val="bullet"/>
      <w:lvlText w:val=""/>
      <w:lvlJc w:val="left"/>
      <w:pPr>
        <w:ind w:left="432" w:firstLine="0"/>
      </w:pPr>
      <w:rPr>
        <w:rFonts w:ascii="Symbol" w:hAnsi="Symbol" w:hint="default"/>
        <w:b w:val="0"/>
        <w:i w:val="0"/>
        <w:smallCaps w:val="0"/>
        <w:strike w:val="0"/>
        <w:u w:val="none"/>
        <w:vertAlign w:val="baseline"/>
      </w:rPr>
    </w:lvl>
    <w:lvl w:ilvl="1">
      <w:start w:val="1"/>
      <w:numFmt w:val="decimal"/>
      <w:lvlText w:val="%1.%2"/>
      <w:lvlJc w:val="left"/>
      <w:pPr>
        <w:ind w:left="576" w:firstLine="0"/>
      </w:pPr>
      <w:rPr>
        <w:rFonts w:ascii="Calibri" w:eastAsia="Arial" w:hAnsi="Calibri" w:cs="Arial" w:hint="default"/>
        <w:b/>
        <w:i w:val="0"/>
        <w:smallCaps w:val="0"/>
        <w:strike w:val="0"/>
        <w:u w:val="none"/>
        <w:vertAlign w:val="baseline"/>
      </w:rPr>
    </w:lvl>
    <w:lvl w:ilvl="2">
      <w:start w:val="1"/>
      <w:numFmt w:val="bullet"/>
      <w:lvlText w:val=""/>
      <w:lvlJc w:val="left"/>
      <w:pPr>
        <w:ind w:left="720" w:firstLine="0"/>
      </w:pPr>
      <w:rPr>
        <w:rFonts w:ascii="Symbol" w:hAnsi="Symbol" w:hint="default"/>
        <w:vertAlign w:val="baseline"/>
      </w:rPr>
    </w:lvl>
    <w:lvl w:ilvl="3">
      <w:start w:val="1"/>
      <w:numFmt w:val="decimal"/>
      <w:lvlText w:val="%1.%2.%3.%4"/>
      <w:lvlJc w:val="left"/>
      <w:pPr>
        <w:ind w:left="864" w:firstLine="0"/>
      </w:pPr>
      <w:rPr>
        <w:rFonts w:ascii="Calibri" w:eastAsia="Arial" w:hAnsi="Calibri" w:cs="Arial" w:hint="default"/>
        <w:sz w:val="22"/>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abstractNum w:abstractNumId="59" w15:restartNumberingAfterBreak="0">
    <w:nsid w:val="701E6F40"/>
    <w:multiLevelType w:val="hybridMultilevel"/>
    <w:tmpl w:val="6E029D22"/>
    <w:lvl w:ilvl="0" w:tplc="D0E22EBE">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70332BE4"/>
    <w:multiLevelType w:val="hybridMultilevel"/>
    <w:tmpl w:val="F2600F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3E90A65"/>
    <w:multiLevelType w:val="multilevel"/>
    <w:tmpl w:val="F490FA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2" w15:restartNumberingAfterBreak="0">
    <w:nsid w:val="77610F17"/>
    <w:multiLevelType w:val="multilevel"/>
    <w:tmpl w:val="2DB62E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3" w15:restartNumberingAfterBreak="0">
    <w:nsid w:val="7BDA374A"/>
    <w:multiLevelType w:val="hybridMultilevel"/>
    <w:tmpl w:val="8C226A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C121851"/>
    <w:multiLevelType w:val="hybridMultilevel"/>
    <w:tmpl w:val="3202F1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CFB0E92"/>
    <w:multiLevelType w:val="hybridMultilevel"/>
    <w:tmpl w:val="1F22E024"/>
    <w:lvl w:ilvl="0" w:tplc="E9CE3312">
      <w:numFmt w:val="bullet"/>
      <w:lvlText w:val="•"/>
      <w:lvlJc w:val="left"/>
      <w:pPr>
        <w:ind w:left="720" w:hanging="72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EEA377A"/>
    <w:multiLevelType w:val="multilevel"/>
    <w:tmpl w:val="193C82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15:restartNumberingAfterBreak="0">
    <w:nsid w:val="7F1C3575"/>
    <w:multiLevelType w:val="multilevel"/>
    <w:tmpl w:val="5CBA9D90"/>
    <w:lvl w:ilvl="0">
      <w:start w:val="2"/>
      <w:numFmt w:val="decimal"/>
      <w:lvlText w:val="%1."/>
      <w:lvlJc w:val="left"/>
      <w:pPr>
        <w:ind w:left="432" w:firstLine="0"/>
      </w:pPr>
      <w:rPr>
        <w:rFonts w:ascii="Arial" w:eastAsia="Arial" w:hAnsi="Arial" w:cs="Arial"/>
        <w:b w:val="0"/>
        <w:i w:val="0"/>
        <w:smallCaps w:val="0"/>
        <w:strike w:val="0"/>
        <w:u w:val="none"/>
        <w:vertAlign w:val="baseline"/>
      </w:rPr>
    </w:lvl>
    <w:lvl w:ilvl="1">
      <w:start w:val="1"/>
      <w:numFmt w:val="decimal"/>
      <w:lvlText w:val="%1.%2"/>
      <w:lvlJc w:val="left"/>
      <w:pPr>
        <w:ind w:left="576" w:firstLine="0"/>
      </w:pPr>
      <w:rPr>
        <w:rFonts w:ascii="Times New Roman" w:eastAsia="Arial" w:hAnsi="Times New Roman" w:cs="Times New Roman" w:hint="default"/>
        <w:b/>
        <w:i w:val="0"/>
        <w:smallCaps w:val="0"/>
        <w:strike w:val="0"/>
        <w:u w:val="none"/>
        <w:vertAlign w:val="baseline"/>
      </w:rPr>
    </w:lvl>
    <w:lvl w:ilvl="2">
      <w:start w:val="1"/>
      <w:numFmt w:val="decimal"/>
      <w:lvlText w:val="%1.%2.%3"/>
      <w:lvlJc w:val="left"/>
      <w:pPr>
        <w:ind w:left="720" w:firstLine="0"/>
      </w:pPr>
      <w:rPr>
        <w:rFonts w:ascii="Times New Roman" w:eastAsia="Arial" w:hAnsi="Times New Roman" w:cs="Times New Roman" w:hint="default"/>
        <w:vertAlign w:val="baseline"/>
      </w:rPr>
    </w:lvl>
    <w:lvl w:ilvl="3">
      <w:start w:val="1"/>
      <w:numFmt w:val="decimal"/>
      <w:lvlText w:val="%1.%2.%3.%4"/>
      <w:lvlJc w:val="left"/>
      <w:pPr>
        <w:ind w:left="864" w:firstLine="0"/>
      </w:pPr>
      <w:rPr>
        <w:rFonts w:ascii="Times New Roman" w:eastAsia="Arial" w:hAnsi="Times New Roman" w:cs="Times New Roman" w:hint="default"/>
        <w:sz w:val="24"/>
        <w:szCs w:val="22"/>
      </w:rPr>
    </w:lvl>
    <w:lvl w:ilvl="4">
      <w:start w:val="1"/>
      <w:numFmt w:val="decimal"/>
      <w:lvlText w:val="%1.%2.%3.%4.%5"/>
      <w:lvlJc w:val="left"/>
      <w:pPr>
        <w:ind w:left="1008" w:firstLine="0"/>
      </w:pPr>
      <w:rPr>
        <w:rFonts w:ascii="Arial" w:eastAsia="Arial" w:hAnsi="Arial" w:cs="Arial"/>
      </w:rPr>
    </w:lvl>
    <w:lvl w:ilvl="5">
      <w:start w:val="1"/>
      <w:numFmt w:val="decimal"/>
      <w:lvlText w:val="%1.%2.%3.%4.%5.%6"/>
      <w:lvlJc w:val="left"/>
      <w:pPr>
        <w:ind w:left="1152" w:firstLine="0"/>
      </w:pPr>
      <w:rPr>
        <w:rFonts w:ascii="Arial" w:eastAsia="Arial" w:hAnsi="Arial" w:cs="Arial"/>
      </w:rPr>
    </w:lvl>
    <w:lvl w:ilvl="6">
      <w:start w:val="1"/>
      <w:numFmt w:val="decimal"/>
      <w:lvlText w:val="%1.%2.%3.%4.%5.%6.%7"/>
      <w:lvlJc w:val="left"/>
      <w:pPr>
        <w:ind w:left="1296"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584" w:firstLine="0"/>
      </w:pPr>
      <w:rPr>
        <w:rFonts w:ascii="Arial" w:eastAsia="Arial" w:hAnsi="Arial" w:cs="Arial"/>
      </w:rPr>
    </w:lvl>
  </w:abstractNum>
  <w:num w:numId="1">
    <w:abstractNumId w:val="0"/>
  </w:num>
  <w:num w:numId="2">
    <w:abstractNumId w:val="49"/>
  </w:num>
  <w:num w:numId="3">
    <w:abstractNumId w:val="4"/>
  </w:num>
  <w:num w:numId="4">
    <w:abstractNumId w:val="31"/>
  </w:num>
  <w:num w:numId="5">
    <w:abstractNumId w:val="50"/>
  </w:num>
  <w:num w:numId="6">
    <w:abstractNumId w:val="61"/>
  </w:num>
  <w:num w:numId="7">
    <w:abstractNumId w:val="38"/>
  </w:num>
  <w:num w:numId="8">
    <w:abstractNumId w:val="36"/>
  </w:num>
  <w:num w:numId="9">
    <w:abstractNumId w:val="13"/>
  </w:num>
  <w:num w:numId="10">
    <w:abstractNumId w:val="66"/>
  </w:num>
  <w:num w:numId="11">
    <w:abstractNumId w:val="53"/>
  </w:num>
  <w:num w:numId="12">
    <w:abstractNumId w:val="11"/>
  </w:num>
  <w:num w:numId="13">
    <w:abstractNumId w:val="67"/>
  </w:num>
  <w:num w:numId="14">
    <w:abstractNumId w:val="25"/>
  </w:num>
  <w:num w:numId="15">
    <w:abstractNumId w:val="46"/>
  </w:num>
  <w:num w:numId="16">
    <w:abstractNumId w:val="28"/>
  </w:num>
  <w:num w:numId="17">
    <w:abstractNumId w:val="54"/>
  </w:num>
  <w:num w:numId="18">
    <w:abstractNumId w:val="30"/>
  </w:num>
  <w:num w:numId="19">
    <w:abstractNumId w:val="10"/>
  </w:num>
  <w:num w:numId="20">
    <w:abstractNumId w:val="6"/>
  </w:num>
  <w:num w:numId="21">
    <w:abstractNumId w:val="43"/>
  </w:num>
  <w:num w:numId="22">
    <w:abstractNumId w:val="12"/>
  </w:num>
  <w:num w:numId="23">
    <w:abstractNumId w:val="45"/>
  </w:num>
  <w:num w:numId="24">
    <w:abstractNumId w:val="62"/>
  </w:num>
  <w:num w:numId="25">
    <w:abstractNumId w:val="14"/>
  </w:num>
  <w:num w:numId="26">
    <w:abstractNumId w:val="18"/>
  </w:num>
  <w:num w:numId="27">
    <w:abstractNumId w:val="48"/>
  </w:num>
  <w:num w:numId="28">
    <w:abstractNumId w:val="29"/>
  </w:num>
  <w:num w:numId="29">
    <w:abstractNumId w:val="15"/>
  </w:num>
  <w:num w:numId="30">
    <w:abstractNumId w:val="3"/>
  </w:num>
  <w:num w:numId="31">
    <w:abstractNumId w:val="20"/>
  </w:num>
  <w:num w:numId="32">
    <w:abstractNumId w:val="33"/>
  </w:num>
  <w:num w:numId="33">
    <w:abstractNumId w:val="56"/>
  </w:num>
  <w:num w:numId="34">
    <w:abstractNumId w:val="55"/>
  </w:num>
  <w:num w:numId="35">
    <w:abstractNumId w:val="17"/>
  </w:num>
  <w:num w:numId="36">
    <w:abstractNumId w:val="5"/>
  </w:num>
  <w:num w:numId="37">
    <w:abstractNumId w:val="59"/>
  </w:num>
  <w:num w:numId="38">
    <w:abstractNumId w:val="65"/>
  </w:num>
  <w:num w:numId="39">
    <w:abstractNumId w:val="19"/>
  </w:num>
  <w:num w:numId="40">
    <w:abstractNumId w:val="35"/>
  </w:num>
  <w:num w:numId="41">
    <w:abstractNumId w:val="60"/>
  </w:num>
  <w:num w:numId="42">
    <w:abstractNumId w:val="41"/>
  </w:num>
  <w:num w:numId="43">
    <w:abstractNumId w:val="24"/>
  </w:num>
  <w:num w:numId="44">
    <w:abstractNumId w:val="40"/>
  </w:num>
  <w:num w:numId="45">
    <w:abstractNumId w:val="34"/>
  </w:num>
  <w:num w:numId="46">
    <w:abstractNumId w:val="47"/>
  </w:num>
  <w:num w:numId="47">
    <w:abstractNumId w:val="63"/>
  </w:num>
  <w:num w:numId="48">
    <w:abstractNumId w:val="58"/>
  </w:num>
  <w:num w:numId="49">
    <w:abstractNumId w:val="2"/>
  </w:num>
  <w:num w:numId="50">
    <w:abstractNumId w:val="23"/>
  </w:num>
  <w:num w:numId="51">
    <w:abstractNumId w:val="37"/>
  </w:num>
  <w:num w:numId="52">
    <w:abstractNumId w:val="26"/>
  </w:num>
  <w:num w:numId="53">
    <w:abstractNumId w:val="39"/>
  </w:num>
  <w:num w:numId="54">
    <w:abstractNumId w:val="21"/>
  </w:num>
  <w:num w:numId="55">
    <w:abstractNumId w:val="27"/>
  </w:num>
  <w:num w:numId="56">
    <w:abstractNumId w:val="32"/>
  </w:num>
  <w:num w:numId="57">
    <w:abstractNumId w:val="22"/>
  </w:num>
  <w:num w:numId="58">
    <w:abstractNumId w:val="9"/>
  </w:num>
  <w:num w:numId="59">
    <w:abstractNumId w:val="42"/>
  </w:num>
  <w:num w:numId="60">
    <w:abstractNumId w:val="1"/>
  </w:num>
  <w:num w:numId="61">
    <w:abstractNumId w:val="8"/>
  </w:num>
  <w:num w:numId="62">
    <w:abstractNumId w:val="7"/>
  </w:num>
  <w:num w:numId="63">
    <w:abstractNumId w:val="52"/>
  </w:num>
  <w:num w:numId="64">
    <w:abstractNumId w:val="44"/>
  </w:num>
  <w:num w:numId="65">
    <w:abstractNumId w:val="51"/>
  </w:num>
  <w:num w:numId="66">
    <w:abstractNumId w:val="16"/>
  </w:num>
  <w:num w:numId="67">
    <w:abstractNumId w:val="64"/>
  </w:num>
  <w:num w:numId="68">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B4"/>
    <w:rsid w:val="00004C76"/>
    <w:rsid w:val="0001373B"/>
    <w:rsid w:val="00015017"/>
    <w:rsid w:val="000155EB"/>
    <w:rsid w:val="00017F27"/>
    <w:rsid w:val="00021A43"/>
    <w:rsid w:val="00022C10"/>
    <w:rsid w:val="000245F0"/>
    <w:rsid w:val="000250BF"/>
    <w:rsid w:val="00026C1C"/>
    <w:rsid w:val="0003127D"/>
    <w:rsid w:val="00034F1A"/>
    <w:rsid w:val="00037B03"/>
    <w:rsid w:val="00037D15"/>
    <w:rsid w:val="000406F7"/>
    <w:rsid w:val="00040788"/>
    <w:rsid w:val="0004706C"/>
    <w:rsid w:val="00052E3D"/>
    <w:rsid w:val="00056D1D"/>
    <w:rsid w:val="0006006F"/>
    <w:rsid w:val="0006779F"/>
    <w:rsid w:val="00076941"/>
    <w:rsid w:val="00082D2D"/>
    <w:rsid w:val="00083FFC"/>
    <w:rsid w:val="00085F53"/>
    <w:rsid w:val="00086EAD"/>
    <w:rsid w:val="0008767C"/>
    <w:rsid w:val="0009397B"/>
    <w:rsid w:val="00093FD7"/>
    <w:rsid w:val="00095DA7"/>
    <w:rsid w:val="0009781F"/>
    <w:rsid w:val="000A665D"/>
    <w:rsid w:val="000B0637"/>
    <w:rsid w:val="000B2943"/>
    <w:rsid w:val="000B5376"/>
    <w:rsid w:val="000B57C1"/>
    <w:rsid w:val="000C5A09"/>
    <w:rsid w:val="000C7D89"/>
    <w:rsid w:val="000D40F9"/>
    <w:rsid w:val="000E164E"/>
    <w:rsid w:val="000E19A1"/>
    <w:rsid w:val="000E54A9"/>
    <w:rsid w:val="000F1F29"/>
    <w:rsid w:val="000F47F3"/>
    <w:rsid w:val="00102B4C"/>
    <w:rsid w:val="0011603D"/>
    <w:rsid w:val="00120455"/>
    <w:rsid w:val="00120934"/>
    <w:rsid w:val="00124387"/>
    <w:rsid w:val="00136CAF"/>
    <w:rsid w:val="001375AE"/>
    <w:rsid w:val="0014608A"/>
    <w:rsid w:val="00152859"/>
    <w:rsid w:val="0015308B"/>
    <w:rsid w:val="00155905"/>
    <w:rsid w:val="001626B6"/>
    <w:rsid w:val="001655D6"/>
    <w:rsid w:val="00170CB0"/>
    <w:rsid w:val="00173EFE"/>
    <w:rsid w:val="001804D4"/>
    <w:rsid w:val="001860CF"/>
    <w:rsid w:val="00190A38"/>
    <w:rsid w:val="00193D4B"/>
    <w:rsid w:val="00195ACE"/>
    <w:rsid w:val="00197F9F"/>
    <w:rsid w:val="001A28E0"/>
    <w:rsid w:val="001A4989"/>
    <w:rsid w:val="001B17C8"/>
    <w:rsid w:val="001B21FC"/>
    <w:rsid w:val="001B7896"/>
    <w:rsid w:val="001C04C1"/>
    <w:rsid w:val="001C68DE"/>
    <w:rsid w:val="001C7FC4"/>
    <w:rsid w:val="001D0F82"/>
    <w:rsid w:val="001D275B"/>
    <w:rsid w:val="001D44C7"/>
    <w:rsid w:val="001E716F"/>
    <w:rsid w:val="001F0508"/>
    <w:rsid w:val="001F15D3"/>
    <w:rsid w:val="001F32E1"/>
    <w:rsid w:val="001F6C82"/>
    <w:rsid w:val="0020354B"/>
    <w:rsid w:val="0020507A"/>
    <w:rsid w:val="002071B7"/>
    <w:rsid w:val="00211275"/>
    <w:rsid w:val="00211D83"/>
    <w:rsid w:val="00212AF8"/>
    <w:rsid w:val="00214978"/>
    <w:rsid w:val="00222AC1"/>
    <w:rsid w:val="00227458"/>
    <w:rsid w:val="00232B85"/>
    <w:rsid w:val="002375AB"/>
    <w:rsid w:val="0024247B"/>
    <w:rsid w:val="0024575F"/>
    <w:rsid w:val="00246713"/>
    <w:rsid w:val="002617B0"/>
    <w:rsid w:val="00262204"/>
    <w:rsid w:val="00271B26"/>
    <w:rsid w:val="0028011B"/>
    <w:rsid w:val="002A6425"/>
    <w:rsid w:val="002B6F95"/>
    <w:rsid w:val="002C4B9C"/>
    <w:rsid w:val="002E39C6"/>
    <w:rsid w:val="002E4BC3"/>
    <w:rsid w:val="002E7BC1"/>
    <w:rsid w:val="002F1F4B"/>
    <w:rsid w:val="002F28FE"/>
    <w:rsid w:val="002F4C8D"/>
    <w:rsid w:val="00300191"/>
    <w:rsid w:val="0030104F"/>
    <w:rsid w:val="003122D0"/>
    <w:rsid w:val="00312F3E"/>
    <w:rsid w:val="00322BC9"/>
    <w:rsid w:val="00326230"/>
    <w:rsid w:val="00327450"/>
    <w:rsid w:val="0033286B"/>
    <w:rsid w:val="00333C4E"/>
    <w:rsid w:val="00333CF2"/>
    <w:rsid w:val="00335CF1"/>
    <w:rsid w:val="003424AA"/>
    <w:rsid w:val="00354C5E"/>
    <w:rsid w:val="00362816"/>
    <w:rsid w:val="00362848"/>
    <w:rsid w:val="00363C46"/>
    <w:rsid w:val="003657D6"/>
    <w:rsid w:val="0037119E"/>
    <w:rsid w:val="003740FA"/>
    <w:rsid w:val="00374DAF"/>
    <w:rsid w:val="00374DBF"/>
    <w:rsid w:val="00380BFF"/>
    <w:rsid w:val="00384358"/>
    <w:rsid w:val="0038674A"/>
    <w:rsid w:val="00390CB8"/>
    <w:rsid w:val="003968E3"/>
    <w:rsid w:val="003B2FD9"/>
    <w:rsid w:val="003B3E7F"/>
    <w:rsid w:val="003B3EEF"/>
    <w:rsid w:val="003B43FE"/>
    <w:rsid w:val="003B571D"/>
    <w:rsid w:val="003C28EC"/>
    <w:rsid w:val="003D0360"/>
    <w:rsid w:val="003D222B"/>
    <w:rsid w:val="003D5BCC"/>
    <w:rsid w:val="003E2084"/>
    <w:rsid w:val="003E2B3F"/>
    <w:rsid w:val="003E69E2"/>
    <w:rsid w:val="003F0DFF"/>
    <w:rsid w:val="003F2D8A"/>
    <w:rsid w:val="004023EE"/>
    <w:rsid w:val="0040391F"/>
    <w:rsid w:val="0040799C"/>
    <w:rsid w:val="00415EC9"/>
    <w:rsid w:val="00424A7B"/>
    <w:rsid w:val="00430141"/>
    <w:rsid w:val="00442E3D"/>
    <w:rsid w:val="004444E9"/>
    <w:rsid w:val="0045020E"/>
    <w:rsid w:val="0045070E"/>
    <w:rsid w:val="004522D2"/>
    <w:rsid w:val="00453889"/>
    <w:rsid w:val="00462D0B"/>
    <w:rsid w:val="004870E2"/>
    <w:rsid w:val="00491443"/>
    <w:rsid w:val="00493EB6"/>
    <w:rsid w:val="00494596"/>
    <w:rsid w:val="004A0DD6"/>
    <w:rsid w:val="004B7398"/>
    <w:rsid w:val="004C3066"/>
    <w:rsid w:val="004D010B"/>
    <w:rsid w:val="004D435D"/>
    <w:rsid w:val="004D4EE2"/>
    <w:rsid w:val="004E1420"/>
    <w:rsid w:val="004E6D7F"/>
    <w:rsid w:val="004E6F69"/>
    <w:rsid w:val="004F09F1"/>
    <w:rsid w:val="004F1B3A"/>
    <w:rsid w:val="004F27E6"/>
    <w:rsid w:val="004F68D2"/>
    <w:rsid w:val="004F7490"/>
    <w:rsid w:val="00507794"/>
    <w:rsid w:val="00507A31"/>
    <w:rsid w:val="00510623"/>
    <w:rsid w:val="00511FA7"/>
    <w:rsid w:val="00513EED"/>
    <w:rsid w:val="00514426"/>
    <w:rsid w:val="00516F42"/>
    <w:rsid w:val="00517C27"/>
    <w:rsid w:val="005200E7"/>
    <w:rsid w:val="00523E84"/>
    <w:rsid w:val="00526E01"/>
    <w:rsid w:val="0053083C"/>
    <w:rsid w:val="00531E07"/>
    <w:rsid w:val="0053653F"/>
    <w:rsid w:val="00536637"/>
    <w:rsid w:val="00536BB2"/>
    <w:rsid w:val="00536C5E"/>
    <w:rsid w:val="00544366"/>
    <w:rsid w:val="00552EF7"/>
    <w:rsid w:val="00555A05"/>
    <w:rsid w:val="005606D5"/>
    <w:rsid w:val="00565E8D"/>
    <w:rsid w:val="00566EDD"/>
    <w:rsid w:val="00570AB5"/>
    <w:rsid w:val="00573AA2"/>
    <w:rsid w:val="00574A75"/>
    <w:rsid w:val="00577A71"/>
    <w:rsid w:val="0058206D"/>
    <w:rsid w:val="00582658"/>
    <w:rsid w:val="0058673D"/>
    <w:rsid w:val="0059030D"/>
    <w:rsid w:val="005931B0"/>
    <w:rsid w:val="005A05CF"/>
    <w:rsid w:val="005A16ED"/>
    <w:rsid w:val="005C2103"/>
    <w:rsid w:val="005C279B"/>
    <w:rsid w:val="005C327D"/>
    <w:rsid w:val="005D06A0"/>
    <w:rsid w:val="005D1CC7"/>
    <w:rsid w:val="005D4352"/>
    <w:rsid w:val="005D5E36"/>
    <w:rsid w:val="005E0E3A"/>
    <w:rsid w:val="005E19A2"/>
    <w:rsid w:val="005E4D8D"/>
    <w:rsid w:val="005F11DC"/>
    <w:rsid w:val="005F6D02"/>
    <w:rsid w:val="005F7A63"/>
    <w:rsid w:val="00600FC3"/>
    <w:rsid w:val="00601FA8"/>
    <w:rsid w:val="006107D4"/>
    <w:rsid w:val="00611565"/>
    <w:rsid w:val="006130B9"/>
    <w:rsid w:val="006239EA"/>
    <w:rsid w:val="00634901"/>
    <w:rsid w:val="00634A01"/>
    <w:rsid w:val="00637B46"/>
    <w:rsid w:val="006428A3"/>
    <w:rsid w:val="00655213"/>
    <w:rsid w:val="0066004C"/>
    <w:rsid w:val="006623C4"/>
    <w:rsid w:val="00671C3C"/>
    <w:rsid w:val="006730B1"/>
    <w:rsid w:val="00673D05"/>
    <w:rsid w:val="00681CE8"/>
    <w:rsid w:val="006831DB"/>
    <w:rsid w:val="00684AC5"/>
    <w:rsid w:val="00685349"/>
    <w:rsid w:val="00694655"/>
    <w:rsid w:val="00694BF0"/>
    <w:rsid w:val="006A04B5"/>
    <w:rsid w:val="006A4BDB"/>
    <w:rsid w:val="006B1E94"/>
    <w:rsid w:val="006C2B0C"/>
    <w:rsid w:val="006D6DFA"/>
    <w:rsid w:val="006D79EF"/>
    <w:rsid w:val="006E0C15"/>
    <w:rsid w:val="006E3ED8"/>
    <w:rsid w:val="006E4424"/>
    <w:rsid w:val="006E597E"/>
    <w:rsid w:val="006E5EED"/>
    <w:rsid w:val="006F7625"/>
    <w:rsid w:val="007014C8"/>
    <w:rsid w:val="00702C7F"/>
    <w:rsid w:val="00707D84"/>
    <w:rsid w:val="00707FA9"/>
    <w:rsid w:val="00710637"/>
    <w:rsid w:val="00711793"/>
    <w:rsid w:val="00716530"/>
    <w:rsid w:val="00716C3C"/>
    <w:rsid w:val="00730B07"/>
    <w:rsid w:val="00744BB2"/>
    <w:rsid w:val="00747D26"/>
    <w:rsid w:val="0075366D"/>
    <w:rsid w:val="007563B4"/>
    <w:rsid w:val="0076376D"/>
    <w:rsid w:val="00763D2E"/>
    <w:rsid w:val="007669C7"/>
    <w:rsid w:val="00767D72"/>
    <w:rsid w:val="00772F68"/>
    <w:rsid w:val="00782BB5"/>
    <w:rsid w:val="00783433"/>
    <w:rsid w:val="00784B28"/>
    <w:rsid w:val="0079042B"/>
    <w:rsid w:val="007938F5"/>
    <w:rsid w:val="0079421E"/>
    <w:rsid w:val="007A2F18"/>
    <w:rsid w:val="007A46BE"/>
    <w:rsid w:val="007A507B"/>
    <w:rsid w:val="007A64C9"/>
    <w:rsid w:val="007B2634"/>
    <w:rsid w:val="007B2AEA"/>
    <w:rsid w:val="007C0591"/>
    <w:rsid w:val="007C191A"/>
    <w:rsid w:val="007C2814"/>
    <w:rsid w:val="007D4915"/>
    <w:rsid w:val="007D7645"/>
    <w:rsid w:val="007E0521"/>
    <w:rsid w:val="007E0944"/>
    <w:rsid w:val="007E3B95"/>
    <w:rsid w:val="007E3D5D"/>
    <w:rsid w:val="007F0736"/>
    <w:rsid w:val="007F0D56"/>
    <w:rsid w:val="007F4609"/>
    <w:rsid w:val="007F6253"/>
    <w:rsid w:val="008003E6"/>
    <w:rsid w:val="0080171E"/>
    <w:rsid w:val="00811227"/>
    <w:rsid w:val="00825592"/>
    <w:rsid w:val="00830502"/>
    <w:rsid w:val="00831A11"/>
    <w:rsid w:val="00831E4A"/>
    <w:rsid w:val="00833CFA"/>
    <w:rsid w:val="00833E4B"/>
    <w:rsid w:val="00834639"/>
    <w:rsid w:val="00835D9A"/>
    <w:rsid w:val="00840627"/>
    <w:rsid w:val="008433FB"/>
    <w:rsid w:val="00845053"/>
    <w:rsid w:val="008467E6"/>
    <w:rsid w:val="00847629"/>
    <w:rsid w:val="00853488"/>
    <w:rsid w:val="00853BC8"/>
    <w:rsid w:val="00855087"/>
    <w:rsid w:val="00866719"/>
    <w:rsid w:val="00866CBC"/>
    <w:rsid w:val="00867D28"/>
    <w:rsid w:val="00872110"/>
    <w:rsid w:val="008734BF"/>
    <w:rsid w:val="00873572"/>
    <w:rsid w:val="00885281"/>
    <w:rsid w:val="00887E64"/>
    <w:rsid w:val="00890B15"/>
    <w:rsid w:val="00891723"/>
    <w:rsid w:val="008935E5"/>
    <w:rsid w:val="00893C76"/>
    <w:rsid w:val="008A147C"/>
    <w:rsid w:val="008A2164"/>
    <w:rsid w:val="008A684E"/>
    <w:rsid w:val="008C040C"/>
    <w:rsid w:val="008C2A3B"/>
    <w:rsid w:val="008C4A8F"/>
    <w:rsid w:val="008C7448"/>
    <w:rsid w:val="008D25F4"/>
    <w:rsid w:val="008D2D72"/>
    <w:rsid w:val="008E4641"/>
    <w:rsid w:val="008E4CB7"/>
    <w:rsid w:val="008F4661"/>
    <w:rsid w:val="008F5514"/>
    <w:rsid w:val="0090507D"/>
    <w:rsid w:val="00906D61"/>
    <w:rsid w:val="009142DE"/>
    <w:rsid w:val="00915FEC"/>
    <w:rsid w:val="009207FB"/>
    <w:rsid w:val="00921090"/>
    <w:rsid w:val="00936C06"/>
    <w:rsid w:val="0094312C"/>
    <w:rsid w:val="00943835"/>
    <w:rsid w:val="009514BC"/>
    <w:rsid w:val="00952CF1"/>
    <w:rsid w:val="0096247B"/>
    <w:rsid w:val="00962D46"/>
    <w:rsid w:val="0096324F"/>
    <w:rsid w:val="00965322"/>
    <w:rsid w:val="00972A79"/>
    <w:rsid w:val="00972BED"/>
    <w:rsid w:val="009749BC"/>
    <w:rsid w:val="00974EBC"/>
    <w:rsid w:val="00986AB2"/>
    <w:rsid w:val="00987079"/>
    <w:rsid w:val="00991EA0"/>
    <w:rsid w:val="009929B2"/>
    <w:rsid w:val="009A0032"/>
    <w:rsid w:val="009A0980"/>
    <w:rsid w:val="009A42E4"/>
    <w:rsid w:val="009C11B8"/>
    <w:rsid w:val="009C1E24"/>
    <w:rsid w:val="009C3590"/>
    <w:rsid w:val="009C3772"/>
    <w:rsid w:val="009C52C4"/>
    <w:rsid w:val="009D1A7F"/>
    <w:rsid w:val="009D4619"/>
    <w:rsid w:val="009D531D"/>
    <w:rsid w:val="009E002F"/>
    <w:rsid w:val="009E08FB"/>
    <w:rsid w:val="009E33E4"/>
    <w:rsid w:val="009E48F5"/>
    <w:rsid w:val="009E7180"/>
    <w:rsid w:val="009F119B"/>
    <w:rsid w:val="009F7D0C"/>
    <w:rsid w:val="00A10521"/>
    <w:rsid w:val="00A15CDD"/>
    <w:rsid w:val="00A209E4"/>
    <w:rsid w:val="00A20BFD"/>
    <w:rsid w:val="00A226F6"/>
    <w:rsid w:val="00A23777"/>
    <w:rsid w:val="00A26C32"/>
    <w:rsid w:val="00A2724A"/>
    <w:rsid w:val="00A275AA"/>
    <w:rsid w:val="00A3212B"/>
    <w:rsid w:val="00A32240"/>
    <w:rsid w:val="00A37455"/>
    <w:rsid w:val="00A3770F"/>
    <w:rsid w:val="00A53FBD"/>
    <w:rsid w:val="00A625C6"/>
    <w:rsid w:val="00A628AE"/>
    <w:rsid w:val="00A62920"/>
    <w:rsid w:val="00A65E24"/>
    <w:rsid w:val="00A66297"/>
    <w:rsid w:val="00A7635A"/>
    <w:rsid w:val="00A83BC8"/>
    <w:rsid w:val="00A83EC5"/>
    <w:rsid w:val="00A90948"/>
    <w:rsid w:val="00A91505"/>
    <w:rsid w:val="00A94105"/>
    <w:rsid w:val="00A94592"/>
    <w:rsid w:val="00A95227"/>
    <w:rsid w:val="00AA223B"/>
    <w:rsid w:val="00AA3D81"/>
    <w:rsid w:val="00AB03FB"/>
    <w:rsid w:val="00AB2664"/>
    <w:rsid w:val="00AB2CDF"/>
    <w:rsid w:val="00AB3EC7"/>
    <w:rsid w:val="00AB423D"/>
    <w:rsid w:val="00AB56A7"/>
    <w:rsid w:val="00AC084D"/>
    <w:rsid w:val="00AC3515"/>
    <w:rsid w:val="00AC3F29"/>
    <w:rsid w:val="00AC5AC8"/>
    <w:rsid w:val="00AC5EC2"/>
    <w:rsid w:val="00AD0A96"/>
    <w:rsid w:val="00AD193C"/>
    <w:rsid w:val="00AD38F0"/>
    <w:rsid w:val="00AD4F0E"/>
    <w:rsid w:val="00AD6F26"/>
    <w:rsid w:val="00AE7037"/>
    <w:rsid w:val="00AF660A"/>
    <w:rsid w:val="00B0277B"/>
    <w:rsid w:val="00B03FC7"/>
    <w:rsid w:val="00B122B4"/>
    <w:rsid w:val="00B14013"/>
    <w:rsid w:val="00B3125C"/>
    <w:rsid w:val="00B46791"/>
    <w:rsid w:val="00B47BA9"/>
    <w:rsid w:val="00B6149D"/>
    <w:rsid w:val="00B62240"/>
    <w:rsid w:val="00B6292D"/>
    <w:rsid w:val="00B63535"/>
    <w:rsid w:val="00B70136"/>
    <w:rsid w:val="00B9270C"/>
    <w:rsid w:val="00BA086B"/>
    <w:rsid w:val="00BA7208"/>
    <w:rsid w:val="00BB1938"/>
    <w:rsid w:val="00BB4E34"/>
    <w:rsid w:val="00BB7BBE"/>
    <w:rsid w:val="00BC54C0"/>
    <w:rsid w:val="00BC7610"/>
    <w:rsid w:val="00BD3966"/>
    <w:rsid w:val="00BD461D"/>
    <w:rsid w:val="00BE32D7"/>
    <w:rsid w:val="00C00DC3"/>
    <w:rsid w:val="00C00DD0"/>
    <w:rsid w:val="00C02DAF"/>
    <w:rsid w:val="00C1206E"/>
    <w:rsid w:val="00C209AC"/>
    <w:rsid w:val="00C21070"/>
    <w:rsid w:val="00C220B2"/>
    <w:rsid w:val="00C249E8"/>
    <w:rsid w:val="00C25DFD"/>
    <w:rsid w:val="00C26120"/>
    <w:rsid w:val="00C31B82"/>
    <w:rsid w:val="00C327EC"/>
    <w:rsid w:val="00C43528"/>
    <w:rsid w:val="00C50974"/>
    <w:rsid w:val="00C515CD"/>
    <w:rsid w:val="00C60072"/>
    <w:rsid w:val="00C6033D"/>
    <w:rsid w:val="00C603D2"/>
    <w:rsid w:val="00C6188C"/>
    <w:rsid w:val="00C652F4"/>
    <w:rsid w:val="00C7545B"/>
    <w:rsid w:val="00C84CE6"/>
    <w:rsid w:val="00C9000A"/>
    <w:rsid w:val="00C90EDF"/>
    <w:rsid w:val="00C960C8"/>
    <w:rsid w:val="00C96417"/>
    <w:rsid w:val="00CA3846"/>
    <w:rsid w:val="00CA6EAA"/>
    <w:rsid w:val="00CA7BD3"/>
    <w:rsid w:val="00CB0DFB"/>
    <w:rsid w:val="00CB3AA0"/>
    <w:rsid w:val="00CC263E"/>
    <w:rsid w:val="00CC4BCE"/>
    <w:rsid w:val="00CC529E"/>
    <w:rsid w:val="00CC62C6"/>
    <w:rsid w:val="00CC62DD"/>
    <w:rsid w:val="00CC6805"/>
    <w:rsid w:val="00CD448C"/>
    <w:rsid w:val="00CD5925"/>
    <w:rsid w:val="00CD6FB9"/>
    <w:rsid w:val="00CD7981"/>
    <w:rsid w:val="00CE1304"/>
    <w:rsid w:val="00CE54FA"/>
    <w:rsid w:val="00CF07EE"/>
    <w:rsid w:val="00CF4129"/>
    <w:rsid w:val="00D0003C"/>
    <w:rsid w:val="00D011EE"/>
    <w:rsid w:val="00D0345D"/>
    <w:rsid w:val="00D11E23"/>
    <w:rsid w:val="00D16B0E"/>
    <w:rsid w:val="00D202AB"/>
    <w:rsid w:val="00D22F1D"/>
    <w:rsid w:val="00D22FAB"/>
    <w:rsid w:val="00D261BB"/>
    <w:rsid w:val="00D27531"/>
    <w:rsid w:val="00D3070A"/>
    <w:rsid w:val="00D329F1"/>
    <w:rsid w:val="00D33CE2"/>
    <w:rsid w:val="00D36987"/>
    <w:rsid w:val="00D41DA8"/>
    <w:rsid w:val="00D420CF"/>
    <w:rsid w:val="00D4414D"/>
    <w:rsid w:val="00D4611E"/>
    <w:rsid w:val="00D54D4D"/>
    <w:rsid w:val="00D615E5"/>
    <w:rsid w:val="00D71EE2"/>
    <w:rsid w:val="00D73D15"/>
    <w:rsid w:val="00D8053D"/>
    <w:rsid w:val="00D8335A"/>
    <w:rsid w:val="00D9126F"/>
    <w:rsid w:val="00D9149A"/>
    <w:rsid w:val="00D94DD9"/>
    <w:rsid w:val="00D97178"/>
    <w:rsid w:val="00DA072C"/>
    <w:rsid w:val="00DA1962"/>
    <w:rsid w:val="00DA7668"/>
    <w:rsid w:val="00DB377B"/>
    <w:rsid w:val="00DB3991"/>
    <w:rsid w:val="00DB5563"/>
    <w:rsid w:val="00DC489F"/>
    <w:rsid w:val="00DC6FC5"/>
    <w:rsid w:val="00DD0698"/>
    <w:rsid w:val="00DD3343"/>
    <w:rsid w:val="00DE2735"/>
    <w:rsid w:val="00DE4140"/>
    <w:rsid w:val="00DE7D5F"/>
    <w:rsid w:val="00E01856"/>
    <w:rsid w:val="00E04208"/>
    <w:rsid w:val="00E062B8"/>
    <w:rsid w:val="00E06A1F"/>
    <w:rsid w:val="00E12D2C"/>
    <w:rsid w:val="00E15C33"/>
    <w:rsid w:val="00E279C4"/>
    <w:rsid w:val="00E34FB4"/>
    <w:rsid w:val="00E36496"/>
    <w:rsid w:val="00E37CA5"/>
    <w:rsid w:val="00E46DEA"/>
    <w:rsid w:val="00E60C88"/>
    <w:rsid w:val="00E60EDA"/>
    <w:rsid w:val="00E6712B"/>
    <w:rsid w:val="00E71A85"/>
    <w:rsid w:val="00E74838"/>
    <w:rsid w:val="00E76A78"/>
    <w:rsid w:val="00E8056B"/>
    <w:rsid w:val="00E859FB"/>
    <w:rsid w:val="00E95BBE"/>
    <w:rsid w:val="00EA52CE"/>
    <w:rsid w:val="00EA5461"/>
    <w:rsid w:val="00EA7EDF"/>
    <w:rsid w:val="00EB24E9"/>
    <w:rsid w:val="00EB67B0"/>
    <w:rsid w:val="00EC0E3A"/>
    <w:rsid w:val="00EC1FFE"/>
    <w:rsid w:val="00ED6D1F"/>
    <w:rsid w:val="00ED7287"/>
    <w:rsid w:val="00EF0D1A"/>
    <w:rsid w:val="00F01CAF"/>
    <w:rsid w:val="00F05E08"/>
    <w:rsid w:val="00F16092"/>
    <w:rsid w:val="00F20E58"/>
    <w:rsid w:val="00F21107"/>
    <w:rsid w:val="00F24077"/>
    <w:rsid w:val="00F2414F"/>
    <w:rsid w:val="00F27E84"/>
    <w:rsid w:val="00F34487"/>
    <w:rsid w:val="00F34F93"/>
    <w:rsid w:val="00F35530"/>
    <w:rsid w:val="00F35652"/>
    <w:rsid w:val="00F36513"/>
    <w:rsid w:val="00F378F5"/>
    <w:rsid w:val="00F40DE2"/>
    <w:rsid w:val="00F46E41"/>
    <w:rsid w:val="00F47A80"/>
    <w:rsid w:val="00F54CC3"/>
    <w:rsid w:val="00F60854"/>
    <w:rsid w:val="00F617A9"/>
    <w:rsid w:val="00F64457"/>
    <w:rsid w:val="00F77044"/>
    <w:rsid w:val="00F973C1"/>
    <w:rsid w:val="00FA32EE"/>
    <w:rsid w:val="00FC19FC"/>
    <w:rsid w:val="00FC2D68"/>
    <w:rsid w:val="00FC642E"/>
    <w:rsid w:val="00FE02B7"/>
    <w:rsid w:val="00FE2C0B"/>
    <w:rsid w:val="00FE734E"/>
    <w:rsid w:val="00FE7FC4"/>
    <w:rsid w:val="00FF3744"/>
    <w:rsid w:val="00FF3F82"/>
    <w:rsid w:val="00FF50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1F5FB"/>
  <w15:docId w15:val="{D89C78DD-E0FC-4315-8E18-BC11A06F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lang w:val="hr-HR" w:eastAsia="hr-H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720" w:hanging="359"/>
      <w:outlineLvl w:val="0"/>
    </w:pPr>
    <w:rPr>
      <w:b/>
      <w:sz w:val="28"/>
    </w:rPr>
  </w:style>
  <w:style w:type="paragraph" w:styleId="Heading2">
    <w:name w:val="heading 2"/>
    <w:basedOn w:val="Normal"/>
    <w:next w:val="Normal"/>
    <w:pPr>
      <w:keepNext/>
      <w:keepLines/>
      <w:spacing w:before="200"/>
      <w:ind w:left="576" w:hanging="575"/>
      <w:outlineLvl w:val="1"/>
    </w:pPr>
    <w:rPr>
      <w:b/>
      <w:sz w:val="26"/>
    </w:rPr>
  </w:style>
  <w:style w:type="paragraph" w:styleId="Heading3">
    <w:name w:val="heading 3"/>
    <w:basedOn w:val="Normal"/>
    <w:next w:val="Normal"/>
    <w:pPr>
      <w:keepNext/>
      <w:keepLines/>
      <w:spacing w:before="480" w:line="276" w:lineRule="auto"/>
      <w:ind w:left="1080" w:hanging="719"/>
      <w:outlineLvl w:val="2"/>
    </w:pPr>
    <w:rPr>
      <w:b/>
    </w:rPr>
  </w:style>
  <w:style w:type="paragraph" w:styleId="Heading4">
    <w:name w:val="heading 4"/>
    <w:basedOn w:val="Normal"/>
    <w:next w:val="Normal"/>
    <w:pPr>
      <w:keepNext/>
      <w:keepLines/>
      <w:spacing w:before="200"/>
      <w:ind w:left="864" w:hanging="863"/>
      <w:outlineLvl w:val="3"/>
    </w:pPr>
    <w:rPr>
      <w:b/>
      <w:i/>
    </w:rPr>
  </w:style>
  <w:style w:type="paragraph" w:styleId="Heading5">
    <w:name w:val="heading 5"/>
    <w:basedOn w:val="Normal"/>
    <w:next w:val="Normal"/>
    <w:pPr>
      <w:keepNext/>
      <w:keepLines/>
      <w:spacing w:before="200"/>
      <w:ind w:left="1008" w:hanging="1007"/>
      <w:outlineLvl w:val="4"/>
    </w:pPr>
    <w:rPr>
      <w:rFonts w:ascii="Cambria" w:eastAsia="Cambria" w:hAnsi="Cambria" w:cs="Cambria"/>
      <w:b/>
      <w:color w:val="243F60"/>
    </w:rPr>
  </w:style>
  <w:style w:type="paragraph" w:styleId="Heading6">
    <w:name w:val="heading 6"/>
    <w:basedOn w:val="Normal"/>
    <w:next w:val="Normal"/>
    <w:pPr>
      <w:keepNext/>
      <w:keepLines/>
      <w:spacing w:before="200"/>
      <w:ind w:left="1152" w:hanging="1151"/>
      <w:outlineLvl w:val="5"/>
    </w:pPr>
    <w:rPr>
      <w:rFonts w:ascii="Cambria" w:eastAsia="Cambria" w:hAnsi="Cambria" w:cs="Cambria"/>
      <w:b/>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mbria" w:eastAsia="Cambria" w:hAnsi="Cambria" w:cs="Cambria"/>
      <w:b/>
      <w:color w:val="17365D"/>
      <w:sz w:val="52"/>
    </w:rPr>
  </w:style>
  <w:style w:type="paragraph" w:styleId="Subtitle">
    <w:name w:val="Subtitle"/>
    <w:basedOn w:val="Normal"/>
    <w:next w:val="Normal"/>
    <w:pPr>
      <w:keepNext/>
      <w:keepLines/>
      <w:spacing w:after="600" w:line="360" w:lineRule="auto"/>
      <w:jc w:val="left"/>
    </w:pPr>
    <w:rPr>
      <w:rFonts w:ascii="Cambria" w:eastAsia="Cambria" w:hAnsi="Cambria" w:cs="Cambria"/>
      <w:i/>
      <w:color w:val="666666"/>
      <w:sz w:val="24"/>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1DA8"/>
    <w:rPr>
      <w:rFonts w:ascii="Tahoma" w:hAnsi="Tahoma" w:cs="Tahoma"/>
      <w:sz w:val="16"/>
      <w:szCs w:val="16"/>
    </w:rPr>
  </w:style>
  <w:style w:type="character" w:customStyle="1" w:styleId="BalloonTextChar">
    <w:name w:val="Balloon Text Char"/>
    <w:basedOn w:val="DefaultParagraphFont"/>
    <w:link w:val="BalloonText"/>
    <w:uiPriority w:val="99"/>
    <w:semiHidden/>
    <w:rsid w:val="00D41DA8"/>
    <w:rPr>
      <w:rFonts w:ascii="Tahoma" w:hAnsi="Tahoma" w:cs="Tahoma"/>
      <w:sz w:val="16"/>
      <w:szCs w:val="16"/>
    </w:rPr>
  </w:style>
  <w:style w:type="table" w:styleId="TableGrid">
    <w:name w:val="Table Grid"/>
    <w:basedOn w:val="TableNormal"/>
    <w:uiPriority w:val="59"/>
    <w:rsid w:val="00D41DA8"/>
    <w:pPr>
      <w:jc w:val="left"/>
    </w:pPr>
    <w:rPr>
      <w:rFonts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1DA8"/>
    <w:pPr>
      <w:jc w:val="left"/>
    </w:pPr>
  </w:style>
  <w:style w:type="character" w:styleId="Hyperlink">
    <w:name w:val="Hyperlink"/>
    <w:basedOn w:val="DefaultParagraphFont"/>
    <w:uiPriority w:val="99"/>
    <w:unhideWhenUsed/>
    <w:rsid w:val="0058673D"/>
    <w:rPr>
      <w:color w:val="0000FF" w:themeColor="hyperlink"/>
      <w:u w:val="single"/>
    </w:rPr>
  </w:style>
  <w:style w:type="paragraph" w:styleId="TOCHeading">
    <w:name w:val="TOC Heading"/>
    <w:basedOn w:val="Heading1"/>
    <w:next w:val="Normal"/>
    <w:uiPriority w:val="39"/>
    <w:unhideWhenUsed/>
    <w:qFormat/>
    <w:rsid w:val="006730B1"/>
    <w:pPr>
      <w:spacing w:before="480" w:line="276" w:lineRule="auto"/>
      <w:ind w:left="0" w:firstLine="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qFormat/>
    <w:rsid w:val="00AF660A"/>
    <w:pPr>
      <w:tabs>
        <w:tab w:val="right" w:leader="dot" w:pos="9062"/>
      </w:tabs>
      <w:spacing w:after="100"/>
    </w:pPr>
    <w:rPr>
      <w:noProof/>
    </w:rPr>
  </w:style>
  <w:style w:type="paragraph" w:styleId="TOC2">
    <w:name w:val="toc 2"/>
    <w:basedOn w:val="Normal"/>
    <w:next w:val="Normal"/>
    <w:autoRedefine/>
    <w:uiPriority w:val="39"/>
    <w:unhideWhenUsed/>
    <w:qFormat/>
    <w:rsid w:val="00232B85"/>
    <w:pPr>
      <w:tabs>
        <w:tab w:val="left" w:pos="880"/>
        <w:tab w:val="right" w:leader="dot" w:pos="9062"/>
      </w:tabs>
      <w:ind w:left="221"/>
    </w:pPr>
  </w:style>
  <w:style w:type="paragraph" w:styleId="TOC3">
    <w:name w:val="toc 3"/>
    <w:basedOn w:val="Normal"/>
    <w:next w:val="Normal"/>
    <w:autoRedefine/>
    <w:uiPriority w:val="39"/>
    <w:unhideWhenUsed/>
    <w:qFormat/>
    <w:rsid w:val="006730B1"/>
    <w:pPr>
      <w:spacing w:after="100"/>
      <w:ind w:left="440"/>
    </w:pPr>
  </w:style>
  <w:style w:type="paragraph" w:styleId="Caption">
    <w:name w:val="caption"/>
    <w:basedOn w:val="Normal"/>
    <w:next w:val="Normal"/>
    <w:uiPriority w:val="35"/>
    <w:unhideWhenUsed/>
    <w:qFormat/>
    <w:rsid w:val="006730B1"/>
    <w:pPr>
      <w:keepNext/>
    </w:pPr>
    <w:rPr>
      <w:b/>
      <w:bCs/>
      <w:color w:val="auto"/>
      <w:szCs w:val="18"/>
    </w:rPr>
  </w:style>
  <w:style w:type="paragraph" w:styleId="TableofFigures">
    <w:name w:val="table of figures"/>
    <w:basedOn w:val="Normal"/>
    <w:next w:val="Normal"/>
    <w:uiPriority w:val="99"/>
    <w:unhideWhenUsed/>
    <w:rsid w:val="006730B1"/>
  </w:style>
  <w:style w:type="paragraph" w:styleId="Header">
    <w:name w:val="header"/>
    <w:basedOn w:val="Normal"/>
    <w:link w:val="HeaderChar"/>
    <w:uiPriority w:val="99"/>
    <w:unhideWhenUsed/>
    <w:rsid w:val="00A90948"/>
    <w:pPr>
      <w:tabs>
        <w:tab w:val="center" w:pos="4536"/>
        <w:tab w:val="right" w:pos="9072"/>
      </w:tabs>
    </w:pPr>
  </w:style>
  <w:style w:type="character" w:customStyle="1" w:styleId="HeaderChar">
    <w:name w:val="Header Char"/>
    <w:basedOn w:val="DefaultParagraphFont"/>
    <w:link w:val="Header"/>
    <w:uiPriority w:val="99"/>
    <w:rsid w:val="00A90948"/>
  </w:style>
  <w:style w:type="paragraph" w:styleId="Footer">
    <w:name w:val="footer"/>
    <w:basedOn w:val="Normal"/>
    <w:link w:val="FooterChar"/>
    <w:uiPriority w:val="99"/>
    <w:unhideWhenUsed/>
    <w:rsid w:val="00A90948"/>
    <w:pPr>
      <w:tabs>
        <w:tab w:val="center" w:pos="4536"/>
        <w:tab w:val="right" w:pos="9072"/>
      </w:tabs>
    </w:pPr>
  </w:style>
  <w:style w:type="character" w:customStyle="1" w:styleId="FooterChar">
    <w:name w:val="Footer Char"/>
    <w:basedOn w:val="DefaultParagraphFont"/>
    <w:link w:val="Footer"/>
    <w:uiPriority w:val="99"/>
    <w:rsid w:val="00A90948"/>
  </w:style>
  <w:style w:type="paragraph" w:styleId="ListParagraph">
    <w:name w:val="List Paragraph"/>
    <w:basedOn w:val="Normal"/>
    <w:uiPriority w:val="34"/>
    <w:qFormat/>
    <w:rsid w:val="0094312C"/>
    <w:pPr>
      <w:ind w:left="720"/>
      <w:contextualSpacing/>
    </w:pPr>
  </w:style>
  <w:style w:type="paragraph" w:styleId="FootnoteText">
    <w:name w:val="footnote text"/>
    <w:basedOn w:val="Normal"/>
    <w:link w:val="FootnoteTextChar"/>
    <w:uiPriority w:val="99"/>
    <w:unhideWhenUsed/>
    <w:rsid w:val="001804D4"/>
    <w:rPr>
      <w:sz w:val="20"/>
    </w:rPr>
  </w:style>
  <w:style w:type="character" w:customStyle="1" w:styleId="FootnoteTextChar">
    <w:name w:val="Footnote Text Char"/>
    <w:basedOn w:val="DefaultParagraphFont"/>
    <w:link w:val="FootnoteText"/>
    <w:uiPriority w:val="99"/>
    <w:rsid w:val="001804D4"/>
    <w:rPr>
      <w:sz w:val="20"/>
    </w:rPr>
  </w:style>
  <w:style w:type="character" w:styleId="FootnoteReference">
    <w:name w:val="footnote reference"/>
    <w:basedOn w:val="DefaultParagraphFont"/>
    <w:uiPriority w:val="99"/>
    <w:unhideWhenUsed/>
    <w:rsid w:val="001804D4"/>
    <w:rPr>
      <w:vertAlign w:val="superscript"/>
    </w:rPr>
  </w:style>
  <w:style w:type="table" w:customStyle="1" w:styleId="TableGrid1">
    <w:name w:val="Table Grid1"/>
    <w:basedOn w:val="TableNormal"/>
    <w:next w:val="TableGrid"/>
    <w:uiPriority w:val="59"/>
    <w:rsid w:val="00634901"/>
    <w:pPr>
      <w:jc w:val="left"/>
    </w:pPr>
    <w:rPr>
      <w:rFonts w:cs="Times New Roman"/>
      <w:color w:val="auto"/>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2FD9"/>
    <w:rPr>
      <w:b/>
      <w:bCs/>
    </w:rPr>
  </w:style>
  <w:style w:type="character" w:customStyle="1" w:styleId="CommentSubjectChar">
    <w:name w:val="Comment Subject Char"/>
    <w:basedOn w:val="CommentTextChar"/>
    <w:link w:val="CommentSubject"/>
    <w:uiPriority w:val="99"/>
    <w:semiHidden/>
    <w:rsid w:val="003B2FD9"/>
    <w:rPr>
      <w:b/>
      <w:bCs/>
      <w:sz w:val="20"/>
    </w:rPr>
  </w:style>
  <w:style w:type="character" w:styleId="FollowedHyperlink">
    <w:name w:val="FollowedHyperlink"/>
    <w:basedOn w:val="DefaultParagraphFont"/>
    <w:uiPriority w:val="99"/>
    <w:semiHidden/>
    <w:unhideWhenUsed/>
    <w:rsid w:val="00552EF7"/>
    <w:rPr>
      <w:color w:val="800080" w:themeColor="followedHyperlink"/>
      <w:u w:val="single"/>
    </w:rPr>
  </w:style>
  <w:style w:type="table" w:customStyle="1" w:styleId="Reetkatablice1">
    <w:name w:val="Rešetka tablice1"/>
    <w:basedOn w:val="TableNormal"/>
    <w:next w:val="TableGrid"/>
    <w:rsid w:val="00906D61"/>
    <w:pPr>
      <w:jc w:val="left"/>
    </w:pPr>
    <w:rPr>
      <w:rFonts w:ascii="Times New Roman" w:eastAsia="Times New Roman"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rsid w:val="00906D61"/>
    <w:pPr>
      <w:jc w:val="left"/>
    </w:pPr>
    <w:rPr>
      <w:rFonts w:ascii="Times New Roman" w:eastAsia="Times New Roman"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rsid w:val="008734BF"/>
    <w:pPr>
      <w:jc w:val="left"/>
    </w:pPr>
    <w:rPr>
      <w:rFonts w:ascii="Times New Roman" w:eastAsia="Times New Roman" w:hAnsi="Times New Roman" w:cs="Times New Roman"/>
      <w:color w:val="auto"/>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C5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48196">
      <w:bodyDiv w:val="1"/>
      <w:marLeft w:val="0"/>
      <w:marRight w:val="0"/>
      <w:marTop w:val="0"/>
      <w:marBottom w:val="0"/>
      <w:divBdr>
        <w:top w:val="none" w:sz="0" w:space="0" w:color="auto"/>
        <w:left w:val="none" w:sz="0" w:space="0" w:color="auto"/>
        <w:bottom w:val="none" w:sz="0" w:space="0" w:color="auto"/>
        <w:right w:val="none" w:sz="0" w:space="0" w:color="auto"/>
      </w:divBdr>
      <w:divsChild>
        <w:div w:id="70662790">
          <w:marLeft w:val="0"/>
          <w:marRight w:val="0"/>
          <w:marTop w:val="0"/>
          <w:marBottom w:val="0"/>
          <w:divBdr>
            <w:top w:val="none" w:sz="0" w:space="0" w:color="auto"/>
            <w:left w:val="none" w:sz="0" w:space="0" w:color="auto"/>
            <w:bottom w:val="none" w:sz="0" w:space="0" w:color="auto"/>
            <w:right w:val="none" w:sz="0" w:space="0" w:color="auto"/>
          </w:divBdr>
        </w:div>
        <w:div w:id="832573770">
          <w:marLeft w:val="0"/>
          <w:marRight w:val="0"/>
          <w:marTop w:val="0"/>
          <w:marBottom w:val="0"/>
          <w:divBdr>
            <w:top w:val="none" w:sz="0" w:space="0" w:color="auto"/>
            <w:left w:val="none" w:sz="0" w:space="0" w:color="auto"/>
            <w:bottom w:val="none" w:sz="0" w:space="0" w:color="auto"/>
            <w:right w:val="none" w:sz="0" w:space="0" w:color="auto"/>
          </w:divBdr>
        </w:div>
        <w:div w:id="1606767217">
          <w:marLeft w:val="0"/>
          <w:marRight w:val="0"/>
          <w:marTop w:val="0"/>
          <w:marBottom w:val="0"/>
          <w:divBdr>
            <w:top w:val="none" w:sz="0" w:space="0" w:color="auto"/>
            <w:left w:val="none" w:sz="0" w:space="0" w:color="auto"/>
            <w:bottom w:val="none" w:sz="0" w:space="0" w:color="auto"/>
            <w:right w:val="none" w:sz="0" w:space="0" w:color="auto"/>
          </w:divBdr>
        </w:div>
        <w:div w:id="1503087071">
          <w:marLeft w:val="0"/>
          <w:marRight w:val="0"/>
          <w:marTop w:val="0"/>
          <w:marBottom w:val="0"/>
          <w:divBdr>
            <w:top w:val="none" w:sz="0" w:space="0" w:color="auto"/>
            <w:left w:val="none" w:sz="0" w:space="0" w:color="auto"/>
            <w:bottom w:val="none" w:sz="0" w:space="0" w:color="auto"/>
            <w:right w:val="none" w:sz="0" w:space="0" w:color="auto"/>
          </w:divBdr>
        </w:div>
        <w:div w:id="41827808">
          <w:marLeft w:val="0"/>
          <w:marRight w:val="0"/>
          <w:marTop w:val="0"/>
          <w:marBottom w:val="0"/>
          <w:divBdr>
            <w:top w:val="none" w:sz="0" w:space="0" w:color="auto"/>
            <w:left w:val="none" w:sz="0" w:space="0" w:color="auto"/>
            <w:bottom w:val="none" w:sz="0" w:space="0" w:color="auto"/>
            <w:right w:val="none" w:sz="0" w:space="0" w:color="auto"/>
          </w:divBdr>
        </w:div>
        <w:div w:id="1194687481">
          <w:marLeft w:val="0"/>
          <w:marRight w:val="0"/>
          <w:marTop w:val="0"/>
          <w:marBottom w:val="0"/>
          <w:divBdr>
            <w:top w:val="none" w:sz="0" w:space="0" w:color="auto"/>
            <w:left w:val="none" w:sz="0" w:space="0" w:color="auto"/>
            <w:bottom w:val="none" w:sz="0" w:space="0" w:color="auto"/>
            <w:right w:val="none" w:sz="0" w:space="0" w:color="auto"/>
          </w:divBdr>
        </w:div>
        <w:div w:id="1040588321">
          <w:marLeft w:val="0"/>
          <w:marRight w:val="0"/>
          <w:marTop w:val="0"/>
          <w:marBottom w:val="0"/>
          <w:divBdr>
            <w:top w:val="none" w:sz="0" w:space="0" w:color="auto"/>
            <w:left w:val="none" w:sz="0" w:space="0" w:color="auto"/>
            <w:bottom w:val="none" w:sz="0" w:space="0" w:color="auto"/>
            <w:right w:val="none" w:sz="0" w:space="0" w:color="auto"/>
          </w:divBdr>
        </w:div>
        <w:div w:id="1903514383">
          <w:marLeft w:val="0"/>
          <w:marRight w:val="0"/>
          <w:marTop w:val="0"/>
          <w:marBottom w:val="0"/>
          <w:divBdr>
            <w:top w:val="none" w:sz="0" w:space="0" w:color="auto"/>
            <w:left w:val="none" w:sz="0" w:space="0" w:color="auto"/>
            <w:bottom w:val="none" w:sz="0" w:space="0" w:color="auto"/>
            <w:right w:val="none" w:sz="0" w:space="0" w:color="auto"/>
          </w:divBdr>
        </w:div>
        <w:div w:id="1988314727">
          <w:marLeft w:val="0"/>
          <w:marRight w:val="0"/>
          <w:marTop w:val="0"/>
          <w:marBottom w:val="0"/>
          <w:divBdr>
            <w:top w:val="none" w:sz="0" w:space="0" w:color="auto"/>
            <w:left w:val="none" w:sz="0" w:space="0" w:color="auto"/>
            <w:bottom w:val="none" w:sz="0" w:space="0" w:color="auto"/>
            <w:right w:val="none" w:sz="0" w:space="0" w:color="auto"/>
          </w:divBdr>
        </w:div>
        <w:div w:id="2097483509">
          <w:marLeft w:val="0"/>
          <w:marRight w:val="0"/>
          <w:marTop w:val="0"/>
          <w:marBottom w:val="0"/>
          <w:divBdr>
            <w:top w:val="none" w:sz="0" w:space="0" w:color="auto"/>
            <w:left w:val="none" w:sz="0" w:space="0" w:color="auto"/>
            <w:bottom w:val="none" w:sz="0" w:space="0" w:color="auto"/>
            <w:right w:val="none" w:sz="0" w:space="0" w:color="auto"/>
          </w:divBdr>
        </w:div>
        <w:div w:id="1391733407">
          <w:marLeft w:val="0"/>
          <w:marRight w:val="0"/>
          <w:marTop w:val="0"/>
          <w:marBottom w:val="0"/>
          <w:divBdr>
            <w:top w:val="none" w:sz="0" w:space="0" w:color="auto"/>
            <w:left w:val="none" w:sz="0" w:space="0" w:color="auto"/>
            <w:bottom w:val="none" w:sz="0" w:space="0" w:color="auto"/>
            <w:right w:val="none" w:sz="0" w:space="0" w:color="auto"/>
          </w:divBdr>
        </w:div>
        <w:div w:id="534654161">
          <w:marLeft w:val="0"/>
          <w:marRight w:val="0"/>
          <w:marTop w:val="0"/>
          <w:marBottom w:val="0"/>
          <w:divBdr>
            <w:top w:val="none" w:sz="0" w:space="0" w:color="auto"/>
            <w:left w:val="none" w:sz="0" w:space="0" w:color="auto"/>
            <w:bottom w:val="none" w:sz="0" w:space="0" w:color="auto"/>
            <w:right w:val="none" w:sz="0" w:space="0" w:color="auto"/>
          </w:divBdr>
        </w:div>
        <w:div w:id="1616599419">
          <w:marLeft w:val="0"/>
          <w:marRight w:val="0"/>
          <w:marTop w:val="0"/>
          <w:marBottom w:val="0"/>
          <w:divBdr>
            <w:top w:val="none" w:sz="0" w:space="0" w:color="auto"/>
            <w:left w:val="none" w:sz="0" w:space="0" w:color="auto"/>
            <w:bottom w:val="none" w:sz="0" w:space="0" w:color="auto"/>
            <w:right w:val="none" w:sz="0" w:space="0" w:color="auto"/>
          </w:divBdr>
        </w:div>
        <w:div w:id="1726640724">
          <w:marLeft w:val="0"/>
          <w:marRight w:val="0"/>
          <w:marTop w:val="0"/>
          <w:marBottom w:val="0"/>
          <w:divBdr>
            <w:top w:val="none" w:sz="0" w:space="0" w:color="auto"/>
            <w:left w:val="none" w:sz="0" w:space="0" w:color="auto"/>
            <w:bottom w:val="none" w:sz="0" w:space="0" w:color="auto"/>
            <w:right w:val="none" w:sz="0" w:space="0" w:color="auto"/>
          </w:divBdr>
        </w:div>
        <w:div w:id="846676084">
          <w:marLeft w:val="0"/>
          <w:marRight w:val="0"/>
          <w:marTop w:val="0"/>
          <w:marBottom w:val="0"/>
          <w:divBdr>
            <w:top w:val="none" w:sz="0" w:space="0" w:color="auto"/>
            <w:left w:val="none" w:sz="0" w:space="0" w:color="auto"/>
            <w:bottom w:val="none" w:sz="0" w:space="0" w:color="auto"/>
            <w:right w:val="none" w:sz="0" w:space="0" w:color="auto"/>
          </w:divBdr>
        </w:div>
        <w:div w:id="776410558">
          <w:marLeft w:val="0"/>
          <w:marRight w:val="0"/>
          <w:marTop w:val="0"/>
          <w:marBottom w:val="0"/>
          <w:divBdr>
            <w:top w:val="none" w:sz="0" w:space="0" w:color="auto"/>
            <w:left w:val="none" w:sz="0" w:space="0" w:color="auto"/>
            <w:bottom w:val="none" w:sz="0" w:space="0" w:color="auto"/>
            <w:right w:val="none" w:sz="0" w:space="0" w:color="auto"/>
          </w:divBdr>
        </w:div>
        <w:div w:id="638072597">
          <w:marLeft w:val="0"/>
          <w:marRight w:val="0"/>
          <w:marTop w:val="0"/>
          <w:marBottom w:val="0"/>
          <w:divBdr>
            <w:top w:val="none" w:sz="0" w:space="0" w:color="auto"/>
            <w:left w:val="none" w:sz="0" w:space="0" w:color="auto"/>
            <w:bottom w:val="none" w:sz="0" w:space="0" w:color="auto"/>
            <w:right w:val="none" w:sz="0" w:space="0" w:color="auto"/>
          </w:divBdr>
        </w:div>
        <w:div w:id="728068410">
          <w:marLeft w:val="0"/>
          <w:marRight w:val="0"/>
          <w:marTop w:val="0"/>
          <w:marBottom w:val="0"/>
          <w:divBdr>
            <w:top w:val="none" w:sz="0" w:space="0" w:color="auto"/>
            <w:left w:val="none" w:sz="0" w:space="0" w:color="auto"/>
            <w:bottom w:val="none" w:sz="0" w:space="0" w:color="auto"/>
            <w:right w:val="none" w:sz="0" w:space="0" w:color="auto"/>
          </w:divBdr>
        </w:div>
        <w:div w:id="1810971135">
          <w:marLeft w:val="0"/>
          <w:marRight w:val="0"/>
          <w:marTop w:val="0"/>
          <w:marBottom w:val="0"/>
          <w:divBdr>
            <w:top w:val="none" w:sz="0" w:space="0" w:color="auto"/>
            <w:left w:val="none" w:sz="0" w:space="0" w:color="auto"/>
            <w:bottom w:val="none" w:sz="0" w:space="0" w:color="auto"/>
            <w:right w:val="none" w:sz="0" w:space="0" w:color="auto"/>
          </w:divBdr>
        </w:div>
        <w:div w:id="173308991">
          <w:marLeft w:val="0"/>
          <w:marRight w:val="0"/>
          <w:marTop w:val="0"/>
          <w:marBottom w:val="0"/>
          <w:divBdr>
            <w:top w:val="none" w:sz="0" w:space="0" w:color="auto"/>
            <w:left w:val="none" w:sz="0" w:space="0" w:color="auto"/>
            <w:bottom w:val="none" w:sz="0" w:space="0" w:color="auto"/>
            <w:right w:val="none" w:sz="0" w:space="0" w:color="auto"/>
          </w:divBdr>
        </w:div>
        <w:div w:id="823087463">
          <w:marLeft w:val="0"/>
          <w:marRight w:val="0"/>
          <w:marTop w:val="0"/>
          <w:marBottom w:val="0"/>
          <w:divBdr>
            <w:top w:val="none" w:sz="0" w:space="0" w:color="auto"/>
            <w:left w:val="none" w:sz="0" w:space="0" w:color="auto"/>
            <w:bottom w:val="none" w:sz="0" w:space="0" w:color="auto"/>
            <w:right w:val="none" w:sz="0" w:space="0" w:color="auto"/>
          </w:divBdr>
        </w:div>
        <w:div w:id="2069957207">
          <w:marLeft w:val="0"/>
          <w:marRight w:val="0"/>
          <w:marTop w:val="0"/>
          <w:marBottom w:val="0"/>
          <w:divBdr>
            <w:top w:val="none" w:sz="0" w:space="0" w:color="auto"/>
            <w:left w:val="none" w:sz="0" w:space="0" w:color="auto"/>
            <w:bottom w:val="none" w:sz="0" w:space="0" w:color="auto"/>
            <w:right w:val="none" w:sz="0" w:space="0" w:color="auto"/>
          </w:divBdr>
        </w:div>
        <w:div w:id="1050110256">
          <w:marLeft w:val="0"/>
          <w:marRight w:val="0"/>
          <w:marTop w:val="0"/>
          <w:marBottom w:val="0"/>
          <w:divBdr>
            <w:top w:val="none" w:sz="0" w:space="0" w:color="auto"/>
            <w:left w:val="none" w:sz="0" w:space="0" w:color="auto"/>
            <w:bottom w:val="none" w:sz="0" w:space="0" w:color="auto"/>
            <w:right w:val="none" w:sz="0" w:space="0" w:color="auto"/>
          </w:divBdr>
        </w:div>
        <w:div w:id="1920600614">
          <w:marLeft w:val="0"/>
          <w:marRight w:val="0"/>
          <w:marTop w:val="0"/>
          <w:marBottom w:val="0"/>
          <w:divBdr>
            <w:top w:val="none" w:sz="0" w:space="0" w:color="auto"/>
            <w:left w:val="none" w:sz="0" w:space="0" w:color="auto"/>
            <w:bottom w:val="none" w:sz="0" w:space="0" w:color="auto"/>
            <w:right w:val="none" w:sz="0" w:space="0" w:color="auto"/>
          </w:divBdr>
        </w:div>
        <w:div w:id="1828667379">
          <w:marLeft w:val="0"/>
          <w:marRight w:val="0"/>
          <w:marTop w:val="0"/>
          <w:marBottom w:val="0"/>
          <w:divBdr>
            <w:top w:val="none" w:sz="0" w:space="0" w:color="auto"/>
            <w:left w:val="none" w:sz="0" w:space="0" w:color="auto"/>
            <w:bottom w:val="none" w:sz="0" w:space="0" w:color="auto"/>
            <w:right w:val="none" w:sz="0" w:space="0" w:color="auto"/>
          </w:divBdr>
        </w:div>
        <w:div w:id="2023972485">
          <w:marLeft w:val="0"/>
          <w:marRight w:val="0"/>
          <w:marTop w:val="0"/>
          <w:marBottom w:val="0"/>
          <w:divBdr>
            <w:top w:val="none" w:sz="0" w:space="0" w:color="auto"/>
            <w:left w:val="none" w:sz="0" w:space="0" w:color="auto"/>
            <w:bottom w:val="none" w:sz="0" w:space="0" w:color="auto"/>
            <w:right w:val="none" w:sz="0" w:space="0" w:color="auto"/>
          </w:divBdr>
        </w:div>
        <w:div w:id="654140257">
          <w:marLeft w:val="0"/>
          <w:marRight w:val="0"/>
          <w:marTop w:val="0"/>
          <w:marBottom w:val="0"/>
          <w:divBdr>
            <w:top w:val="none" w:sz="0" w:space="0" w:color="auto"/>
            <w:left w:val="none" w:sz="0" w:space="0" w:color="auto"/>
            <w:bottom w:val="none" w:sz="0" w:space="0" w:color="auto"/>
            <w:right w:val="none" w:sz="0" w:space="0" w:color="auto"/>
          </w:divBdr>
        </w:div>
        <w:div w:id="865874951">
          <w:marLeft w:val="0"/>
          <w:marRight w:val="0"/>
          <w:marTop w:val="0"/>
          <w:marBottom w:val="0"/>
          <w:divBdr>
            <w:top w:val="none" w:sz="0" w:space="0" w:color="auto"/>
            <w:left w:val="none" w:sz="0" w:space="0" w:color="auto"/>
            <w:bottom w:val="none" w:sz="0" w:space="0" w:color="auto"/>
            <w:right w:val="none" w:sz="0" w:space="0" w:color="auto"/>
          </w:divBdr>
        </w:div>
        <w:div w:id="2083064827">
          <w:marLeft w:val="0"/>
          <w:marRight w:val="0"/>
          <w:marTop w:val="0"/>
          <w:marBottom w:val="0"/>
          <w:divBdr>
            <w:top w:val="none" w:sz="0" w:space="0" w:color="auto"/>
            <w:left w:val="none" w:sz="0" w:space="0" w:color="auto"/>
            <w:bottom w:val="none" w:sz="0" w:space="0" w:color="auto"/>
            <w:right w:val="none" w:sz="0" w:space="0" w:color="auto"/>
          </w:divBdr>
        </w:div>
      </w:divsChild>
    </w:div>
    <w:div w:id="591357340">
      <w:bodyDiv w:val="1"/>
      <w:marLeft w:val="0"/>
      <w:marRight w:val="0"/>
      <w:marTop w:val="0"/>
      <w:marBottom w:val="0"/>
      <w:divBdr>
        <w:top w:val="none" w:sz="0" w:space="0" w:color="auto"/>
        <w:left w:val="none" w:sz="0" w:space="0" w:color="auto"/>
        <w:bottom w:val="none" w:sz="0" w:space="0" w:color="auto"/>
        <w:right w:val="none" w:sz="0" w:space="0" w:color="auto"/>
      </w:divBdr>
    </w:div>
    <w:div w:id="856695672">
      <w:bodyDiv w:val="1"/>
      <w:marLeft w:val="0"/>
      <w:marRight w:val="0"/>
      <w:marTop w:val="0"/>
      <w:marBottom w:val="0"/>
      <w:divBdr>
        <w:top w:val="none" w:sz="0" w:space="0" w:color="auto"/>
        <w:left w:val="none" w:sz="0" w:space="0" w:color="auto"/>
        <w:bottom w:val="none" w:sz="0" w:space="0" w:color="auto"/>
        <w:right w:val="none" w:sz="0" w:space="0" w:color="auto"/>
      </w:divBdr>
    </w:div>
    <w:div w:id="937492798">
      <w:bodyDiv w:val="1"/>
      <w:marLeft w:val="0"/>
      <w:marRight w:val="0"/>
      <w:marTop w:val="0"/>
      <w:marBottom w:val="0"/>
      <w:divBdr>
        <w:top w:val="none" w:sz="0" w:space="0" w:color="auto"/>
        <w:left w:val="none" w:sz="0" w:space="0" w:color="auto"/>
        <w:bottom w:val="none" w:sz="0" w:space="0" w:color="auto"/>
        <w:right w:val="none" w:sz="0" w:space="0" w:color="auto"/>
      </w:divBdr>
    </w:div>
    <w:div w:id="1046875722">
      <w:bodyDiv w:val="1"/>
      <w:marLeft w:val="0"/>
      <w:marRight w:val="0"/>
      <w:marTop w:val="0"/>
      <w:marBottom w:val="0"/>
      <w:divBdr>
        <w:top w:val="none" w:sz="0" w:space="0" w:color="auto"/>
        <w:left w:val="none" w:sz="0" w:space="0" w:color="auto"/>
        <w:bottom w:val="none" w:sz="0" w:space="0" w:color="auto"/>
        <w:right w:val="none" w:sz="0" w:space="0" w:color="auto"/>
      </w:divBdr>
    </w:div>
    <w:div w:id="1607346725">
      <w:bodyDiv w:val="1"/>
      <w:marLeft w:val="0"/>
      <w:marRight w:val="0"/>
      <w:marTop w:val="0"/>
      <w:marBottom w:val="0"/>
      <w:divBdr>
        <w:top w:val="none" w:sz="0" w:space="0" w:color="auto"/>
        <w:left w:val="none" w:sz="0" w:space="0" w:color="auto"/>
        <w:bottom w:val="none" w:sz="0" w:space="0" w:color="auto"/>
        <w:right w:val="none" w:sz="0" w:space="0" w:color="auto"/>
      </w:divBdr>
    </w:div>
    <w:div w:id="1719628334">
      <w:bodyDiv w:val="1"/>
      <w:marLeft w:val="0"/>
      <w:marRight w:val="0"/>
      <w:marTop w:val="0"/>
      <w:marBottom w:val="0"/>
      <w:divBdr>
        <w:top w:val="none" w:sz="0" w:space="0" w:color="auto"/>
        <w:left w:val="none" w:sz="0" w:space="0" w:color="auto"/>
        <w:bottom w:val="none" w:sz="0" w:space="0" w:color="auto"/>
        <w:right w:val="none" w:sz="0" w:space="0" w:color="auto"/>
      </w:divBdr>
    </w:div>
    <w:div w:id="2081361714">
      <w:bodyDiv w:val="1"/>
      <w:marLeft w:val="0"/>
      <w:marRight w:val="0"/>
      <w:marTop w:val="0"/>
      <w:marBottom w:val="0"/>
      <w:divBdr>
        <w:top w:val="none" w:sz="0" w:space="0" w:color="auto"/>
        <w:left w:val="none" w:sz="0" w:space="0" w:color="auto"/>
        <w:bottom w:val="none" w:sz="0" w:space="0" w:color="auto"/>
        <w:right w:val="none" w:sz="0" w:space="0" w:color="auto"/>
      </w:divBdr>
      <w:divsChild>
        <w:div w:id="7182409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image" Target="media/image17.emf"/><Relationship Id="rId21" Type="http://schemas.openxmlformats.org/officeDocument/2006/relationships/hyperlink" Target="http://3csep.ceu.edu/projects/employment-impacts-of-a-large-scale-deep-building-energy-retrofit-programme-in-hungary"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tutor2u.net/economics/revision-notes/as-macro-multiplier-accelerator.html" TargetMode="External"/><Relationship Id="rId11" Type="http://schemas.openxmlformats.org/officeDocument/2006/relationships/endnotes" Target="endnotes.xml"/><Relationship Id="rId24" Type="http://schemas.openxmlformats.org/officeDocument/2006/relationships/hyperlink" Target="http://3csep.ceu.edu/projects/employment-impacts-of-a-large-scale-deep-building-energy-retrofit-programme-in-hungary"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http://www.seai.ie/News_Events/End_of_Year_Statement_2012.pdf" TargetMode="External"/><Relationship Id="rId28" Type="http://schemas.openxmlformats.org/officeDocument/2006/relationships/oleObject" Target="embeddings/oleObject2.bin"/><Relationship Id="rId36" Type="http://schemas.openxmlformats.org/officeDocument/2006/relationships/image" Target="media/image14.png"/><Relationship Id="rId49" Type="http://schemas.openxmlformats.org/officeDocument/2006/relationships/image" Target="media/image27.emf"/><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hyperlink" Target="http://tutor2u.net/economics/revision-notes/as-macro-multiplier-accelerator.html" TargetMode="External"/><Relationship Id="rId30" Type="http://schemas.openxmlformats.org/officeDocument/2006/relationships/chart" Target="charts/chart2.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8.w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www.seai.ie/News_Events/End_of_Year_Statement_2012.pdf" TargetMode="External"/><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www.mgipu.hr/doc/Propisi/Program_EO_VS_ZGRADE.pdf" TargetMode="External"/><Relationship Id="rId18" Type="http://schemas.openxmlformats.org/officeDocument/2006/relationships/hyperlink" Target="http://narodne-novine.nn.hr/clanci/sluzbeni/2013_12_153_3221.html" TargetMode="External"/><Relationship Id="rId26" Type="http://schemas.openxmlformats.org/officeDocument/2006/relationships/hyperlink" Target="http://www.dzs.hr/" TargetMode="External"/><Relationship Id="rId39" Type="http://schemas.openxmlformats.org/officeDocument/2006/relationships/hyperlink" Target="http://www.enu.fzoeu.hr/ee-savjeti/pasivne-i-niskoenergetske-kuce" TargetMode="External"/><Relationship Id="rId21" Type="http://schemas.openxmlformats.org/officeDocument/2006/relationships/hyperlink" Target="http://www.mgipu.hr" TargetMode="External"/><Relationship Id="rId34" Type="http://schemas.openxmlformats.org/officeDocument/2006/relationships/hyperlink" Target="http://narodne-novine.nn.hr/clanci/sluzbeni/2014_03_35_629.html" TargetMode="External"/><Relationship Id="rId42" Type="http://schemas.openxmlformats.org/officeDocument/2006/relationships/hyperlink" Target="http://narodne-novine.nn.hr/clanci/sluzbeni/2012_04_49_1176.html" TargetMode="External"/><Relationship Id="rId47" Type="http://schemas.openxmlformats.org/officeDocument/2006/relationships/hyperlink" Target="http://narodne-novine.nn.hr/clanci/sluzbeni/2012_04_49_1172.html" TargetMode="External"/><Relationship Id="rId50" Type="http://schemas.openxmlformats.org/officeDocument/2006/relationships/hyperlink" Target="http://narodne-novine.nn.hr/clanci/sluzbeni/2014_08_105_2039.html" TargetMode="External"/><Relationship Id="rId55" Type="http://schemas.openxmlformats.org/officeDocument/2006/relationships/hyperlink" Target="http://narodne-novine.nn.hr/clanci/sluzbeni/2014_08_105_2034.html" TargetMode="External"/><Relationship Id="rId63" Type="http://schemas.openxmlformats.org/officeDocument/2006/relationships/hyperlink" Target="http://eur-lex.europa.eu/eli/dir/2002/91/oj" TargetMode="External"/><Relationship Id="rId68" Type="http://schemas.openxmlformats.org/officeDocument/2006/relationships/hyperlink" Target="http://www.strukturnifondovi.hr/UserDocsImages/Publikacije/Instrument_pretpristupne_pomoci_IPA.pdf" TargetMode="External"/><Relationship Id="rId76" Type="http://schemas.openxmlformats.org/officeDocument/2006/relationships/hyperlink" Target="http://www.hamagbicro.hr/inovacije/javni-sektor/test/" TargetMode="External"/><Relationship Id="rId84" Type="http://schemas.openxmlformats.org/officeDocument/2006/relationships/hyperlink" Target="http://narodne-novine.nn.hr/clanci/sluzbeni/1997_06_64_1002.html" TargetMode="External"/><Relationship Id="rId89" Type="http://schemas.openxmlformats.org/officeDocument/2006/relationships/hyperlink" Target="https://ec.europa.eu/eip/ageing/library/2015-ageing-report-economic-and-budgetary-projections-28-eu-member-states-2013-2060_en" TargetMode="External"/><Relationship Id="rId7" Type="http://schemas.openxmlformats.org/officeDocument/2006/relationships/hyperlink" Target="http://eur-lex.europa.eu/legal-content/HR/TXT/?uri=CELEX%3A32009L0028" TargetMode="External"/><Relationship Id="rId71" Type="http://schemas.openxmlformats.org/officeDocument/2006/relationships/hyperlink" Target="http://www.obzor2020.hr/" TargetMode="External"/><Relationship Id="rId92" Type="http://schemas.openxmlformats.org/officeDocument/2006/relationships/hyperlink" Target="http://econpapers.repec.org/article/eeeecosys/v_3a38_3ay_3a2014_3ai_3a3_3ap_3a433-450.htm" TargetMode="External"/><Relationship Id="rId2" Type="http://schemas.openxmlformats.org/officeDocument/2006/relationships/hyperlink" Target="http://narodne-novine.nn.hr/clanci/sluzbeni/2014_10_127_2399.html" TargetMode="External"/><Relationship Id="rId16" Type="http://schemas.openxmlformats.org/officeDocument/2006/relationships/hyperlink" Target="http://narodne-novine.nn.hr/clanci/sluzbeni/2017_03_22_508.html" TargetMode="External"/><Relationship Id="rId29" Type="http://schemas.openxmlformats.org/officeDocument/2006/relationships/hyperlink" Target="http://narodne-novine.nn.hr/clanci/sluzbeni/2013_06_80_1655.html" TargetMode="External"/><Relationship Id="rId11" Type="http://schemas.openxmlformats.org/officeDocument/2006/relationships/hyperlink" Target="http://www.mingo.hr/public/3%20Nacionalni_akcijski_plan.pdf" TargetMode="External"/><Relationship Id="rId24" Type="http://schemas.openxmlformats.org/officeDocument/2006/relationships/hyperlink" Target="http://cei.hr/smiv-sustav-mjerenje-pracenje-i-verifikaciju-usteda-energije/" TargetMode="External"/><Relationship Id="rId32" Type="http://schemas.openxmlformats.org/officeDocument/2006/relationships/hyperlink" Target="http://narodne-novine.nn.hr/clanci/sluzbeni/2014_03_35_628.html" TargetMode="External"/><Relationship Id="rId37" Type="http://schemas.openxmlformats.org/officeDocument/2006/relationships/hyperlink" Target="http://narodne-novine.nn.hr/clanci/sluzbeni/2012_10_120_2583.html" TargetMode="External"/><Relationship Id="rId40" Type="http://schemas.openxmlformats.org/officeDocument/2006/relationships/hyperlink" Target="http://www.iea.org/statistics/statisticssearch/report/?country=CROATIA&amp;product=Balances&amp;year=2014" TargetMode="External"/><Relationship Id="rId45" Type="http://schemas.openxmlformats.org/officeDocument/2006/relationships/hyperlink" Target="file:///C:\Users\Vsegon\AppData\Local\Microsoft\Windows\INetCache\Content.Outlook\35GY798G\Odluka%20o%20visini%20tarifni%20stavki%20u%20Tarifnom%20sustavu%20za%20opskrbu%20prirodnim%20plinom,%20s%20iznimkom%20povla&#353;tenih%20kupaca,%20bez%20visine%20tarifni%20stavki%20(" TargetMode="External"/><Relationship Id="rId53" Type="http://schemas.openxmlformats.org/officeDocument/2006/relationships/hyperlink" Target="http://narodne-novine.nn.hr/clanci/sluzbeni/2014_08_105_2036.html" TargetMode="External"/><Relationship Id="rId58" Type="http://schemas.openxmlformats.org/officeDocument/2006/relationships/hyperlink" Target="http://narodne-novine.nn.hr/clanci/sluzbeni/2014_08_105_2031.html" TargetMode="External"/><Relationship Id="rId66" Type="http://schemas.openxmlformats.org/officeDocument/2006/relationships/hyperlink" Target="http://www.mgipu.hr/doc/EnergetskaUcinkovitost/FAKTORI_primarne_energije-do.29.9.2017.pdf" TargetMode="External"/><Relationship Id="rId74" Type="http://schemas.openxmlformats.org/officeDocument/2006/relationships/hyperlink" Target="http://www.wb-reep.org/" TargetMode="External"/><Relationship Id="rId79" Type="http://schemas.openxmlformats.org/officeDocument/2006/relationships/hyperlink" Target="http://www.strukturnifondovi.hr/natjecaji/1276" TargetMode="External"/><Relationship Id="rId87" Type="http://schemas.openxmlformats.org/officeDocument/2006/relationships/hyperlink" Target="http://www.ijf.hr/upload/files/file/projekti/Analiza_sustava_poticanja_stambene_stednje_u_Republici_Hrvatskoj.pdf" TargetMode="External"/><Relationship Id="rId5" Type="http://schemas.openxmlformats.org/officeDocument/2006/relationships/hyperlink" Target="http://eur-lex.europa.eu/legal-content/HR/TXT/?uri=COM%3A2016%3A765%3AFIN" TargetMode="External"/><Relationship Id="rId61" Type="http://schemas.openxmlformats.org/officeDocument/2006/relationships/hyperlink" Target="http://www.hak.hr/info/cijene-goriva/" TargetMode="External"/><Relationship Id="rId82" Type="http://schemas.openxmlformats.org/officeDocument/2006/relationships/hyperlink" Target="http://buildupon.eu/hr/" TargetMode="External"/><Relationship Id="rId90" Type="http://schemas.openxmlformats.org/officeDocument/2006/relationships/hyperlink" Target="http://www.dzs.hr/Hrv_Eng/publication/2016/09-02-01_01_2016.htm" TargetMode="External"/><Relationship Id="rId19" Type="http://schemas.openxmlformats.org/officeDocument/2006/relationships/hyperlink" Target="http://narodne-novine.nn.hr/clanci/sluzbeni/2013_12_153_3220.html" TargetMode="External"/><Relationship Id="rId14" Type="http://schemas.openxmlformats.org/officeDocument/2006/relationships/hyperlink" Target="http://narodne-novine.nn.hr/clanci/sluzbeni/dodatni/432768.pdf" TargetMode="External"/><Relationship Id="rId22" Type="http://schemas.openxmlformats.org/officeDocument/2006/relationships/hyperlink" Target="http://www.mgipu.hr/doc/EnergetskaUcinkovitost/METODOLOGIJA_EPG.pdf" TargetMode="External"/><Relationship Id="rId27" Type="http://schemas.openxmlformats.org/officeDocument/2006/relationships/hyperlink" Target="http://narodne-novine.nn.hr/clanci/sluzbeni/2015_09_100_1937.html" TargetMode="External"/><Relationship Id="rId30" Type="http://schemas.openxmlformats.org/officeDocument/2006/relationships/hyperlink" Target="http://narodne-novine.nn.hr/clanci/sluzbeni/2013_06_80_1655.html" TargetMode="External"/><Relationship Id="rId35" Type="http://schemas.openxmlformats.org/officeDocument/2006/relationships/hyperlink" Target="http://narodne-novine.nn.hr/clanci/sluzbeni/2014_03_35_629.html" TargetMode="External"/><Relationship Id="rId43" Type="http://schemas.openxmlformats.org/officeDocument/2006/relationships/hyperlink" Target="http://narodne-novine.nn.hr/clanci/sluzbeni/2015_12_134_2533.html" TargetMode="External"/><Relationship Id="rId48" Type="http://schemas.openxmlformats.org/officeDocument/2006/relationships/hyperlink" Target="http://narodne-novine.nn.hr/clanci/sluzbeni/2017_03_26_585.html" TargetMode="External"/><Relationship Id="rId56" Type="http://schemas.openxmlformats.org/officeDocument/2006/relationships/hyperlink" Target="http://narodne-novine.nn.hr/clanci/sluzbeni/2014_08_105_2033.html" TargetMode="External"/><Relationship Id="rId64" Type="http://schemas.openxmlformats.org/officeDocument/2006/relationships/hyperlink" Target="http://eur-lex.europa.eu/legal-content/HR/TXT/?uri=celex%3A32012R0244" TargetMode="External"/><Relationship Id="rId69" Type="http://schemas.openxmlformats.org/officeDocument/2006/relationships/hyperlink" Target="http://www.concertoplus.eu/" TargetMode="External"/><Relationship Id="rId77" Type="http://schemas.openxmlformats.org/officeDocument/2006/relationships/hyperlink" Target="http://www.mingo.hr/userdocsimages/STRATE%C5%A0KI%20PLAN%20MINGO%202013-2015%20kona%C4%8Dno.doc" TargetMode="External"/><Relationship Id="rId8" Type="http://schemas.openxmlformats.org/officeDocument/2006/relationships/hyperlink" Target="http://www.mgipu.hr/doc/Propisi/PLAN_PBZ_0_energije_do_2020.pdf" TargetMode="External"/><Relationship Id="rId51" Type="http://schemas.openxmlformats.org/officeDocument/2006/relationships/hyperlink" Target="http://narodne-novine.nn.hr/clanci/sluzbeni/2014_08_105_2038.html" TargetMode="External"/><Relationship Id="rId72" Type="http://schemas.openxmlformats.org/officeDocument/2006/relationships/hyperlink" Target="http://www.fzoeu.hr/hr/energetska_ucinkovitost/enu_u_zgradarstvu/" TargetMode="External"/><Relationship Id="rId80" Type="http://schemas.openxmlformats.org/officeDocument/2006/relationships/hyperlink" Target="http://www.eco-sandwich.hr/hr/" TargetMode="External"/><Relationship Id="rId85" Type="http://schemas.openxmlformats.org/officeDocument/2006/relationships/hyperlink" Target="http://www.mgipu.hr/" TargetMode="External"/><Relationship Id="rId3" Type="http://schemas.openxmlformats.org/officeDocument/2006/relationships/hyperlink" Target="http://ec.europa.eu/energy/sites/ener/files/documents/2012_energy_roadmap_2050_en_0.pdf" TargetMode="External"/><Relationship Id="rId12" Type="http://schemas.openxmlformats.org/officeDocument/2006/relationships/hyperlink" Target="http://narodne-novine.nn.hr/clanci/sluzbeni/dodatni/431066.pdf" TargetMode="External"/><Relationship Id="rId17" Type="http://schemas.openxmlformats.org/officeDocument/2006/relationships/hyperlink" Target="http://narodne-novine.nn.hr/clanci/sluzbeni/2014_06_74_1397.html" TargetMode="External"/><Relationship Id="rId25" Type="http://schemas.openxmlformats.org/officeDocument/2006/relationships/hyperlink" Target="http://narodne-novine.nn.hr/clanci/sluzbeni/2014_04_48_929.html" TargetMode="External"/><Relationship Id="rId33" Type="http://schemas.openxmlformats.org/officeDocument/2006/relationships/hyperlink" Target="http://narodne-novine.nn.hr/clanci/sluzbeni/2014_03_35_629.html" TargetMode="External"/><Relationship Id="rId38" Type="http://schemas.openxmlformats.org/officeDocument/2006/relationships/hyperlink" Target="http://narodne-novine.nn.hr/clanci/sluzbeni/2013_11_133_2888.html" TargetMode="External"/><Relationship Id="rId46" Type="http://schemas.openxmlformats.org/officeDocument/2006/relationships/hyperlink" Target="http://narodne-novine.nn.hr/clanci/sluzbeni/2012_08_99_2199.html" TargetMode="External"/><Relationship Id="rId59" Type="http://schemas.openxmlformats.org/officeDocument/2006/relationships/hyperlink" Target="http://narodne-novine.nn.hr/clanci/sluzbeni/2014_08_105_2030.html" TargetMode="External"/><Relationship Id="rId67" Type="http://schemas.openxmlformats.org/officeDocument/2006/relationships/hyperlink" Target="https://www.mingo.hr/public/investicije/OPKK_2014_2020_31316.pdf%20%5b2017" TargetMode="External"/><Relationship Id="rId20" Type="http://schemas.openxmlformats.org/officeDocument/2006/relationships/hyperlink" Target="http://narodne-novine.nn.hr/clanci/sluzbeni/2015_11_128_2428.html" TargetMode="External"/><Relationship Id="rId41" Type="http://schemas.openxmlformats.org/officeDocument/2006/relationships/hyperlink" Target="http://narodne-novine.nn.hr/clanci/sluzbeni/2015_06_63_1219.html" TargetMode="External"/><Relationship Id="rId54" Type="http://schemas.openxmlformats.org/officeDocument/2006/relationships/hyperlink" Target="http://narodne-novine.nn.hr/clanci/sluzbeni/2014_08_105_2035.html" TargetMode="External"/><Relationship Id="rId62" Type="http://schemas.openxmlformats.org/officeDocument/2006/relationships/hyperlink" Target="https://ec.europa.eu/energy/sites/ener/files/documents/trends_to_2030_update_2009.pdf" TargetMode="External"/><Relationship Id="rId70" Type="http://schemas.openxmlformats.org/officeDocument/2006/relationships/hyperlink" Target="http://ec.europa.eu/cip/" TargetMode="External"/><Relationship Id="rId75" Type="http://schemas.openxmlformats.org/officeDocument/2006/relationships/hyperlink" Target="http://www.enu.fzoeu.hr/" TargetMode="External"/><Relationship Id="rId83" Type="http://schemas.openxmlformats.org/officeDocument/2006/relationships/hyperlink" Target="http://ec.europa.eu/programmes/horizon2020/" TargetMode="External"/><Relationship Id="rId88" Type="http://schemas.openxmlformats.org/officeDocument/2006/relationships/hyperlink" Target="http://eur-lex.europa.eu/resource.html?uri=cellar:c382f65d-618a-4c72-9135-1e68087499fa.0006.02/DOC_3&amp;format=PDF" TargetMode="External"/><Relationship Id="rId91" Type="http://schemas.openxmlformats.org/officeDocument/2006/relationships/hyperlink" Target="http://www.dzs.hr/Hrv_Eng/publication/2016/SI-1563.pdf" TargetMode="External"/><Relationship Id="rId1" Type="http://schemas.openxmlformats.org/officeDocument/2006/relationships/hyperlink" Target="http://eur-lex.europa.eu/legal-content/HR/ALL/?uri=celex:32012L0027" TargetMode="External"/><Relationship Id="rId6" Type="http://schemas.openxmlformats.org/officeDocument/2006/relationships/hyperlink" Target="http://eur-lex.europa.eu/legal-content/HR/TXT/?uri=CELEX%3A32010L0031" TargetMode="External"/><Relationship Id="rId15" Type="http://schemas.openxmlformats.org/officeDocument/2006/relationships/hyperlink" Target="http://www.mgipu.hr/doc/EnergetskaUcinkovitost/Program_energetske_obnove_javnih_zgrada_2014-2015.pdf" TargetMode="External"/><Relationship Id="rId23" Type="http://schemas.openxmlformats.org/officeDocument/2006/relationships/hyperlink" Target="http://www.dzs.hr/" TargetMode="External"/><Relationship Id="rId28" Type="http://schemas.openxmlformats.org/officeDocument/2006/relationships/hyperlink" Target="http://www.irena.org/menu/index.aspx?mnu=Subcat&amp;PriMenuID=36&amp;CatID=141&amp;SubcatID=2733" TargetMode="External"/><Relationship Id="rId36" Type="http://schemas.openxmlformats.org/officeDocument/2006/relationships/hyperlink" Target="http://narodne-novine.nn.hr/clanci/sluzbeni/2014_03_35_630.html" TargetMode="External"/><Relationship Id="rId49" Type="http://schemas.openxmlformats.org/officeDocument/2006/relationships/hyperlink" Target="http://narodne-novine.nn.hr/clanci/sluzbeni/2014_08_105_2040.html" TargetMode="External"/><Relationship Id="rId57" Type="http://schemas.openxmlformats.org/officeDocument/2006/relationships/hyperlink" Target="http://narodne-novine.nn.hr/clanci/sluzbeni/2014_08_105_2032.html" TargetMode="External"/><Relationship Id="rId10" Type="http://schemas.openxmlformats.org/officeDocument/2006/relationships/hyperlink" Target="http://www.mingo.hr/userdocsimages/2.%20Nacionalni%20akcijski%20plan%20energetske%20ucinkovitosti%20za%20razdoblje%20do%20kraja%202013.pdf" TargetMode="External"/><Relationship Id="rId31" Type="http://schemas.openxmlformats.org/officeDocument/2006/relationships/hyperlink" Target="http://narodne-novine.nn.hr/clanci/sluzbeni/2014_03_35_628.html" TargetMode="External"/><Relationship Id="rId44" Type="http://schemas.openxmlformats.org/officeDocument/2006/relationships/hyperlink" Target="http://narodne-novine.nn.hr/clanci/sluzbeni/2015_12_134_2532.html" TargetMode="External"/><Relationship Id="rId52" Type="http://schemas.openxmlformats.org/officeDocument/2006/relationships/hyperlink" Target="http://narodne-novine.nn.hr/clanci/sluzbeni/2014_08_105_2037.html" TargetMode="External"/><Relationship Id="rId60" Type="http://schemas.openxmlformats.org/officeDocument/2006/relationships/hyperlink" Target="http://narodne-novine.nn.hr/clanci/sluzbeni/2014_08_105_2029.html" TargetMode="External"/><Relationship Id="rId65" Type="http://schemas.openxmlformats.org/officeDocument/2006/relationships/hyperlink" Target="http://eur-lex.europa.eu/legal-content/EN/ALL/?uri=CELEX:52012XC0419%2802%29" TargetMode="External"/><Relationship Id="rId73" Type="http://schemas.openxmlformats.org/officeDocument/2006/relationships/hyperlink" Target="https://www.hbor.hr/wp-content/uploads/2017/05/Za%C5%A1tita-okoli%C5%A1a-Pk-projekata-za%C5%A1tite-okoli%C5%A1a-energetske-u%C4%8Dinkovitosti%20-1612-1704.pdf" TargetMode="External"/><Relationship Id="rId78" Type="http://schemas.openxmlformats.org/officeDocument/2006/relationships/hyperlink" Target="http://novebojeznanja.hr/UserDocsImages/Dokumenti%20i%20publikacije/Dokumenti%20i%20publikacije%20referirani%20u%20SOZTu%20(popis%201)/146%20Akcijski%20plan%20za%20poticanje%20ulaganja%20u%20znanost%20i%20istra%C5%BEivanje.pdf" TargetMode="External"/><Relationship Id="rId81" Type="http://schemas.openxmlformats.org/officeDocument/2006/relationships/hyperlink" Target="https://ec.europa.eu/info/funding-tenders_en" TargetMode="External"/><Relationship Id="rId86" Type="http://schemas.openxmlformats.org/officeDocument/2006/relationships/hyperlink" Target="http://www.mgipu.hr/" TargetMode="External"/><Relationship Id="rId4" Type="http://schemas.openxmlformats.org/officeDocument/2006/relationships/hyperlink" Target="http://ec.europa.eu/energy/publications/doc/2012_energy_roadmap_2050_en.pdf" TargetMode="External"/><Relationship Id="rId9" Type="http://schemas.openxmlformats.org/officeDocument/2006/relationships/hyperlink" Target="http://www.mingo.hr/userdocsimages/energetika/Nacionalni%20program%20energetske%20u%C4%8Dinkovitosti%202008.%20-%202010..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velimirsonje\Downloads\h-j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marker>
            <c:symbol val="none"/>
          </c:marker>
          <c:cat>
            <c:numRef>
              <c:f>Sheet1!$E$3:$E$24</c:f>
              <c:numCache>
                <c:formatCode>0</c:formatCode>
                <c:ptCount val="22"/>
                <c:pt idx="0">
                  <c:v>210.66092715231801</c:v>
                </c:pt>
                <c:pt idx="1">
                  <c:v>231.72701986754981</c:v>
                </c:pt>
                <c:pt idx="2">
                  <c:v>254.89972185430469</c:v>
                </c:pt>
                <c:pt idx="3">
                  <c:v>280.38969403973528</c:v>
                </c:pt>
                <c:pt idx="4">
                  <c:v>308.42866344370879</c:v>
                </c:pt>
                <c:pt idx="5">
                  <c:v>339.27152978807851</c:v>
                </c:pt>
                <c:pt idx="6">
                  <c:v>373.19868276688771</c:v>
                </c:pt>
                <c:pt idx="7">
                  <c:v>410.51855104357651</c:v>
                </c:pt>
                <c:pt idx="8">
                  <c:v>451.57040614793419</c:v>
                </c:pt>
                <c:pt idx="9">
                  <c:v>496.72744676272771</c:v>
                </c:pt>
                <c:pt idx="10">
                  <c:v>546.40019143900042</c:v>
                </c:pt>
                <c:pt idx="11">
                  <c:v>601.04021058289936</c:v>
                </c:pt>
                <c:pt idx="12">
                  <c:v>661.14423164119057</c:v>
                </c:pt>
                <c:pt idx="13">
                  <c:v>727.25865480530854</c:v>
                </c:pt>
                <c:pt idx="14">
                  <c:v>799.9845202858404</c:v>
                </c:pt>
                <c:pt idx="15">
                  <c:v>879.98297231442439</c:v>
                </c:pt>
                <c:pt idx="16">
                  <c:v>967.98126954586735</c:v>
                </c:pt>
                <c:pt idx="17">
                  <c:v>1064.7793965004539</c:v>
                </c:pt>
                <c:pt idx="18">
                  <c:v>1171.2573361504999</c:v>
                </c:pt>
                <c:pt idx="19">
                  <c:v>1288.3830697655501</c:v>
                </c:pt>
                <c:pt idx="20">
                  <c:v>1417.2213767421049</c:v>
                </c:pt>
                <c:pt idx="21">
                  <c:v>1558.9435144163151</c:v>
                </c:pt>
              </c:numCache>
            </c:numRef>
          </c:cat>
          <c:val>
            <c:numRef>
              <c:f>Sheet1!$F$3:$F$24</c:f>
              <c:numCache>
                <c:formatCode>0</c:formatCode>
                <c:ptCount val="22"/>
                <c:pt idx="0">
                  <c:v>13.4953834981672</c:v>
                </c:pt>
                <c:pt idx="1">
                  <c:v>12.75927167099448</c:v>
                </c:pt>
                <c:pt idx="2">
                  <c:v>12.063311398031139</c:v>
                </c:pt>
                <c:pt idx="3">
                  <c:v>11.40531259450217</c:v>
                </c:pt>
                <c:pt idx="4">
                  <c:v>10.78320463480202</c:v>
                </c:pt>
                <c:pt idx="5">
                  <c:v>10.19502983654011</c:v>
                </c:pt>
                <c:pt idx="6">
                  <c:v>9.6389373000015599</c:v>
                </c:pt>
                <c:pt idx="7">
                  <c:v>9.1131770836378347</c:v>
                </c:pt>
                <c:pt idx="8">
                  <c:v>8.6160946972575925</c:v>
                </c:pt>
                <c:pt idx="9">
                  <c:v>8.1461258955889804</c:v>
                </c:pt>
                <c:pt idx="10">
                  <c:v>7.7017917558296096</c:v>
                </c:pt>
                <c:pt idx="11">
                  <c:v>7.28169402369344</c:v>
                </c:pt>
                <c:pt idx="12">
                  <c:v>6.8845107133101546</c:v>
                </c:pt>
                <c:pt idx="13">
                  <c:v>6.5089919471295863</c:v>
                </c:pt>
                <c:pt idx="14">
                  <c:v>6.1539560227407062</c:v>
                </c:pt>
                <c:pt idx="15">
                  <c:v>5.8182856942275816</c:v>
                </c:pt>
                <c:pt idx="16">
                  <c:v>5.5009246563606284</c:v>
                </c:pt>
                <c:pt idx="17">
                  <c:v>5.2008742205591387</c:v>
                </c:pt>
                <c:pt idx="18">
                  <c:v>4.9171901721650064</c:v>
                </c:pt>
                <c:pt idx="19">
                  <c:v>4.6489797991378241</c:v>
                </c:pt>
                <c:pt idx="20">
                  <c:v>4.3953990828212204</c:v>
                </c:pt>
                <c:pt idx="21">
                  <c:v>4.1556500419400546</c:v>
                </c:pt>
              </c:numCache>
            </c:numRef>
          </c:val>
          <c:smooth val="0"/>
          <c:extLst>
            <c:ext xmlns:c16="http://schemas.microsoft.com/office/drawing/2014/chart" uri="{C3380CC4-5D6E-409C-BE32-E72D297353CC}">
              <c16:uniqueId val="{00000000-DFCE-4ACE-8B61-176B1289EBF8}"/>
            </c:ext>
          </c:extLst>
        </c:ser>
        <c:dLbls>
          <c:showLegendKey val="0"/>
          <c:showVal val="0"/>
          <c:showCatName val="0"/>
          <c:showSerName val="0"/>
          <c:showPercent val="0"/>
          <c:showBubbleSize val="0"/>
        </c:dLbls>
        <c:smooth val="0"/>
        <c:axId val="110418944"/>
        <c:axId val="118803456"/>
      </c:lineChart>
      <c:catAx>
        <c:axId val="110418944"/>
        <c:scaling>
          <c:orientation val="minMax"/>
        </c:scaling>
        <c:delete val="0"/>
        <c:axPos val="b"/>
        <c:title>
          <c:tx>
            <c:rich>
              <a:bodyPr/>
              <a:lstStyle/>
              <a:p>
                <a:pPr>
                  <a:defRPr/>
                </a:pPr>
                <a:r>
                  <a:rPr lang="hr-HR"/>
                  <a:t>Prosječni</a:t>
                </a:r>
                <a:r>
                  <a:rPr lang="hr-HR" baseline="0"/>
                  <a:t> kvartalni iznos ulaganja u milijunima €</a:t>
                </a:r>
                <a:endParaRPr lang="hr-HR"/>
              </a:p>
            </c:rich>
          </c:tx>
          <c:overlay val="0"/>
        </c:title>
        <c:numFmt formatCode="0" sourceLinked="1"/>
        <c:majorTickMark val="out"/>
        <c:minorTickMark val="none"/>
        <c:tickLblPos val="nextTo"/>
        <c:crossAx val="118803456"/>
        <c:crosses val="autoZero"/>
        <c:auto val="1"/>
        <c:lblAlgn val="ctr"/>
        <c:lblOffset val="100"/>
        <c:noMultiLvlLbl val="0"/>
      </c:catAx>
      <c:valAx>
        <c:axId val="118803456"/>
        <c:scaling>
          <c:orientation val="minMax"/>
        </c:scaling>
        <c:delete val="0"/>
        <c:axPos val="l"/>
        <c:majorGridlines/>
        <c:title>
          <c:tx>
            <c:rich>
              <a:bodyPr rot="-5400000" vert="horz"/>
              <a:lstStyle/>
              <a:p>
                <a:pPr>
                  <a:defRPr/>
                </a:pPr>
                <a:r>
                  <a:rPr lang="hr-HR"/>
                  <a:t>Otvorena radna mjesta na milijun € povećanja ulaganja</a:t>
                </a:r>
              </a:p>
            </c:rich>
          </c:tx>
          <c:overlay val="0"/>
        </c:title>
        <c:numFmt formatCode="0" sourceLinked="1"/>
        <c:majorTickMark val="out"/>
        <c:minorTickMark val="none"/>
        <c:tickLblPos val="nextTo"/>
        <c:crossAx val="110418944"/>
        <c:crosses val="autoZero"/>
        <c:crossBetween val="between"/>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Ukupno</c:v>
          </c:tx>
          <c:spPr>
            <a:ln w="28575" cap="rnd">
              <a:solidFill>
                <a:schemeClr val="accent2"/>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HRV!$D$8:$D$16</c:f>
              <c:numCache>
                <c:formatCode>#,##0.00</c:formatCode>
                <c:ptCount val="9"/>
                <c:pt idx="0">
                  <c:v>112.37</c:v>
                </c:pt>
                <c:pt idx="1">
                  <c:v>106.76</c:v>
                </c:pt>
                <c:pt idx="2">
                  <c:v>100</c:v>
                </c:pt>
                <c:pt idx="3">
                  <c:v>100.18</c:v>
                </c:pt>
                <c:pt idx="4">
                  <c:v>98.61</c:v>
                </c:pt>
                <c:pt idx="5">
                  <c:v>94.71</c:v>
                </c:pt>
                <c:pt idx="6">
                  <c:v>93.22</c:v>
                </c:pt>
                <c:pt idx="7">
                  <c:v>90.52</c:v>
                </c:pt>
                <c:pt idx="8">
                  <c:v>91.33</c:v>
                </c:pt>
              </c:numCache>
            </c:numRef>
          </c:val>
          <c:smooth val="0"/>
          <c:extLst>
            <c:ext xmlns:c16="http://schemas.microsoft.com/office/drawing/2014/chart" uri="{C3380CC4-5D6E-409C-BE32-E72D297353CC}">
              <c16:uniqueId val="{00000000-731B-45DE-9A9A-09050868A185}"/>
            </c:ext>
          </c:extLst>
        </c:ser>
        <c:ser>
          <c:idx val="2"/>
          <c:order val="1"/>
          <c:tx>
            <c:v>Novi</c:v>
          </c:tx>
          <c:spPr>
            <a:ln w="28575" cap="rnd">
              <a:solidFill>
                <a:schemeClr val="accent3"/>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HRV!$E$8:$E$16</c:f>
              <c:numCache>
                <c:formatCode>#,##0.00</c:formatCode>
                <c:ptCount val="9"/>
                <c:pt idx="0">
                  <c:v>110.84</c:v>
                </c:pt>
                <c:pt idx="1">
                  <c:v>108.51</c:v>
                </c:pt>
                <c:pt idx="2">
                  <c:v>100</c:v>
                </c:pt>
                <c:pt idx="3">
                  <c:v>101.77</c:v>
                </c:pt>
                <c:pt idx="4">
                  <c:v>101.5</c:v>
                </c:pt>
                <c:pt idx="5">
                  <c:v>98</c:v>
                </c:pt>
                <c:pt idx="6">
                  <c:v>95.92</c:v>
                </c:pt>
                <c:pt idx="7">
                  <c:v>90.02</c:v>
                </c:pt>
                <c:pt idx="8">
                  <c:v>86.96</c:v>
                </c:pt>
              </c:numCache>
            </c:numRef>
          </c:val>
          <c:smooth val="0"/>
          <c:extLst>
            <c:ext xmlns:c16="http://schemas.microsoft.com/office/drawing/2014/chart" uri="{C3380CC4-5D6E-409C-BE32-E72D297353CC}">
              <c16:uniqueId val="{00000001-731B-45DE-9A9A-09050868A185}"/>
            </c:ext>
          </c:extLst>
        </c:ser>
        <c:ser>
          <c:idx val="3"/>
          <c:order val="2"/>
          <c:tx>
            <c:v>Postojeći</c:v>
          </c:tx>
          <c:spPr>
            <a:ln w="28575" cap="rnd">
              <a:solidFill>
                <a:schemeClr val="accent4"/>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HRV!$F$8:$F$16</c:f>
              <c:numCache>
                <c:formatCode>#,##0.00</c:formatCode>
                <c:ptCount val="9"/>
                <c:pt idx="0">
                  <c:v>113.24</c:v>
                </c:pt>
                <c:pt idx="1">
                  <c:v>105.52</c:v>
                </c:pt>
                <c:pt idx="2">
                  <c:v>100</c:v>
                </c:pt>
                <c:pt idx="3">
                  <c:v>99.01</c:v>
                </c:pt>
                <c:pt idx="4">
                  <c:v>96.51</c:v>
                </c:pt>
                <c:pt idx="5">
                  <c:v>92.41</c:v>
                </c:pt>
                <c:pt idx="6">
                  <c:v>91.24</c:v>
                </c:pt>
                <c:pt idx="7">
                  <c:v>89.95</c:v>
                </c:pt>
                <c:pt idx="8">
                  <c:v>91.57</c:v>
                </c:pt>
              </c:numCache>
            </c:numRef>
          </c:val>
          <c:smooth val="0"/>
          <c:extLst>
            <c:ext xmlns:c16="http://schemas.microsoft.com/office/drawing/2014/chart" uri="{C3380CC4-5D6E-409C-BE32-E72D297353CC}">
              <c16:uniqueId val="{00000002-731B-45DE-9A9A-09050868A185}"/>
            </c:ext>
          </c:extLst>
        </c:ser>
        <c:ser>
          <c:idx val="4"/>
          <c:order val="3"/>
          <c:tx>
            <c:v>Zagreb</c:v>
          </c:tx>
          <c:spPr>
            <a:ln w="28575" cap="rnd">
              <a:solidFill>
                <a:schemeClr val="accent5"/>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HRV!$G$8:$G$16</c:f>
              <c:numCache>
                <c:formatCode>#,##0.00</c:formatCode>
                <c:ptCount val="9"/>
                <c:pt idx="0">
                  <c:v>117.94</c:v>
                </c:pt>
                <c:pt idx="1">
                  <c:v>109.72</c:v>
                </c:pt>
                <c:pt idx="2">
                  <c:v>100</c:v>
                </c:pt>
                <c:pt idx="3">
                  <c:v>99.63</c:v>
                </c:pt>
                <c:pt idx="4">
                  <c:v>97.68</c:v>
                </c:pt>
                <c:pt idx="5">
                  <c:v>91.98</c:v>
                </c:pt>
                <c:pt idx="6">
                  <c:v>90.8</c:v>
                </c:pt>
                <c:pt idx="7">
                  <c:v>88.87</c:v>
                </c:pt>
                <c:pt idx="8">
                  <c:v>89.5</c:v>
                </c:pt>
              </c:numCache>
            </c:numRef>
          </c:val>
          <c:smooth val="0"/>
          <c:extLst>
            <c:ext xmlns:c16="http://schemas.microsoft.com/office/drawing/2014/chart" uri="{C3380CC4-5D6E-409C-BE32-E72D297353CC}">
              <c16:uniqueId val="{00000003-731B-45DE-9A9A-09050868A185}"/>
            </c:ext>
          </c:extLst>
        </c:ser>
        <c:ser>
          <c:idx val="5"/>
          <c:order val="4"/>
          <c:tx>
            <c:v>Jadran</c:v>
          </c:tx>
          <c:spPr>
            <a:ln w="28575" cap="rnd">
              <a:solidFill>
                <a:schemeClr val="accent6"/>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HRV!$H$8:$H$16</c:f>
              <c:numCache>
                <c:formatCode>#,##0.00</c:formatCode>
                <c:ptCount val="9"/>
                <c:pt idx="0">
                  <c:v>108.18</c:v>
                </c:pt>
                <c:pt idx="1">
                  <c:v>104.55</c:v>
                </c:pt>
                <c:pt idx="2">
                  <c:v>100</c:v>
                </c:pt>
                <c:pt idx="3">
                  <c:v>101.19</c:v>
                </c:pt>
                <c:pt idx="4">
                  <c:v>99.4</c:v>
                </c:pt>
                <c:pt idx="5">
                  <c:v>96.46</c:v>
                </c:pt>
                <c:pt idx="6">
                  <c:v>94.49</c:v>
                </c:pt>
                <c:pt idx="7">
                  <c:v>91.41</c:v>
                </c:pt>
                <c:pt idx="8">
                  <c:v>92.62</c:v>
                </c:pt>
              </c:numCache>
            </c:numRef>
          </c:val>
          <c:smooth val="0"/>
          <c:extLst>
            <c:ext xmlns:c16="http://schemas.microsoft.com/office/drawing/2014/chart" uri="{C3380CC4-5D6E-409C-BE32-E72D297353CC}">
              <c16:uniqueId val="{00000004-731B-45DE-9A9A-09050868A185}"/>
            </c:ext>
          </c:extLst>
        </c:ser>
        <c:ser>
          <c:idx val="6"/>
          <c:order val="5"/>
          <c:tx>
            <c:v>Ostalo</c:v>
          </c:tx>
          <c:spPr>
            <a:ln w="28575" cap="rnd">
              <a:solidFill>
                <a:schemeClr val="accent1">
                  <a:lumMod val="60000"/>
                </a:schemeClr>
              </a:solidFill>
              <a:round/>
            </a:ln>
            <a:effectLst/>
          </c:spPr>
          <c:marker>
            <c:symbol val="none"/>
          </c:marker>
          <c:cat>
            <c:strRef>
              <c:f>HRV!$B$8:$B$16</c:f>
              <c:strCache>
                <c:ptCount val="9"/>
                <c:pt idx="0">
                  <c:v>2008.</c:v>
                </c:pt>
                <c:pt idx="1">
                  <c:v>2009.</c:v>
                </c:pt>
                <c:pt idx="2">
                  <c:v>2010.</c:v>
                </c:pt>
                <c:pt idx="3">
                  <c:v>2011.</c:v>
                </c:pt>
                <c:pt idx="4">
                  <c:v>2012.</c:v>
                </c:pt>
                <c:pt idx="5">
                  <c:v>2013.</c:v>
                </c:pt>
                <c:pt idx="6">
                  <c:v>2014.</c:v>
                </c:pt>
                <c:pt idx="7">
                  <c:v>2015.</c:v>
                </c:pt>
                <c:pt idx="8">
                  <c:v>2016.</c:v>
                </c:pt>
              </c:strCache>
            </c:strRef>
          </c:cat>
          <c:val>
            <c:numRef>
              <c:f>HRV!$I$8:$I$16</c:f>
              <c:numCache>
                <c:formatCode>#,##0.00</c:formatCode>
                <c:ptCount val="9"/>
                <c:pt idx="0">
                  <c:v>107.66</c:v>
                </c:pt>
                <c:pt idx="1">
                  <c:v>104.15</c:v>
                </c:pt>
                <c:pt idx="2">
                  <c:v>100</c:v>
                </c:pt>
                <c:pt idx="3">
                  <c:v>99.51</c:v>
                </c:pt>
                <c:pt idx="4">
                  <c:v>99.04</c:v>
                </c:pt>
                <c:pt idx="5">
                  <c:v>94.98</c:v>
                </c:pt>
                <c:pt idx="6">
                  <c:v>94.23</c:v>
                </c:pt>
                <c:pt idx="7">
                  <c:v>91.669999999999973</c:v>
                </c:pt>
                <c:pt idx="8">
                  <c:v>90.92</c:v>
                </c:pt>
              </c:numCache>
            </c:numRef>
          </c:val>
          <c:smooth val="0"/>
          <c:extLst>
            <c:ext xmlns:c16="http://schemas.microsoft.com/office/drawing/2014/chart" uri="{C3380CC4-5D6E-409C-BE32-E72D297353CC}">
              <c16:uniqueId val="{00000005-731B-45DE-9A9A-09050868A185}"/>
            </c:ext>
          </c:extLst>
        </c:ser>
        <c:dLbls>
          <c:showLegendKey val="0"/>
          <c:showVal val="0"/>
          <c:showCatName val="0"/>
          <c:showSerName val="0"/>
          <c:showPercent val="0"/>
          <c:showBubbleSize val="0"/>
        </c:dLbls>
        <c:smooth val="0"/>
        <c:axId val="82107776"/>
        <c:axId val="82113664"/>
      </c:lineChart>
      <c:catAx>
        <c:axId val="8210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82113664"/>
        <c:crosses val="autoZero"/>
        <c:auto val="1"/>
        <c:lblAlgn val="ctr"/>
        <c:lblOffset val="100"/>
        <c:noMultiLvlLbl val="0"/>
      </c:catAx>
      <c:valAx>
        <c:axId val="8211366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crossAx val="8210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0.54491</cdr:x>
      <cdr:y>0.52179</cdr:y>
    </cdr:from>
    <cdr:to>
      <cdr:x>0.94283</cdr:x>
      <cdr:y>0.52179</cdr:y>
    </cdr:to>
    <cdr:cxnSp macro="">
      <cdr:nvCxnSpPr>
        <cdr:cNvPr id="3" name="Straight Connector 2"/>
        <cdr:cNvCxnSpPr/>
      </cdr:nvCxnSpPr>
      <cdr:spPr>
        <a:xfrm xmlns:a="http://schemas.openxmlformats.org/drawingml/2006/main">
          <a:off x="2189268" y="1247140"/>
          <a:ext cx="1598701"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0.67917</cdr:x>
      <cdr:y>0.42361</cdr:y>
    </cdr:from>
    <cdr:to>
      <cdr:x>0.86875</cdr:x>
      <cdr:y>0.5</cdr:y>
    </cdr:to>
    <cdr:sp macro="" textlink="">
      <cdr:nvSpPr>
        <cdr:cNvPr id="5" name="TextBox 4"/>
        <cdr:cNvSpPr txBox="1"/>
      </cdr:nvSpPr>
      <cdr:spPr>
        <a:xfrm xmlns:a="http://schemas.openxmlformats.org/drawingml/2006/main">
          <a:off x="3105150" y="1162050"/>
          <a:ext cx="8667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dr:relSizeAnchor xmlns:cdr="http://schemas.openxmlformats.org/drawingml/2006/chartDrawing">
    <cdr:from>
      <cdr:x>0.45956</cdr:x>
      <cdr:y>0.47396</cdr:y>
    </cdr:from>
    <cdr:to>
      <cdr:x>0.65539</cdr:x>
      <cdr:y>0.56077</cdr:y>
    </cdr:to>
    <cdr:sp macro="" textlink="">
      <cdr:nvSpPr>
        <cdr:cNvPr id="6" name="TextBox 5"/>
        <cdr:cNvSpPr txBox="1"/>
      </cdr:nvSpPr>
      <cdr:spPr>
        <a:xfrm xmlns:a="http://schemas.openxmlformats.org/drawingml/2006/main">
          <a:off x="1846368" y="1132840"/>
          <a:ext cx="786776" cy="207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800"/>
            <a:t>Irska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28DD1-17E3-48DF-BC7F-B04975B76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661524-E3B1-4EBD-87B6-4C6F90F7A29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1CF8BD9-6B58-4D9F-AC58-FF8BD643C983}">
  <ds:schemaRefs>
    <ds:schemaRef ds:uri="http://schemas.microsoft.com/sharepoint/v3/contenttype/forms"/>
  </ds:schemaRefs>
</ds:datastoreItem>
</file>

<file path=customXml/itemProps4.xml><?xml version="1.0" encoding="utf-8"?>
<ds:datastoreItem xmlns:ds="http://schemas.openxmlformats.org/officeDocument/2006/customXml" ds:itemID="{15EA3F95-5D73-4812-9434-6510F3AC498E}">
  <ds:schemaRefs>
    <ds:schemaRef ds:uri="http://schemas.microsoft.com/sharepoint/events"/>
  </ds:schemaRefs>
</ds:datastoreItem>
</file>

<file path=customXml/itemProps5.xml><?xml version="1.0" encoding="utf-8"?>
<ds:datastoreItem xmlns:ds="http://schemas.openxmlformats.org/officeDocument/2006/customXml" ds:itemID="{0A5BDF3F-8125-4439-AF05-5F7DAD4F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42941</Words>
  <Characters>244769</Characters>
  <Application>Microsoft Office Word</Application>
  <DocSecurity>0</DocSecurity>
  <Lines>2039</Lines>
  <Paragraphs>574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Strategija ulaganja u integralnu obnovu nacionalnog fonda Republike Hrvatske.docx</vt:lpstr>
      <vt:lpstr>Strategija ulaganja u integralnu obnovu nacionalnog fonda Republike Hrvatske.docx</vt:lpstr>
    </vt:vector>
  </TitlesOfParts>
  <Company>HP</Company>
  <LinksUpToDate>false</LinksUpToDate>
  <CharactersWithSpaces>287136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ulaganja u integralnu obnovu nacionalnog fonda Republike Hrvatske.docx</dc:title>
  <dc:creator>Vesna</dc:creator>
  <cp:lastModifiedBy>Vlatka Šelimber</cp:lastModifiedBy>
  <cp:revision>3</cp:revision>
  <cp:lastPrinted>2019-02-14T09:41:00Z</cp:lastPrinted>
  <dcterms:created xsi:type="dcterms:W3CDTF">2019-03-20T14:40:00Z</dcterms:created>
  <dcterms:modified xsi:type="dcterms:W3CDTF">2019-03-20T14:40:00Z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ies>
</file>